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2" w:lineRule="exact"/>
        <w:rPr>
          <w:sz w:val="24"/>
          <w:szCs w:val="24"/>
          <w:color w:val="auto"/>
        </w:rPr>
      </w:pPr>
    </w:p>
    <w:p>
      <w:pPr>
        <w:jc w:val="center"/>
        <w:ind w:left="4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172085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41275</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9"/>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34290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9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159385</wp:posOffset>
            </wp:positionV>
            <wp:extent cx="4347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920" w:type="dxa"/>
            <w:vAlign w:val="bottom"/>
          </w:tcPr>
          <w:p>
            <w:pPr>
              <w:jc w:val="center"/>
              <w:ind w:right="1322"/>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ind w:left="1400"/>
              <w:spacing w:after="0"/>
              <w:rPr>
                <w:sz w:val="20"/>
                <w:szCs w:val="20"/>
                <w:color w:val="auto"/>
              </w:rPr>
            </w:pPr>
            <w:r>
              <w:rPr>
                <w:rFonts w:ascii="Arial" w:cs="Arial" w:eastAsia="Arial" w:hAnsi="Arial"/>
                <w:sz w:val="18"/>
                <w:szCs w:val="18"/>
                <w:b w:val="1"/>
                <w:bCs w:val="1"/>
                <w:color w:val="auto"/>
              </w:rPr>
              <w:t>001-35669</w:t>
            </w:r>
          </w:p>
        </w:tc>
        <w:tc>
          <w:tcPr>
            <w:tcW w:w="2620" w:type="dxa"/>
            <w:vAlign w:val="bottom"/>
          </w:tcPr>
          <w:p>
            <w:pPr>
              <w:jc w:val="center"/>
              <w:ind w:left="1462"/>
              <w:spacing w:after="0"/>
              <w:rPr>
                <w:sz w:val="20"/>
                <w:szCs w:val="20"/>
                <w:color w:val="auto"/>
              </w:rPr>
            </w:pPr>
            <w:r>
              <w:rPr>
                <w:rFonts w:ascii="Arial" w:cs="Arial" w:eastAsia="Arial" w:hAnsi="Arial"/>
                <w:sz w:val="18"/>
                <w:szCs w:val="18"/>
                <w:b w:val="1"/>
                <w:bCs w:val="1"/>
                <w:color w:val="auto"/>
                <w:w w:val="91"/>
              </w:rPr>
              <w:t>80-0812659</w:t>
            </w:r>
          </w:p>
        </w:tc>
      </w:tr>
      <w:tr>
        <w:trPr>
          <w:trHeight w:val="184"/>
        </w:trPr>
        <w:tc>
          <w:tcPr>
            <w:tcW w:w="2920" w:type="dxa"/>
            <w:vAlign w:val="bottom"/>
          </w:tcPr>
          <w:p>
            <w:pPr>
              <w:jc w:val="center"/>
              <w:ind w:right="1322"/>
              <w:spacing w:after="0"/>
              <w:rPr>
                <w:sz w:val="20"/>
                <w:szCs w:val="20"/>
                <w:color w:val="auto"/>
              </w:rPr>
            </w:pPr>
            <w:r>
              <w:rPr>
                <w:rFonts w:ascii="Arial" w:cs="Arial" w:eastAsia="Arial" w:hAnsi="Arial"/>
                <w:sz w:val="14"/>
                <w:szCs w:val="14"/>
                <w:color w:val="auto"/>
                <w:w w:val="95"/>
              </w:rPr>
              <w:t>(State or other jurisdiction</w:t>
            </w:r>
          </w:p>
        </w:tc>
        <w:tc>
          <w:tcPr>
            <w:tcW w:w="3700" w:type="dxa"/>
            <w:vAlign w:val="bottom"/>
          </w:tcPr>
          <w:p>
            <w:pPr>
              <w:ind w:left="1400"/>
              <w:spacing w:after="0"/>
              <w:rPr>
                <w:sz w:val="20"/>
                <w:szCs w:val="20"/>
                <w:color w:val="auto"/>
              </w:rPr>
            </w:pPr>
            <w:r>
              <w:rPr>
                <w:rFonts w:ascii="Arial" w:cs="Arial" w:eastAsia="Arial" w:hAnsi="Arial"/>
                <w:sz w:val="14"/>
                <w:szCs w:val="14"/>
                <w:color w:val="auto"/>
              </w:rPr>
              <w:t>(Commission</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6"/>
              </w:rPr>
              <w:t>(IRS Employer</w:t>
            </w:r>
          </w:p>
        </w:tc>
      </w:tr>
      <w:tr>
        <w:trPr>
          <w:trHeight w:val="182"/>
        </w:trPr>
        <w:tc>
          <w:tcPr>
            <w:tcW w:w="2920" w:type="dxa"/>
            <w:vAlign w:val="bottom"/>
          </w:tcPr>
          <w:p>
            <w:pPr>
              <w:jc w:val="center"/>
              <w:ind w:right="1302"/>
              <w:spacing w:after="0"/>
              <w:rPr>
                <w:sz w:val="20"/>
                <w:szCs w:val="20"/>
                <w:color w:val="auto"/>
              </w:rPr>
            </w:pPr>
            <w:r>
              <w:rPr>
                <w:rFonts w:ascii="Arial" w:cs="Arial" w:eastAsia="Arial" w:hAnsi="Arial"/>
                <w:sz w:val="14"/>
                <w:szCs w:val="14"/>
                <w:color w:val="auto"/>
                <w:w w:val="96"/>
              </w:rPr>
              <w:t>of incorporation)</w:t>
            </w:r>
          </w:p>
        </w:tc>
        <w:tc>
          <w:tcPr>
            <w:tcW w:w="3700" w:type="dxa"/>
            <w:vAlign w:val="bottom"/>
          </w:tcPr>
          <w:p>
            <w:pPr>
              <w:ind w:left="1400"/>
              <w:spacing w:after="0"/>
              <w:rPr>
                <w:sz w:val="20"/>
                <w:szCs w:val="20"/>
                <w:color w:val="auto"/>
              </w:rPr>
            </w:pPr>
            <w:r>
              <w:rPr>
                <w:rFonts w:ascii="Arial" w:cs="Arial" w:eastAsia="Arial" w:hAnsi="Arial"/>
                <w:sz w:val="14"/>
                <w:szCs w:val="14"/>
                <w:color w:val="auto"/>
              </w:rPr>
              <w:t>File Number)</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9"/>
              </w:rPr>
              <w:t>Identification No.)</w:t>
            </w:r>
          </w:p>
        </w:tc>
      </w:tr>
    </w:tbl>
    <w:p>
      <w:pPr>
        <w:spacing w:after="0" w:line="200" w:lineRule="exact"/>
        <w:rPr>
          <w:sz w:val="24"/>
          <w:szCs w:val="24"/>
          <w:color w:val="auto"/>
        </w:rPr>
      </w:pPr>
    </w:p>
    <w:p>
      <w:pPr>
        <w:spacing w:after="0" w:line="2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350 Fifth Avenue, 21st Floor</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New York 10118</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(646) 710-3417</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22860</wp:posOffset>
            </wp:positionV>
            <wp:extent cx="4047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23" w:lineRule="exact"/>
        <w:rPr>
          <w:sz w:val="24"/>
          <w:szCs w:val="24"/>
          <w:color w:val="auto"/>
        </w:rPr>
      </w:pPr>
    </w:p>
    <w:p>
      <w:pPr>
        <w:ind w:right="260" w:firstLine="40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4" w:lineRule="exact"/>
        <w:rPr>
          <w:rFonts w:ascii="Arial" w:cs="Arial" w:eastAsia="Arial" w:hAnsi="Arial"/>
          <w:sz w:val="18"/>
          <w:szCs w:val="18"/>
          <w:color w:val="auto"/>
        </w:rPr>
      </w:pPr>
    </w:p>
    <w:p>
      <w:pPr>
        <w:ind w:left="500" w:right="320"/>
        <w:spacing w:after="0" w:line="308" w:lineRule="auto"/>
        <w:rPr>
          <w:rFonts w:ascii="Arial" w:cs="Arial" w:eastAsia="Arial" w:hAnsi="Arial"/>
          <w:sz w:val="18"/>
          <w:szCs w:val="18"/>
          <w:color w:val="auto"/>
        </w:rPr>
      </w:pPr>
      <w:r>
        <w:rPr>
          <w:rFonts w:ascii="Arial" w:cs="Arial" w:eastAsia="Arial" w:hAnsi="Arial"/>
          <w:sz w:val="17"/>
          <w:szCs w:val="17"/>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06"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Emerging growth company o</w:t>
      </w:r>
    </w:p>
    <w:p>
      <w:pPr>
        <w:spacing w:after="0" w:line="184"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1188" w:right="439" w:bottom="1440" w:gutter="0" w:footer="0" w:header="0"/>
        </w:sectPr>
      </w:pPr>
    </w:p>
    <w:bookmarkStart w:id="1" w:name="page2"/>
    <w:bookmarkEnd w:id="1"/>
    <w:p>
      <w:pPr>
        <w:ind w:left="40"/>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February 15, 2018, Shutterstock, Inc., a Delaware corporation (the “Company”), Bynder B.V., a private limited company under the laws of Netherlands (“Bynder BV”) and Bynder LLC, a Delaware limited liability company (“Bynder” and together with Bynder BV, the “Buyers”) entered into an Asset Purchase Agreement (the “Agreement”). Pursuant to the Agreement, at the closing of the transaction, the Company will sell certain assets constituting the Company’s digital asset management business, known as Webdam, to the Buyers and the Buyers will assume certain contracts and liabilities of Webdam, for an aggregate purchase price of approximately $49.1 million, payable in cash. The purchase price is subject to certain adjustments typical of a transaction of this kind. The closing is expected to occur on or about February 26, 2018. The Company will provide certain transition services to the Buyers for a period of time following the closing of the transaction.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33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This Current Report on Form 8-K contains forward-looking statements under the Private Securities Litigation Reform Act of 1995 including those relating including but not limited to the expected completion and timing of the consummation of the transactions contemplated under the Agreement and other information relating to the proposed transactions. Such forward-looking statements are based on current expectations, management’s beliefs and certain assumptions made by the Company’s management. Those risks, uncertainties and assumptions include, (i) the risk that the proposed transactions may not be completed in a timely manner or at all, (ii) the occurrence of any event, change or other circumstance that could give rise to the termination of the Agreement, and (iii) other risks described in the Company’s filings with the SEC, such as its Quarterly Reports on Form 10-Q and Annual Report on Form 10-K. Forward-looking statements speak only as of the date of this communication or the date of any document incorporated by reference in this document. Except as required by applicable law or regulation, the Company does not assume any obligation to update any such forward-looking statements whether as the result of new developments or otherwise.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right="660" w:firstLine="45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SHUTTERSTOCK,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00" w:val="left"/>
          <w:tab w:leader="none" w:pos="6180" w:val="left"/>
        </w:tabs>
        <w:rPr>
          <w:sz w:val="20"/>
          <w:szCs w:val="20"/>
          <w:color w:val="auto"/>
        </w:rPr>
      </w:pPr>
      <w:r>
        <w:rPr>
          <w:rFonts w:ascii="Arial" w:cs="Arial" w:eastAsia="Arial" w:hAnsi="Arial"/>
          <w:sz w:val="18"/>
          <w:szCs w:val="18"/>
          <w:color w:val="auto"/>
        </w:rPr>
        <w:t>Dated: February 16,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Steven Berns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Operating Officer and Chief Financial Officer</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85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2019-12-08T03:06:40Z</dcterms:created>
  <dcterms:modified xsi:type="dcterms:W3CDTF">2019-12-08T03:06:40Z</dcterms:modified>
</cp:coreProperties>
</file>