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37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WASHINGTON, D.C. 20549</w:t>
      </w:r>
    </w:p>
    <w:p>
      <w:pPr>
        <w:spacing w:after="0" w:line="53" w:lineRule="exact"/>
        <w:rPr>
          <w:sz w:val="24"/>
          <w:szCs w:val="24"/>
          <w:color w:val="auto"/>
        </w:rPr>
      </w:pPr>
    </w:p>
    <w:p>
      <w:pPr>
        <w:ind w:left="3380"/>
        <w:spacing w:after="0"/>
        <w:rPr>
          <w:sz w:val="20"/>
          <w:szCs w:val="20"/>
          <w:color w:val="auto"/>
        </w:rPr>
      </w:pPr>
      <w:r>
        <w:rPr>
          <w:rFonts w:ascii="Arial" w:cs="Arial" w:eastAsia="Arial" w:hAnsi="Arial"/>
          <w:sz w:val="14"/>
          <w:szCs w:val="14"/>
          <w:color w:val="auto"/>
        </w:rPr>
        <w:t>_________________________________________________________________</w:t>
      </w:r>
    </w:p>
    <w:p>
      <w:pPr>
        <w:spacing w:after="0" w:line="6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10-K</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40" w:lineRule="exact"/>
        <w:rPr>
          <w:sz w:val="24"/>
          <w:szCs w:val="24"/>
          <w:color w:val="auto"/>
        </w:rPr>
      </w:pPr>
    </w:p>
    <w:p>
      <w:pPr>
        <w:ind w:left="2080" w:hanging="314"/>
        <w:spacing w:after="0"/>
        <w:tabs>
          <w:tab w:leader="none" w:pos="20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70" w:lineRule="exact"/>
        <w:rPr>
          <w:rFonts w:ascii="MS PGothic" w:cs="MS PGothic" w:eastAsia="MS PGothic" w:hAnsi="MS PGothic"/>
          <w:sz w:val="15"/>
          <w:szCs w:val="15"/>
          <w:color w:val="auto"/>
        </w:rPr>
      </w:pPr>
    </w:p>
    <w:p>
      <w:pPr>
        <w:ind w:left="4280"/>
        <w:spacing w:after="0"/>
        <w:rPr>
          <w:rFonts w:ascii="MS PGothic" w:cs="MS PGothic" w:eastAsia="MS PGothic" w:hAnsi="MS PGothic"/>
          <w:sz w:val="15"/>
          <w:szCs w:val="15"/>
          <w:color w:val="auto"/>
        </w:rPr>
      </w:pPr>
      <w:r>
        <w:rPr>
          <w:rFonts w:ascii="Arial" w:cs="Arial" w:eastAsia="Arial" w:hAnsi="Arial"/>
          <w:sz w:val="14"/>
          <w:szCs w:val="14"/>
          <w:b w:val="1"/>
          <w:bCs w:val="1"/>
          <w:color w:val="auto"/>
        </w:rPr>
        <w:t xml:space="preserve">For the fiscal year ended </w:t>
      </w:r>
      <w:r>
        <w:rPr>
          <w:rFonts w:ascii="Arial" w:cs="Arial" w:eastAsia="Arial" w:hAnsi="Arial"/>
          <w:sz w:val="16"/>
          <w:szCs w:val="16"/>
          <w:b w:val="1"/>
          <w:bCs w:val="1"/>
          <w:color w:val="auto"/>
        </w:rPr>
        <w:t>December 31, 2015</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right="-119"/>
        <w:spacing w:after="0"/>
        <w:tabs>
          <w:tab w:leader="none" w:pos="140" w:val="left"/>
        </w:tabs>
        <w:rPr>
          <w:sz w:val="20"/>
          <w:szCs w:val="20"/>
          <w:color w:val="auto"/>
        </w:rPr>
      </w:pPr>
      <w:r>
        <w:rPr>
          <w:rFonts w:ascii="Arial" w:cs="Arial" w:eastAsia="Arial" w:hAnsi="Arial"/>
          <w:sz w:val="16"/>
          <w:szCs w:val="16"/>
          <w:b w:val="1"/>
          <w:bCs w:val="1"/>
          <w:color w:val="auto"/>
        </w:rPr>
        <w:t>o</w:t>
        <w:tab/>
        <w:t>TRANSITION REPORT PURSUANT TO SECTION 13 OR 15(d) OF THE SECURITIES EXCHANGE ACT OF 1934</w:t>
      </w:r>
    </w:p>
    <w:p>
      <w:pPr>
        <w:spacing w:after="0" w:line="86" w:lineRule="exact"/>
        <w:rPr>
          <w:sz w:val="24"/>
          <w:szCs w:val="24"/>
          <w:color w:val="auto"/>
        </w:rPr>
      </w:pPr>
    </w:p>
    <w:p>
      <w:pPr>
        <w:ind w:left="42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001-35669</w:t>
      </w:r>
    </w:p>
    <w:p>
      <w:pPr>
        <w:spacing w:after="0" w:line="54"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Shutterstock, Inc.</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07" w:lineRule="exact"/>
        <w:rPr>
          <w:sz w:val="24"/>
          <w:szCs w:val="24"/>
          <w:color w:val="auto"/>
        </w:rPr>
      </w:pPr>
    </w:p>
    <w:tbl>
      <w:tblPr>
        <w:tblLayout w:type="fixed"/>
        <w:tblInd w:w="3620" w:type="dxa"/>
        <w:tblCellMar>
          <w:top w:w="0" w:type="dxa"/>
          <w:left w:w="0" w:type="dxa"/>
          <w:bottom w:w="0" w:type="dxa"/>
          <w:right w:w="0" w:type="dxa"/>
        </w:tblCellMar>
      </w:tblPr>
      <w:tr>
        <w:trPr>
          <w:trHeight w:val="149"/>
        </w:trPr>
        <w:tc>
          <w:tcPr>
            <w:tcW w:w="2420" w:type="dxa"/>
            <w:vAlign w:val="bottom"/>
          </w:tcPr>
          <w:p>
            <w:pPr>
              <w:jc w:val="center"/>
              <w:ind w:right="337"/>
              <w:spacing w:after="0"/>
              <w:rPr>
                <w:sz w:val="20"/>
                <w:szCs w:val="20"/>
                <w:color w:val="auto"/>
              </w:rPr>
            </w:pPr>
            <w:r>
              <w:rPr>
                <w:rFonts w:ascii="Arial" w:cs="Arial" w:eastAsia="Arial" w:hAnsi="Arial"/>
                <w:sz w:val="13"/>
                <w:szCs w:val="13"/>
                <w:b w:val="1"/>
                <w:bCs w:val="1"/>
                <w:color w:val="auto"/>
                <w:w w:val="87"/>
              </w:rPr>
              <w:t>Delaware</w:t>
            </w:r>
          </w:p>
        </w:tc>
        <w:tc>
          <w:tcPr>
            <w:tcW w:w="1360" w:type="dxa"/>
            <w:vAlign w:val="bottom"/>
          </w:tcPr>
          <w:p>
            <w:pPr>
              <w:jc w:val="right"/>
              <w:ind w:right="97"/>
              <w:spacing w:after="0"/>
              <w:rPr>
                <w:sz w:val="20"/>
                <w:szCs w:val="20"/>
                <w:color w:val="auto"/>
              </w:rPr>
            </w:pPr>
            <w:r>
              <w:rPr>
                <w:rFonts w:ascii="Arial" w:cs="Arial" w:eastAsia="Arial" w:hAnsi="Arial"/>
                <w:sz w:val="13"/>
                <w:szCs w:val="13"/>
                <w:b w:val="1"/>
                <w:bCs w:val="1"/>
                <w:color w:val="auto"/>
              </w:rPr>
              <w:t>80-0812659</w:t>
            </w:r>
          </w:p>
        </w:tc>
      </w:tr>
      <w:tr>
        <w:trPr>
          <w:trHeight w:val="135"/>
        </w:trPr>
        <w:tc>
          <w:tcPr>
            <w:tcW w:w="2420" w:type="dxa"/>
            <w:vAlign w:val="bottom"/>
          </w:tcPr>
          <w:p>
            <w:pPr>
              <w:jc w:val="center"/>
              <w:ind w:right="337"/>
              <w:spacing w:after="0" w:line="135" w:lineRule="exact"/>
              <w:rPr>
                <w:sz w:val="20"/>
                <w:szCs w:val="20"/>
                <w:color w:val="auto"/>
              </w:rPr>
            </w:pPr>
            <w:r>
              <w:rPr>
                <w:rFonts w:ascii="Arial" w:cs="Arial" w:eastAsia="Arial" w:hAnsi="Arial"/>
                <w:sz w:val="13"/>
                <w:szCs w:val="13"/>
                <w:color w:val="auto"/>
                <w:w w:val="89"/>
              </w:rPr>
              <w:t>(State or other jurisdiction of</w:t>
            </w:r>
          </w:p>
        </w:tc>
        <w:tc>
          <w:tcPr>
            <w:tcW w:w="1360" w:type="dxa"/>
            <w:vAlign w:val="bottom"/>
          </w:tcPr>
          <w:p>
            <w:pPr>
              <w:jc w:val="center"/>
              <w:ind w:left="357"/>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2420" w:type="dxa"/>
            <w:vAlign w:val="bottom"/>
          </w:tcPr>
          <w:p>
            <w:pPr>
              <w:jc w:val="center"/>
              <w:ind w:right="357"/>
              <w:spacing w:after="0"/>
              <w:rPr>
                <w:sz w:val="20"/>
                <w:szCs w:val="20"/>
                <w:color w:val="auto"/>
              </w:rPr>
            </w:pPr>
            <w:r>
              <w:rPr>
                <w:rFonts w:ascii="Arial" w:cs="Arial" w:eastAsia="Arial" w:hAnsi="Arial"/>
                <w:sz w:val="13"/>
                <w:szCs w:val="13"/>
                <w:color w:val="auto"/>
                <w:w w:val="89"/>
              </w:rPr>
              <w:t>incorporation or organization)</w:t>
            </w:r>
          </w:p>
        </w:tc>
        <w:tc>
          <w:tcPr>
            <w:tcW w:w="1360" w:type="dxa"/>
            <w:vAlign w:val="bottom"/>
          </w:tcPr>
          <w:p>
            <w:pPr>
              <w:jc w:val="center"/>
              <w:ind w:left="357"/>
              <w:spacing w:after="0"/>
              <w:rPr>
                <w:sz w:val="20"/>
                <w:szCs w:val="20"/>
                <w:color w:val="auto"/>
              </w:rPr>
            </w:pPr>
            <w:r>
              <w:rPr>
                <w:rFonts w:ascii="Arial" w:cs="Arial" w:eastAsia="Arial" w:hAnsi="Arial"/>
                <w:sz w:val="13"/>
                <w:szCs w:val="13"/>
                <w:color w:val="auto"/>
                <w:w w:val="92"/>
              </w:rPr>
              <w:t>Identification No.)</w:t>
            </w:r>
          </w:p>
        </w:tc>
      </w:tr>
      <w:tr>
        <w:trPr>
          <w:trHeight w:val="281"/>
        </w:trPr>
        <w:tc>
          <w:tcPr>
            <w:tcW w:w="2420" w:type="dxa"/>
            <w:vAlign w:val="bottom"/>
          </w:tcPr>
          <w:p>
            <w:pPr>
              <w:jc w:val="center"/>
              <w:ind w:right="357"/>
              <w:spacing w:after="0"/>
              <w:rPr>
                <w:sz w:val="20"/>
                <w:szCs w:val="20"/>
                <w:color w:val="auto"/>
              </w:rPr>
            </w:pPr>
            <w:r>
              <w:rPr>
                <w:rFonts w:ascii="Arial" w:cs="Arial" w:eastAsia="Arial" w:hAnsi="Arial"/>
                <w:sz w:val="13"/>
                <w:szCs w:val="13"/>
                <w:b w:val="1"/>
                <w:bCs w:val="1"/>
                <w:color w:val="auto"/>
                <w:w w:val="87"/>
              </w:rPr>
              <w:t>350 Fifth Avenue, 21st Floor</w:t>
            </w:r>
          </w:p>
        </w:tc>
        <w:tc>
          <w:tcPr>
            <w:tcW w:w="1360" w:type="dxa"/>
            <w:vAlign w:val="bottom"/>
          </w:tcPr>
          <w:p>
            <w:pPr>
              <w:spacing w:after="0"/>
              <w:rPr>
                <w:sz w:val="24"/>
                <w:szCs w:val="24"/>
                <w:color w:val="auto"/>
              </w:rPr>
            </w:pPr>
          </w:p>
        </w:tc>
      </w:tr>
      <w:tr>
        <w:trPr>
          <w:trHeight w:val="139"/>
        </w:trPr>
        <w:tc>
          <w:tcPr>
            <w:tcW w:w="2420" w:type="dxa"/>
            <w:vAlign w:val="bottom"/>
          </w:tcPr>
          <w:p>
            <w:pPr>
              <w:jc w:val="center"/>
              <w:ind w:right="337"/>
              <w:spacing w:after="0" w:line="139" w:lineRule="exact"/>
              <w:rPr>
                <w:sz w:val="20"/>
                <w:szCs w:val="20"/>
                <w:color w:val="auto"/>
              </w:rPr>
            </w:pPr>
            <w:r>
              <w:rPr>
                <w:rFonts w:ascii="Arial" w:cs="Arial" w:eastAsia="Arial" w:hAnsi="Arial"/>
                <w:sz w:val="13"/>
                <w:szCs w:val="13"/>
                <w:b w:val="1"/>
                <w:bCs w:val="1"/>
                <w:color w:val="auto"/>
                <w:w w:val="90"/>
              </w:rPr>
              <w:t>New York, New York</w:t>
            </w:r>
          </w:p>
        </w:tc>
        <w:tc>
          <w:tcPr>
            <w:tcW w:w="1360" w:type="dxa"/>
            <w:vAlign w:val="bottom"/>
          </w:tcPr>
          <w:p>
            <w:pPr>
              <w:jc w:val="right"/>
              <w:ind w:right="257"/>
              <w:spacing w:after="0" w:line="139" w:lineRule="exact"/>
              <w:rPr>
                <w:sz w:val="20"/>
                <w:szCs w:val="20"/>
                <w:color w:val="auto"/>
              </w:rPr>
            </w:pPr>
            <w:r>
              <w:rPr>
                <w:rFonts w:ascii="Arial" w:cs="Arial" w:eastAsia="Arial" w:hAnsi="Arial"/>
                <w:sz w:val="13"/>
                <w:szCs w:val="13"/>
                <w:b w:val="1"/>
                <w:bCs w:val="1"/>
                <w:color w:val="auto"/>
              </w:rPr>
              <w:t>10118</w:t>
            </w:r>
          </w:p>
        </w:tc>
      </w:tr>
      <w:tr>
        <w:trPr>
          <w:trHeight w:val="160"/>
        </w:trPr>
        <w:tc>
          <w:tcPr>
            <w:tcW w:w="2420" w:type="dxa"/>
            <w:vAlign w:val="bottom"/>
          </w:tcPr>
          <w:p>
            <w:pPr>
              <w:jc w:val="center"/>
              <w:ind w:right="357"/>
              <w:spacing w:after="0"/>
              <w:rPr>
                <w:sz w:val="20"/>
                <w:szCs w:val="20"/>
                <w:color w:val="auto"/>
              </w:rPr>
            </w:pPr>
            <w:r>
              <w:rPr>
                <w:rFonts w:ascii="Arial" w:cs="Arial" w:eastAsia="Arial" w:hAnsi="Arial"/>
                <w:sz w:val="13"/>
                <w:szCs w:val="13"/>
                <w:color w:val="auto"/>
                <w:w w:val="89"/>
              </w:rPr>
              <w:t>(Address of principal executive offices)</w:t>
            </w:r>
          </w:p>
        </w:tc>
        <w:tc>
          <w:tcPr>
            <w:tcW w:w="1360" w:type="dxa"/>
            <w:vAlign w:val="bottom"/>
          </w:tcPr>
          <w:p>
            <w:pPr>
              <w:jc w:val="center"/>
              <w:ind w:left="357"/>
              <w:spacing w:after="0"/>
              <w:rPr>
                <w:sz w:val="20"/>
                <w:szCs w:val="20"/>
                <w:color w:val="auto"/>
              </w:rPr>
            </w:pPr>
            <w:r>
              <w:rPr>
                <w:rFonts w:ascii="Arial" w:cs="Arial" w:eastAsia="Arial" w:hAnsi="Arial"/>
                <w:sz w:val="13"/>
                <w:szCs w:val="13"/>
                <w:color w:val="auto"/>
                <w:w w:val="92"/>
              </w:rPr>
              <w:t>(Zip code)</w:t>
            </w:r>
          </w:p>
        </w:tc>
      </w:tr>
    </w:tbl>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(646) 766-1855</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55" w:lineRule="exact"/>
        <w:rPr>
          <w:sz w:val="24"/>
          <w:szCs w:val="24"/>
          <w:color w:val="auto"/>
        </w:rPr>
      </w:pPr>
    </w:p>
    <w:p>
      <w:pPr>
        <w:ind w:left="5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8" w:lineRule="exact"/>
        <w:rPr>
          <w:sz w:val="24"/>
          <w:szCs w:val="24"/>
          <w:color w:val="auto"/>
        </w:rPr>
      </w:pPr>
    </w:p>
    <w:tbl>
      <w:tblPr>
        <w:tblLayout w:type="fixed"/>
        <w:tblInd w:w="2680" w:type="dxa"/>
        <w:tblCellMar>
          <w:top w:w="0" w:type="dxa"/>
          <w:left w:w="0" w:type="dxa"/>
          <w:bottom w:w="0" w:type="dxa"/>
          <w:right w:w="0" w:type="dxa"/>
        </w:tblCellMar>
      </w:tblPr>
      <w:tr>
        <w:trPr>
          <w:trHeight w:val="174"/>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400" w:type="dxa"/>
            <w:vAlign w:val="bottom"/>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73"/>
        </w:trPr>
        <w:tc>
          <w:tcPr>
            <w:tcW w:w="3100" w:type="dxa"/>
            <w:vAlign w:val="bottom"/>
            <w:gridSpan w:val="2"/>
          </w:tcPr>
          <w:p>
            <w:pPr>
              <w:jc w:val="center"/>
              <w:ind w:right="420"/>
              <w:spacing w:after="0"/>
              <w:rPr>
                <w:sz w:val="20"/>
                <w:szCs w:val="20"/>
                <w:color w:val="auto"/>
              </w:rPr>
            </w:pPr>
            <w:r>
              <w:rPr>
                <w:rFonts w:ascii="Arial" w:cs="Arial" w:eastAsia="Arial" w:hAnsi="Arial"/>
                <w:sz w:val="13"/>
                <w:szCs w:val="13"/>
                <w:color w:val="auto"/>
                <w:w w:val="86"/>
              </w:rPr>
              <w:t>Common Stock, $0.01 par value per share</w:t>
            </w:r>
          </w:p>
        </w:tc>
        <w:tc>
          <w:tcPr>
            <w:tcW w:w="2980" w:type="dxa"/>
            <w:vAlign w:val="bottom"/>
          </w:tcPr>
          <w:p>
            <w:pPr>
              <w:jc w:val="center"/>
              <w:spacing w:after="0"/>
              <w:rPr>
                <w:sz w:val="20"/>
                <w:szCs w:val="20"/>
                <w:color w:val="auto"/>
              </w:rPr>
            </w:pPr>
            <w:r>
              <w:rPr>
                <w:rFonts w:ascii="Arial" w:cs="Arial" w:eastAsia="Arial" w:hAnsi="Arial"/>
                <w:sz w:val="13"/>
                <w:szCs w:val="13"/>
                <w:color w:val="auto"/>
                <w:w w:val="88"/>
              </w:rPr>
              <w:t>New York Stock Exchange</w:t>
            </w:r>
          </w:p>
        </w:tc>
      </w:tr>
    </w:tbl>
    <w:p>
      <w:pPr>
        <w:spacing w:after="0" w:line="88" w:lineRule="exact"/>
        <w:rPr>
          <w:sz w:val="24"/>
          <w:szCs w:val="24"/>
          <w:color w:val="auto"/>
        </w:rPr>
      </w:pPr>
    </w:p>
    <w:p>
      <w:pPr>
        <w:ind w:left="58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86" w:lineRule="exact"/>
        <w:rPr>
          <w:sz w:val="24"/>
          <w:szCs w:val="24"/>
          <w:color w:val="auto"/>
        </w:rPr>
      </w:pPr>
    </w:p>
    <w:p>
      <w:pPr>
        <w:ind w:left="2620"/>
        <w:spacing w:after="0"/>
        <w:rPr>
          <w:sz w:val="20"/>
          <w:szCs w:val="20"/>
          <w:color w:val="auto"/>
        </w:rPr>
      </w:pPr>
      <w:r>
        <w:rPr>
          <w:rFonts w:ascii="Arial" w:cs="Arial" w:eastAsia="Arial" w:hAnsi="Arial"/>
          <w:sz w:val="14"/>
          <w:szCs w:val="14"/>
          <w:color w:val="auto"/>
        </w:rPr>
        <w:t>______________________________________________________________________________________</w:t>
      </w:r>
    </w:p>
    <w:p>
      <w:pPr>
        <w:sectPr>
          <w:pgSz w:w="11900" w:h="16838" w:orient="portrait"/>
          <w:cols w:equalWidth="0" w:num="1">
            <w:col w:w="11340"/>
          </w:cols>
          <w:pgMar w:left="240" w:top="233" w:right="319" w:bottom="1440" w:gutter="0" w:footer="0" w:header="0"/>
        </w:sectPr>
      </w:pPr>
    </w:p>
    <w:p>
      <w:pPr>
        <w:spacing w:after="0" w:line="60" w:lineRule="exact"/>
        <w:rPr>
          <w:sz w:val="24"/>
          <w:szCs w:val="24"/>
          <w:color w:val="auto"/>
        </w:rPr>
      </w:pPr>
    </w:p>
    <w:p>
      <w:pPr>
        <w:ind w:left="540"/>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x</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1"/>
          <w:szCs w:val="11"/>
          <w:color w:val="auto"/>
        </w:rPr>
        <w:t>No o</w:t>
      </w:r>
    </w:p>
    <w:p>
      <w:pPr>
        <w:spacing w:after="0" w:line="76" w:lineRule="exact"/>
        <w:rPr>
          <w:sz w:val="24"/>
          <w:szCs w:val="24"/>
          <w:color w:val="auto"/>
        </w:rPr>
      </w:pPr>
    </w:p>
    <w:p>
      <w:pPr>
        <w:sectPr>
          <w:pgSz w:w="11900" w:h="16838" w:orient="portrait"/>
          <w:cols w:equalWidth="0" w:num="2">
            <w:col w:w="6760" w:space="140"/>
            <w:col w:w="4440"/>
          </w:cols>
          <w:pgMar w:left="240" w:top="233" w:right="319" w:bottom="1440" w:gutter="0" w:footer="0" w:header="0"/>
          <w:type w:val="continuous"/>
        </w:sectPr>
      </w:pPr>
    </w:p>
    <w:p>
      <w:pPr>
        <w:ind w:left="540"/>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 x</w:t>
      </w:r>
    </w:p>
    <w:p>
      <w:pPr>
        <w:spacing w:after="0" w:line="65" w:lineRule="exact"/>
        <w:rPr>
          <w:sz w:val="24"/>
          <w:szCs w:val="24"/>
          <w:color w:val="auto"/>
        </w:rPr>
      </w:pPr>
    </w:p>
    <w:p>
      <w:pPr>
        <w:sectPr>
          <w:pgSz w:w="11900" w:h="16838" w:orient="portrait"/>
          <w:cols w:equalWidth="0" w:num="2">
            <w:col w:w="6880" w:space="120"/>
            <w:col w:w="4340"/>
          </w:cols>
          <w:pgMar w:left="240" w:top="233" w:right="319" w:bottom="1440" w:gutter="0" w:footer="0" w:header="0"/>
          <w:type w:val="continuous"/>
        </w:sectPr>
      </w:pPr>
    </w:p>
    <w:p>
      <w:pPr>
        <w:ind w:right="120" w:firstLine="540"/>
        <w:spacing w:after="0" w:line="2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3" w:lineRule="exact"/>
        <w:rPr>
          <w:sz w:val="24"/>
          <w:szCs w:val="24"/>
          <w:color w:val="auto"/>
        </w:rPr>
      </w:pPr>
    </w:p>
    <w:p>
      <w:pPr>
        <w:ind w:right="380" w:firstLine="540"/>
        <w:spacing w:after="0" w:line="297"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0" w:lineRule="exact"/>
        <w:rPr>
          <w:sz w:val="24"/>
          <w:szCs w:val="24"/>
          <w:color w:val="auto"/>
        </w:rPr>
      </w:pPr>
    </w:p>
    <w:p>
      <w:pPr>
        <w:ind w:right="400" w:firstLine="540"/>
        <w:spacing w:after="0" w:line="255"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ectPr>
          <w:pgSz w:w="11900" w:h="16838" w:orient="portrait"/>
          <w:cols w:equalWidth="0" w:num="1">
            <w:col w:w="11340"/>
          </w:cols>
          <w:pgMar w:left="240" w:top="233" w:right="319" w:bottom="1440" w:gutter="0" w:footer="0" w:header="0"/>
          <w:type w:val="continuous"/>
        </w:sectPr>
      </w:pPr>
    </w:p>
    <w:p>
      <w:pPr>
        <w:spacing w:after="0" w:line="33" w:lineRule="exact"/>
        <w:rPr>
          <w:sz w:val="24"/>
          <w:szCs w:val="24"/>
          <w:color w:val="auto"/>
        </w:rPr>
      </w:pPr>
    </w:p>
    <w:p>
      <w:pPr>
        <w:ind w:left="54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w:t>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and "smaller reporting company" in Rule 12b-2 of the Exchange Act. (Check one):</w:t>
      </w:r>
    </w:p>
    <w:p>
      <w:pPr>
        <w:sectPr>
          <w:pgSz w:w="11900" w:h="16838" w:orient="portrait"/>
          <w:cols w:equalWidth="0" w:num="1">
            <w:col w:w="11340"/>
          </w:cols>
          <w:pgMar w:left="240" w:top="233" w:right="319" w:bottom="1440" w:gutter="0" w:footer="0" w:header="0"/>
          <w:type w:val="continuous"/>
        </w:sectPr>
      </w:pPr>
    </w:p>
    <w:p>
      <w:pPr>
        <w:spacing w:after="0" w:line="200" w:lineRule="exact"/>
        <w:rPr>
          <w:sz w:val="24"/>
          <w:szCs w:val="24"/>
          <w:color w:val="auto"/>
        </w:rPr>
      </w:pPr>
    </w:p>
    <w:p>
      <w:pPr>
        <w:spacing w:after="0" w:line="275" w:lineRule="exact"/>
        <w:rPr>
          <w:sz w:val="24"/>
          <w:szCs w:val="24"/>
          <w:color w:val="auto"/>
        </w:rPr>
      </w:pPr>
    </w:p>
    <w:p>
      <w:pPr>
        <w:ind w:left="420"/>
        <w:spacing w:after="0"/>
        <w:rPr>
          <w:sz w:val="20"/>
          <w:szCs w:val="20"/>
          <w:color w:val="auto"/>
        </w:rPr>
      </w:pPr>
      <w:r>
        <w:rPr>
          <w:rFonts w:ascii="Arial" w:cs="Arial" w:eastAsia="Arial" w:hAnsi="Arial"/>
          <w:sz w:val="11"/>
          <w:szCs w:val="11"/>
          <w:color w:val="auto"/>
        </w:rPr>
        <w:t>Large accelerated filer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080"/>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2"/>
          <w:szCs w:val="12"/>
          <w:color w:val="auto"/>
        </w:rPr>
        <w:t>Non-accelerated filer o</w:t>
      </w:r>
    </w:p>
    <w:p>
      <w:pPr>
        <w:ind w:left="260"/>
        <w:spacing w:after="0" w:line="228" w:lineRule="auto"/>
        <w:rPr>
          <w:sz w:val="20"/>
          <w:szCs w:val="20"/>
          <w:color w:val="auto"/>
        </w:rPr>
      </w:pPr>
      <w:r>
        <w:rPr>
          <w:rFonts w:ascii="Arial" w:cs="Arial" w:eastAsia="Arial" w:hAnsi="Arial"/>
          <w:sz w:val="13"/>
          <w:szCs w:val="13"/>
          <w:color w:val="auto"/>
        </w:rPr>
        <w:t>(Do not check if a</w:t>
      </w: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90" w:lineRule="exact"/>
        <w:rPr>
          <w:sz w:val="24"/>
          <w:szCs w:val="24"/>
          <w:color w:val="auto"/>
        </w:rPr>
      </w:pPr>
    </w:p>
    <w:p>
      <w:pPr>
        <w:sectPr>
          <w:pgSz w:w="11900" w:h="16838" w:orient="portrait"/>
          <w:cols w:equalWidth="0" w:num="4">
            <w:col w:w="2640" w:space="720"/>
            <w:col w:w="2020" w:space="720"/>
            <w:col w:w="2600" w:space="720"/>
            <w:col w:w="1920"/>
          </w:cols>
          <w:pgMar w:left="240" w:top="233" w:right="319" w:bottom="1440" w:gutter="0" w:footer="0" w:header="0"/>
          <w:type w:val="continuous"/>
        </w:sectPr>
      </w:pPr>
    </w:p>
    <w:p>
      <w:pPr>
        <w:ind w:left="540"/>
        <w:spacing w:after="0"/>
        <w:tabs>
          <w:tab w:leader="none" w:pos="66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No x</w:t>
      </w:r>
    </w:p>
    <w:p>
      <w:pPr>
        <w:spacing w:after="0" w:line="65" w:lineRule="exact"/>
        <w:rPr>
          <w:sz w:val="24"/>
          <w:szCs w:val="24"/>
          <w:color w:val="auto"/>
        </w:rPr>
      </w:pPr>
    </w:p>
    <w:p>
      <w:pPr>
        <w:jc w:val="both"/>
        <w:ind w:right="40" w:firstLine="540"/>
        <w:spacing w:after="0" w:line="247" w:lineRule="auto"/>
        <w:rPr>
          <w:sz w:val="20"/>
          <w:szCs w:val="20"/>
          <w:color w:val="auto"/>
        </w:rPr>
      </w:pPr>
      <w:r>
        <w:rPr>
          <w:rFonts w:ascii="Arial" w:cs="Arial" w:eastAsia="Arial" w:hAnsi="Arial"/>
          <w:sz w:val="13"/>
          <w:szCs w:val="13"/>
          <w:color w:val="auto"/>
        </w:rPr>
        <w:t>As of June 30, 2015, the last business day of the registrant's most recently completed second fiscal quarter, the aggregate market value of its voting and non-voting common stock held by non-affiliates on that date was approximately $1,174,210,761. This calculation excludes the shares of common stock held by executive officers, directors and stockholders whose ownership exceeded 10% outstanding at June 30, 2015. This calculation does not reflect a determination that such persons are affiliates for any other purposes.</w:t>
      </w:r>
    </w:p>
    <w:p>
      <w:pPr>
        <w:spacing w:after="0" w:line="38"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On February 19, 2016, 35,283,219 shares of the registrant's common stock were outstanding.</w:t>
      </w:r>
    </w:p>
    <w:p>
      <w:pPr>
        <w:spacing w:after="0" w:line="49"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56"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right="80" w:firstLine="540"/>
        <w:spacing w:after="0" w:line="247" w:lineRule="auto"/>
        <w:rPr>
          <w:sz w:val="20"/>
          <w:szCs w:val="20"/>
          <w:color w:val="auto"/>
        </w:rPr>
      </w:pPr>
      <w:r>
        <w:rPr>
          <w:rFonts w:ascii="Arial" w:cs="Arial" w:eastAsia="Arial" w:hAnsi="Arial"/>
          <w:sz w:val="13"/>
          <w:szCs w:val="13"/>
          <w:color w:val="auto"/>
        </w:rPr>
        <w:t>The information required by Part III of this Annual Report on Form 10-K, to the extent not set forth herein, is incorporated herein by reference from the registrant's definitive proxy statement relating to the Annual Meeting of Stockholders to be held in 2016, which definitive proxy statement shall be filed with the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118745</wp:posOffset>
            </wp:positionV>
            <wp:extent cx="72377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80" w:type="dxa"/>
            <w:vAlign w:val="bottom"/>
            <w:gridSpan w:val="16"/>
          </w:tcPr>
          <w:p>
            <w:pPr>
              <w:jc w:val="center"/>
              <w:ind w:right="3940"/>
              <w:spacing w:after="0"/>
              <w:rPr>
                <w:sz w:val="20"/>
                <w:szCs w:val="20"/>
                <w:color w:val="auto"/>
              </w:rPr>
            </w:pPr>
            <w:r>
              <w:rPr>
                <w:rFonts w:ascii="Arial" w:cs="Arial" w:eastAsia="Arial" w:hAnsi="Arial"/>
                <w:sz w:val="18"/>
                <w:szCs w:val="18"/>
                <w:b w:val="1"/>
                <w:bCs w:val="1"/>
                <w:color w:val="auto"/>
                <w:w w:val="96"/>
              </w:rPr>
              <w:t>Form 10-K</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60" w:type="dxa"/>
            <w:vAlign w:val="bottom"/>
            <w:gridSpan w:val="19"/>
          </w:tcPr>
          <w:p>
            <w:pPr>
              <w:jc w:val="center"/>
              <w:ind w:right="2660"/>
              <w:spacing w:after="0"/>
              <w:rPr>
                <w:sz w:val="20"/>
                <w:szCs w:val="20"/>
                <w:color w:val="auto"/>
              </w:rPr>
            </w:pPr>
            <w:r>
              <w:rPr>
                <w:rFonts w:ascii="Arial" w:cs="Arial" w:eastAsia="Arial" w:hAnsi="Arial"/>
                <w:sz w:val="18"/>
                <w:szCs w:val="18"/>
                <w:b w:val="1"/>
                <w:bCs w:val="1"/>
                <w:color w:val="auto"/>
                <w:w w:val="90"/>
              </w:rPr>
              <w:t>For the Fiscal Year Ended December 31, 2015</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16"/>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gridSpan w:val="12"/>
          </w:tcPr>
          <w:p>
            <w:pPr>
              <w:jc w:val="center"/>
              <w:ind w:right="468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0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60" w:type="dxa"/>
            <w:vAlign w:val="bottom"/>
            <w:tcBorders>
              <w:top w:val="single" w:sz="8" w:color="0000EE"/>
            </w:tcBorders>
            <w:gridSpan w:val="3"/>
          </w:tcPr>
          <w:p>
            <w:pPr>
              <w:spacing w:after="0"/>
              <w:rPr>
                <w:sz w:val="21"/>
                <w:szCs w:val="21"/>
                <w:color w:val="auto"/>
              </w:rPr>
            </w:pPr>
          </w:p>
        </w:tc>
        <w:tc>
          <w:tcPr>
            <w:tcW w:w="4680" w:type="dxa"/>
            <w:vAlign w:val="bottom"/>
            <w:gridSpan w:val="9"/>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2">
              <w:r>
                <w:rPr>
                  <w:rFonts w:ascii="Arial" w:cs="Arial" w:eastAsia="Arial" w:hAnsi="Arial"/>
                  <w:sz w:val="18"/>
                  <w:szCs w:val="18"/>
                  <w:color w:val="0000EE"/>
                  <w:w w:val="80"/>
                </w:rPr>
                <w:t>Item 1A.</w:t>
              </w:r>
            </w:hyperlink>
          </w:p>
        </w:tc>
        <w:tc>
          <w:tcPr>
            <w:tcW w:w="80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300" w:type="dxa"/>
            <w:vAlign w:val="bottom"/>
            <w:gridSpan w:val="24"/>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8">
              <w:r>
                <w:rPr>
                  <w:rFonts w:ascii="Arial" w:cs="Arial" w:eastAsia="Arial" w:hAnsi="Arial"/>
                  <w:sz w:val="18"/>
                  <w:szCs w:val="18"/>
                  <w:color w:val="0000EE"/>
                  <w:w w:val="80"/>
                </w:rPr>
                <w:t>Item 1B.</w:t>
              </w:r>
            </w:hyperlink>
          </w:p>
        </w:tc>
        <w:tc>
          <w:tcPr>
            <w:tcW w:w="800" w:type="dxa"/>
            <w:vAlign w:val="bottom"/>
          </w:tcPr>
          <w:p>
            <w:pPr>
              <w:spacing w:after="0"/>
              <w:rPr>
                <w:sz w:val="21"/>
                <w:szCs w:val="21"/>
                <w:color w:val="auto"/>
              </w:rPr>
            </w:pPr>
          </w:p>
        </w:tc>
        <w:tc>
          <w:tcPr>
            <w:tcW w:w="920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2.</w:t>
              </w:r>
            </w:hyperlink>
          </w:p>
        </w:tc>
        <w:tc>
          <w:tcPr>
            <w:tcW w:w="80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160" w:type="dxa"/>
            <w:vAlign w:val="bottom"/>
            <w:gridSpan w:val="19"/>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20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20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640" w:type="dxa"/>
            <w:vAlign w:val="bottom"/>
            <w:gridSpan w:val="8"/>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920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920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w:t>
              </w:r>
            </w:hyperlink>
          </w:p>
        </w:tc>
        <w:tc>
          <w:tcPr>
            <w:tcW w:w="920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1">
              <w:r>
                <w:rPr>
                  <w:rFonts w:ascii="Arial" w:cs="Arial" w:eastAsia="Arial" w:hAnsi="Arial"/>
                  <w:sz w:val="18"/>
                  <w:szCs w:val="18"/>
                  <w:color w:val="0000EE"/>
                  <w:w w:val="80"/>
                </w:rPr>
                <w:t>Item 7A.</w:t>
              </w:r>
            </w:hyperlink>
          </w:p>
        </w:tc>
        <w:tc>
          <w:tcPr>
            <w:tcW w:w="800" w:type="dxa"/>
            <w:vAlign w:val="bottom"/>
          </w:tcPr>
          <w:p>
            <w:pPr>
              <w:spacing w:after="0"/>
              <w:rPr>
                <w:sz w:val="21"/>
                <w:szCs w:val="21"/>
                <w:color w:val="auto"/>
              </w:rPr>
            </w:pPr>
          </w:p>
        </w:tc>
        <w:tc>
          <w:tcPr>
            <w:tcW w:w="4360" w:type="dxa"/>
            <w:vAlign w:val="bottom"/>
            <w:gridSpan w:val="17"/>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4840" w:type="dxa"/>
            <w:vAlign w:val="bottom"/>
            <w:gridSpan w:val="10"/>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Item 8.</w:t>
              </w:r>
            </w:hyperlink>
          </w:p>
        </w:tc>
        <w:tc>
          <w:tcPr>
            <w:tcW w:w="800" w:type="dxa"/>
            <w:vAlign w:val="bottom"/>
          </w:tcPr>
          <w:p>
            <w:pPr>
              <w:spacing w:after="0"/>
              <w:rPr>
                <w:sz w:val="21"/>
                <w:szCs w:val="21"/>
                <w:color w:val="auto"/>
              </w:rPr>
            </w:pPr>
          </w:p>
        </w:tc>
        <w:tc>
          <w:tcPr>
            <w:tcW w:w="436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4840" w:type="dxa"/>
            <w:vAlign w:val="bottom"/>
            <w:gridSpan w:val="10"/>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9.</w:t>
              </w:r>
            </w:hyperlink>
          </w:p>
        </w:tc>
        <w:tc>
          <w:tcPr>
            <w:tcW w:w="9200" w:type="dxa"/>
            <w:vAlign w:val="bottom"/>
            <w:gridSpan w:val="2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3">
              <w:r>
                <w:rPr>
                  <w:rFonts w:ascii="Arial" w:cs="Arial" w:eastAsia="Arial" w:hAnsi="Arial"/>
                  <w:sz w:val="18"/>
                  <w:szCs w:val="18"/>
                  <w:color w:val="0000EE"/>
                  <w:w w:val="80"/>
                </w:rPr>
                <w:t>Item 9A.</w:t>
              </w:r>
            </w:hyperlink>
          </w:p>
        </w:tc>
        <w:tc>
          <w:tcPr>
            <w:tcW w:w="800" w:type="dxa"/>
            <w:vAlign w:val="bottom"/>
          </w:tcPr>
          <w:p>
            <w:pPr>
              <w:spacing w:after="0"/>
              <w:rPr>
                <w:sz w:val="21"/>
                <w:szCs w:val="21"/>
                <w:color w:val="auto"/>
              </w:rPr>
            </w:pPr>
          </w:p>
        </w:tc>
        <w:tc>
          <w:tcPr>
            <w:tcW w:w="9200" w:type="dxa"/>
            <w:vAlign w:val="bottom"/>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4">
              <w:r>
                <w:rPr>
                  <w:rFonts w:ascii="Arial" w:cs="Arial" w:eastAsia="Arial" w:hAnsi="Arial"/>
                  <w:sz w:val="18"/>
                  <w:szCs w:val="18"/>
                  <w:color w:val="0000EE"/>
                  <w:w w:val="80"/>
                </w:rPr>
                <w:t>Item 9B.</w:t>
              </w:r>
            </w:hyperlink>
          </w:p>
        </w:tc>
        <w:tc>
          <w:tcPr>
            <w:tcW w:w="800" w:type="dxa"/>
            <w:vAlign w:val="bottom"/>
          </w:tcPr>
          <w:p>
            <w:pPr>
              <w:spacing w:after="0"/>
              <w:rPr>
                <w:sz w:val="21"/>
                <w:szCs w:val="21"/>
                <w:color w:val="auto"/>
              </w:rPr>
            </w:pPr>
          </w:p>
        </w:tc>
        <w:tc>
          <w:tcPr>
            <w:tcW w:w="176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7440" w:type="dxa"/>
            <w:vAlign w:val="bottom"/>
            <w:gridSpan w:val="2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III</w:t>
              </w:r>
            </w:hyperlink>
          </w:p>
        </w:tc>
        <w:tc>
          <w:tcPr>
            <w:tcW w:w="460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5">
              <w:r>
                <w:rPr>
                  <w:rFonts w:ascii="Arial" w:cs="Arial" w:eastAsia="Arial" w:hAnsi="Arial"/>
                  <w:sz w:val="18"/>
                  <w:szCs w:val="18"/>
                  <w:color w:val="0000EE"/>
                  <w:w w:val="82"/>
                </w:rPr>
                <w:t>Item 10.</w:t>
              </w:r>
            </w:hyperlink>
          </w:p>
        </w:tc>
        <w:tc>
          <w:tcPr>
            <w:tcW w:w="800" w:type="dxa"/>
            <w:vAlign w:val="bottom"/>
          </w:tcPr>
          <w:p>
            <w:pPr>
              <w:spacing w:after="0"/>
              <w:rPr>
                <w:sz w:val="21"/>
                <w:szCs w:val="21"/>
                <w:color w:val="auto"/>
              </w:rPr>
            </w:pPr>
          </w:p>
        </w:tc>
        <w:tc>
          <w:tcPr>
            <w:tcW w:w="920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5">
              <w:r>
                <w:rPr>
                  <w:rFonts w:ascii="Arial" w:cs="Arial" w:eastAsia="Arial" w:hAnsi="Arial"/>
                  <w:sz w:val="18"/>
                  <w:szCs w:val="18"/>
                  <w:color w:val="0000EE"/>
                  <w:w w:val="82"/>
                </w:rPr>
                <w:t>Item 11.</w:t>
              </w:r>
            </w:hyperlink>
          </w:p>
        </w:tc>
        <w:tc>
          <w:tcPr>
            <w:tcW w:w="800" w:type="dxa"/>
            <w:vAlign w:val="bottom"/>
          </w:tcPr>
          <w:p>
            <w:pPr>
              <w:spacing w:after="0"/>
              <w:rPr>
                <w:sz w:val="21"/>
                <w:szCs w:val="21"/>
                <w:color w:val="auto"/>
              </w:rPr>
            </w:pPr>
          </w:p>
        </w:tc>
        <w:tc>
          <w:tcPr>
            <w:tcW w:w="4080" w:type="dxa"/>
            <w:vAlign w:val="bottom"/>
            <w:gridSpan w:val="1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5120" w:type="dxa"/>
            <w:vAlign w:val="bottom"/>
            <w:gridSpan w:val="1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5">
              <w:r>
                <w:rPr>
                  <w:rFonts w:ascii="Arial" w:cs="Arial" w:eastAsia="Arial" w:hAnsi="Arial"/>
                  <w:sz w:val="18"/>
                  <w:szCs w:val="18"/>
                  <w:color w:val="0000EE"/>
                  <w:w w:val="82"/>
                </w:rPr>
                <w:t>Item 12.</w:t>
              </w:r>
            </w:hyperlink>
          </w:p>
        </w:tc>
        <w:tc>
          <w:tcPr>
            <w:tcW w:w="800" w:type="dxa"/>
            <w:vAlign w:val="bottom"/>
          </w:tcPr>
          <w:p>
            <w:pPr>
              <w:spacing w:after="0"/>
              <w:rPr>
                <w:sz w:val="21"/>
                <w:szCs w:val="21"/>
                <w:color w:val="auto"/>
              </w:rPr>
            </w:pPr>
          </w:p>
        </w:tc>
        <w:tc>
          <w:tcPr>
            <w:tcW w:w="920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5">
              <w:r>
                <w:rPr>
                  <w:rFonts w:ascii="Arial" w:cs="Arial" w:eastAsia="Arial" w:hAnsi="Arial"/>
                  <w:sz w:val="18"/>
                  <w:szCs w:val="18"/>
                  <w:color w:val="0000EE"/>
                  <w:w w:val="82"/>
                </w:rPr>
                <w:t>Item 13.</w:t>
              </w:r>
            </w:hyperlink>
          </w:p>
        </w:tc>
        <w:tc>
          <w:tcPr>
            <w:tcW w:w="800" w:type="dxa"/>
            <w:vAlign w:val="bottom"/>
          </w:tcPr>
          <w:p>
            <w:pPr>
              <w:spacing w:after="0"/>
              <w:rPr>
                <w:sz w:val="21"/>
                <w:szCs w:val="21"/>
                <w:color w:val="auto"/>
              </w:rPr>
            </w:pPr>
          </w:p>
        </w:tc>
        <w:tc>
          <w:tcPr>
            <w:tcW w:w="5400" w:type="dxa"/>
            <w:vAlign w:val="bottom"/>
            <w:gridSpan w:val="22"/>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Certain Relationships and Related Transactions and Director Independence</w:t>
              </w:r>
            </w:hyperlink>
          </w:p>
        </w:tc>
        <w:tc>
          <w:tcPr>
            <w:tcW w:w="1880" w:type="dxa"/>
            <w:vAlign w:val="bottom"/>
            <w:gridSpan w:val="3"/>
          </w:tcPr>
          <w:p>
            <w:pPr>
              <w:spacing w:after="0"/>
              <w:rPr>
                <w:sz w:val="21"/>
                <w:szCs w:val="21"/>
                <w:color w:val="auto"/>
              </w:rPr>
            </w:pPr>
          </w:p>
        </w:tc>
        <w:tc>
          <w:tcPr>
            <w:tcW w:w="1920" w:type="dxa"/>
            <w:vAlign w:val="bottom"/>
            <w:gridSpan w:val="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5">
              <w:r>
                <w:rPr>
                  <w:rFonts w:ascii="Arial" w:cs="Arial" w:eastAsia="Arial" w:hAnsi="Arial"/>
                  <w:sz w:val="18"/>
                  <w:szCs w:val="18"/>
                  <w:color w:val="0000EE"/>
                  <w:w w:val="82"/>
                </w:rPr>
                <w:t>Item 14.</w:t>
              </w:r>
            </w:hyperlink>
          </w:p>
        </w:tc>
        <w:tc>
          <w:tcPr>
            <w:tcW w:w="800" w:type="dxa"/>
            <w:vAlign w:val="bottom"/>
          </w:tcPr>
          <w:p>
            <w:pPr>
              <w:spacing w:after="0"/>
              <w:rPr>
                <w:sz w:val="21"/>
                <w:szCs w:val="21"/>
                <w:color w:val="auto"/>
              </w:rPr>
            </w:pPr>
          </w:p>
        </w:tc>
        <w:tc>
          <w:tcPr>
            <w:tcW w:w="540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3800" w:type="dxa"/>
            <w:vAlign w:val="bottom"/>
            <w:gridSpan w:val="5"/>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14"/>
          </w:tcPr>
          <w:p>
            <w:pPr>
              <w:jc w:val="center"/>
              <w:ind w:right="4620"/>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Part IV</w:t>
              </w:r>
            </w:hyperlink>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56">
              <w:r>
                <w:rPr>
                  <w:rFonts w:ascii="Arial" w:cs="Arial" w:eastAsia="Arial" w:hAnsi="Arial"/>
                  <w:sz w:val="18"/>
                  <w:szCs w:val="18"/>
                  <w:color w:val="0000EE"/>
                  <w:w w:val="82"/>
                </w:rPr>
                <w:t>Item 15.</w:t>
              </w:r>
            </w:hyperlink>
          </w:p>
        </w:tc>
        <w:tc>
          <w:tcPr>
            <w:tcW w:w="800" w:type="dxa"/>
            <w:vAlign w:val="bottom"/>
          </w:tcPr>
          <w:p>
            <w:pPr>
              <w:spacing w:after="0"/>
              <w:rPr>
                <w:sz w:val="21"/>
                <w:szCs w:val="21"/>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Exhibits, Financial Statement Schedules</w:t>
              </w:r>
            </w:hyperlink>
          </w:p>
        </w:tc>
        <w:tc>
          <w:tcPr>
            <w:tcW w:w="1120" w:type="dxa"/>
            <w:vAlign w:val="bottom"/>
            <w:gridSpan w:val="3"/>
          </w:tcPr>
          <w:p>
            <w:pPr>
              <w:spacing w:after="0"/>
              <w:rPr>
                <w:sz w:val="21"/>
                <w:szCs w:val="21"/>
                <w:color w:val="auto"/>
              </w:rPr>
            </w:pPr>
          </w:p>
        </w:tc>
        <w:tc>
          <w:tcPr>
            <w:tcW w:w="560" w:type="dxa"/>
            <w:vAlign w:val="bottom"/>
            <w:tcBorders>
              <w:top w:val="single" w:sz="8" w:color="0000EE"/>
            </w:tcBorders>
            <w:gridSpan w:val="7"/>
          </w:tcPr>
          <w:p>
            <w:pPr>
              <w:spacing w:after="0"/>
              <w:rPr>
                <w:sz w:val="21"/>
                <w:szCs w:val="21"/>
                <w:color w:val="auto"/>
              </w:rPr>
            </w:pPr>
          </w:p>
        </w:tc>
        <w:tc>
          <w:tcPr>
            <w:tcW w:w="462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F-1</w:t>
              </w:r>
            </w:hyperlink>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These include statements that involve expectations, plans or intentions (such as those relating to future business, future results of operations or financial condition, new or planned features, products or services, or management strategies) based on our management's current beliefs and assumptions. You can identify these forward-looking statements by words such as "may," "will," "would," "should," "could," "expect," "anticipate," "believe," "estimate," "intend," "plan" and other similar expressions. However, not all forward-looking statements contain these words. These forward-looking statements involve risks and uncertainties that could cause our actual results to differ materially from those expressed or implied in our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w:t>
      </w:r>
    </w:p>
    <w:p>
      <w:pPr>
        <w:spacing w:after="0" w:line="22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Unless the context otherwise indicates, references in this Annual Report on Form 10-K to the terms "Shutterstock," "the Company," "we," "our" and "us" refer to Shutterstock, Inc. and its subsidiaries including, for the period prior to October 5, 2012, Shutterstock Images LLC. "Shutterstock", "Offset", "Bigstock", "Rex Features", "Premium Beat" and "WebDAM" are registered trademarks or logos appearing in this Annual Report on Form 10-K and are the property of Shutterstock, Inc. or one of our subsidiaries. All other trademarks, service marks and trade names appearing in this Annual Report on Form 10-K are the property of their respective owners.</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380" w:firstLine="432"/>
        <w:spacing w:after="0" w:line="297" w:lineRule="auto"/>
        <w:rPr>
          <w:sz w:val="20"/>
          <w:szCs w:val="20"/>
          <w:color w:val="auto"/>
        </w:rPr>
      </w:pPr>
      <w:r>
        <w:rPr>
          <w:rFonts w:ascii="Arial" w:cs="Arial" w:eastAsia="Arial" w:hAnsi="Arial"/>
          <w:sz w:val="16"/>
          <w:szCs w:val="16"/>
          <w:color w:val="auto"/>
        </w:rPr>
        <w:t>We are a leading global provider of high quality creative content including: (a) digital imagery, which consists of licensed photographs, vectors, illustrations and video clips that customers use in their visual communications, such as websites, digital and print marketing materials, corporate communications, books, publications and video content; and (b) commercial music, which consists of high-quality music tracks and sound effects, and is often used to complement digital imagery. We also offer digital asset management services through WebDAM, our cloud-based digital asset management platform. This service provides tools for customers to better manage creative content and brand management assets.</w:t>
      </w:r>
    </w:p>
    <w:p>
      <w:pPr>
        <w:spacing w:after="0" w:line="212"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Our global marketplace brings together users and contributors of creative content from around the world by providing a freely searchable collection of content that our customers can pay to license and incorporate into their work. More than 1.4 million active, paying customers contributed to our revenue in 2015. As of December 31, 2015, more than 95,000 contributors made their creative content available in our collection, which has grown to more than 70 million commercially licensable images and more than 3.5 million video clips in addition to our one-of-a-kind collection of curated high-quality music and our ever-growing catalog of current and archived editorial photographs and videos. This makes our collection of digital content one of the largest of its kind. During 2015, we delivered more than 140 million paid downloads to our customers. See "Management's Discussion and Analysis of Financial Condition and Results of Operations—Key Operating Metrics—Paid Downloads" and "Management's Discussion and Analysis of Financial Condition and Results of Operations—Key Operating Metrics—Images in our Collection" for more information as to how we define and calculate paid downloads and images in our collection.</w:t>
      </w:r>
    </w:p>
    <w:p>
      <w:pPr>
        <w:spacing w:after="0" w:line="25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compensate contributors for their content that is downloaded by our customers. This marketplace model allows us to offer users a cost-effective and easy-to-use alternative to the time-consuming and expensive traditional methods of obtaining and distributing creative content, while our rigorous vetting process and willingness to provide indemnification protection enables us to provide customers with confidence that our collection has been appropriately licensed for commercial or editorial use. We enable businesses of all sizes throughout the world, including media agencies and creative service providers, to affordably access high-quality creative content to meet their increasing needs.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enable customers to license creative content in a way that is affordable, simple and easy in order to encourage a high volume of purchases and downloads. Our customers' average cost per download in 2015 was $2.84. See "Management's Discussion and Analysis of Financial Condition and Results of Operations—Key Operating Metrics—Revenue per Download" for more information as to how we define and calculate average cost, or revenue, per download. The majority of customer downloads come from subscription-based users, who contribute approximately 33% of our revenue. We also offer simple and easy-to-use On Demand purchase options for users who prefer the flexibility of purchasing content when and as needed. Our simple and affordable licensing models drive a high volume of download activity that in turn enables us to continuously improve the quality and accuracy of our proprietary search algorithms, including keyword and similar image identification, and encourages the creation of new content to meet our customers' needs.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83"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We offer a variety of content types, including photographs, illustrations, vector art, video clips and music tracks. Users can search our collection and preview our content at no cost before licensing and downloading the content they need. All of our content is provided under a royalty-free non-exclusive license and each piece of content available for download has been vetted by our team of reviewers to ensure that it meets our standards of quality and can be appropriately licensed for commercial or editorial use. Our content offerings are marketed as follows:</w:t>
      </w:r>
    </w:p>
    <w:p>
      <w:pPr>
        <w:spacing w:after="0" w:line="225" w:lineRule="exact"/>
        <w:rPr>
          <w:sz w:val="20"/>
          <w:szCs w:val="20"/>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Shutterstock </w:t>
      </w:r>
      <w:r>
        <w:rPr>
          <w:rFonts w:ascii="Arial" w:cs="Arial" w:eastAsia="Arial" w:hAnsi="Arial"/>
          <w:sz w:val="18"/>
          <w:szCs w:val="18"/>
          <w:color w:val="auto"/>
        </w:rPr>
        <w:t>- Shutterstock is our flagship brand and the majority of our revenue is generated through our shutterstock.com website. Since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in 2003, we have expanded our Shutterstock collection beyond photographs to include illustrations and videos, and in 2015 the collection grew to over 70 million images and over 3.5 million video clips, further establishing Shutterstock as a top source of high quality digital imagery for multimedia producers world-wide.</w:t>
      </w:r>
    </w:p>
    <w:p>
      <w:pPr>
        <w:spacing w:after="0" w:line="240" w:lineRule="exact"/>
        <w:rPr>
          <w:rFonts w:ascii="Arial" w:cs="Arial" w:eastAsia="Arial" w:hAnsi="Arial"/>
          <w:sz w:val="18"/>
          <w:szCs w:val="18"/>
          <w:b w:val="1"/>
          <w:bCs w:val="1"/>
          <w:i w:val="1"/>
          <w:iCs w:val="1"/>
          <w:color w:val="auto"/>
        </w:rPr>
      </w:pPr>
    </w:p>
    <w:p>
      <w:pPr>
        <w:ind w:left="660" w:right="5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Bigstock </w:t>
      </w:r>
      <w:r>
        <w:rPr>
          <w:rFonts w:ascii="Arial" w:cs="Arial" w:eastAsia="Arial" w:hAnsi="Arial"/>
          <w:sz w:val="18"/>
          <w:szCs w:val="18"/>
          <w:color w:val="auto"/>
        </w:rPr>
        <w:t>- Bigstock maintains an extensive library of unique photos, illustrations, vectors and videos specifically curated to meet the needs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creators and others seeking to incorporate cost-effective digital imagery into their projects.</w:t>
      </w:r>
    </w:p>
    <w:p>
      <w:pPr>
        <w:spacing w:after="0" w:line="224" w:lineRule="exact"/>
        <w:rPr>
          <w:rFonts w:ascii="Arial" w:cs="Arial" w:eastAsia="Arial" w:hAnsi="Arial"/>
          <w:sz w:val="18"/>
          <w:szCs w:val="18"/>
          <w:color w:val="auto"/>
        </w:rPr>
      </w:pPr>
    </w:p>
    <w:p>
      <w:pPr>
        <w:ind w:left="660" w:right="360" w:hanging="328"/>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Offset </w:t>
      </w:r>
      <w:r>
        <w:rPr>
          <w:rFonts w:ascii="Arial" w:cs="Arial" w:eastAsia="Arial" w:hAnsi="Arial"/>
          <w:sz w:val="16"/>
          <w:szCs w:val="16"/>
          <w:color w:val="auto"/>
        </w:rPr>
        <w:t>- For high-impact use cases that require extraordinary imagery, our Offset brand provides authentic and exceptional imagery under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straightforward licensing process. Offset features work from top assignment photographers and illustrators from around the world, in addition to established and respected collections including National Geographic and The Licensing Project. Every image in the collection is hand-selected, chosen for its artistic distinction and narrative quality, and is curated into specific categories such as lifestyle, food, travel and fashion.</w:t>
      </w:r>
    </w:p>
    <w:p>
      <w:pPr>
        <w:spacing w:after="0" w:line="208" w:lineRule="exact"/>
        <w:rPr>
          <w:rFonts w:ascii="Arial" w:cs="Arial" w:eastAsia="Arial" w:hAnsi="Arial"/>
          <w:sz w:val="16"/>
          <w:szCs w:val="16"/>
          <w:color w:val="auto"/>
        </w:rPr>
      </w:pPr>
    </w:p>
    <w:p>
      <w:pPr>
        <w:ind w:left="660" w:right="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Shutterstock Music </w:t>
      </w:r>
      <w:r>
        <w:rPr>
          <w:rFonts w:ascii="Arial" w:cs="Arial" w:eastAsia="Arial" w:hAnsi="Arial"/>
          <w:sz w:val="18"/>
          <w:szCs w:val="18"/>
          <w:color w:val="auto"/>
        </w:rPr>
        <w:t>- Shutterstock music provides thousands of high-quality audio tracks and sound effects at affordable prices via its easy-to-use e-commerce platform, giving businesses, marketers, producers and filmmakers the audio content they need to bring their ideas to life. In January 2015, we acquired PremiumBeat, a leading provider of exclusive, high-quality music to enhance the depth of our existing music library and the quality of our overall product in the marketplace.</w:t>
      </w:r>
    </w:p>
    <w:p>
      <w:pPr>
        <w:spacing w:after="0" w:line="240" w:lineRule="exact"/>
        <w:rPr>
          <w:rFonts w:ascii="Arial" w:cs="Arial" w:eastAsia="Arial" w:hAnsi="Arial"/>
          <w:sz w:val="18"/>
          <w:szCs w:val="18"/>
          <w:color w:val="auto"/>
        </w:rPr>
      </w:pPr>
    </w:p>
    <w:p>
      <w:pPr>
        <w:ind w:left="660" w:right="140" w:hanging="328"/>
        <w:spacing w:after="0" w:line="27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Shutterstock Editorial </w:t>
      </w:r>
      <w:r>
        <w:rPr>
          <w:rFonts w:ascii="Arial" w:cs="Arial" w:eastAsia="Arial" w:hAnsi="Arial"/>
          <w:sz w:val="17"/>
          <w:szCs w:val="17"/>
          <w:color w:val="auto"/>
        </w:rPr>
        <w:t>- Shutterstock editorial provides editorial imagery, such as celebrity, entertainment, sports and news images to a broad range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customers from traditional media outlets to bloggers by providing a real-time feed of editorial content and an extensive multi-decade archive of iconic photos. In January 2015, Shutterstock acquired Rex Features, the largest independently-owned photographic press agency in Europe, which has provided a strong base for growing our editorial offering. In June 2015, we entered into an exclusive distribution agreement with Penske Media Corporation, or PMC, which provides us with insider access to various events such as the Golden Globe Awards and Academy Awards, exclusive worldwide rights to license PMC's extensive archive that includes Variety and Women's Wear Daily publications, and credibility in the market for editorial content that will allow us to further grow our product offerings.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extensive line of content products, our other products include:</w:t>
      </w:r>
    </w:p>
    <w:p>
      <w:pPr>
        <w:spacing w:after="0" w:line="279" w:lineRule="exact"/>
        <w:rPr>
          <w:sz w:val="20"/>
          <w:szCs w:val="20"/>
          <w:color w:val="auto"/>
        </w:rPr>
      </w:pPr>
    </w:p>
    <w:p>
      <w:pPr>
        <w:ind w:left="660" w:right="10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WebDAM </w:t>
      </w:r>
      <w:r>
        <w:rPr>
          <w:rFonts w:ascii="Arial" w:cs="Arial" w:eastAsia="Arial" w:hAnsi="Arial"/>
          <w:sz w:val="18"/>
          <w:szCs w:val="18"/>
          <w:color w:val="auto"/>
        </w:rPr>
        <w:t>- WebDAM provides tools to marketing and creative teams through its digital asset management platform. WebDAM's products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manage, search, distribute and collaborate on creative files in order to grow their brands and reach new audiences, and can be particularly attractive to large enterprises, which make up a growing portion of WebDAM's client base. Our addition of WebDAM has enhanced our strategic position with enterprise customers and broadened our product portfolio.</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We compete to be an integral component of the creative process for our customers based on a number of factors including the quality, relevance and breadth of content, the ease and speed of search and fulfillment, pricing and licensing models and practices, and brand recognition and reputation. We also compete for contributors on the basis of a number of similar factors including ease and speed of the upload and content review process, contributor commission models and practices, brand recognition and reputation, and the volume of customers who utilize the submitted content in their work.</w:t>
      </w:r>
    </w:p>
    <w:p>
      <w:pPr>
        <w:spacing w:after="0" w:line="20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also leverage, to the greatest extent possible, the global nature of our user interfaces and marketing efforts, including local languages, currencies and payment methods and our effective use of current and emerging technology and marketing channels to attract and retain customers and contributors. We believe that we benefit from significant network effects: as we have grown, our broadening audience of paying users has attracted more content from contributors, and the ever-increasing selection of high-quality content has in turn helped to attract more customers to our sites. The success of this network effect is facilitated by the trust that users place in Shutterstock to maintain the quality and integrity of our branded marketplace, and our commitment to seamless integration into users' creative workflows on all sides.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our current and potential significant competitors include:</w:t>
      </w:r>
    </w:p>
    <w:p>
      <w:pPr>
        <w:spacing w:after="0" w:line="279" w:lineRule="exact"/>
        <w:rPr>
          <w:sz w:val="20"/>
          <w:szCs w:val="20"/>
          <w:color w:val="auto"/>
        </w:rPr>
      </w:pPr>
    </w:p>
    <w:p>
      <w:pPr>
        <w:ind w:left="980" w:right="4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online marketplaces for imagery and workflow tools such as iStockphoto, Adobe's AdobeStock offering which was launched after its acquisition of Fotolia, and Dreamstime;</w:t>
      </w:r>
    </w:p>
    <w:p>
      <w:pPr>
        <w:spacing w:after="0" w:line="22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traditional stock content providers such as Getty Images and Corbis Corporation (whose content licensing business was recently acquired by an affiliate of Visual China Group);</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specialized visual content companies that are established in local, content or product-specific market segments;</w:t>
      </w:r>
    </w:p>
    <w:p>
      <w:pPr>
        <w:spacing w:after="0" w:line="27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providers of commercially licensable music such as Universal Music Publishing Group, Sony/ATV Music Publishing, Warner Music Group, and EMI Music Publishing;</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websites focused on image search and discovery such as Google Images;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websites for image hosting, art and related products such as Flickr;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providers of cloud-based digital asset management tools;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social networking and social media services;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commissioned photographers and photography agencies.</w:t>
      </w:r>
    </w:p>
    <w:p>
      <w:pPr>
        <w:spacing w:after="0" w:line="27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addition, we compete with the alternative of creating one's own content or choosing not to consume licensed content due to price considerations or because the user is not aware of how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Options</w:t>
      </w:r>
    </w:p>
    <w:p>
      <w:pPr>
        <w:spacing w:after="0" w:line="28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More than 1.4 million customers from more than 150 countries contributed to our revenue in 2015, with our top 25 customers in the aggregate accounting for less than 2% of our revenue. The majority of our customers pay us upfront and then use their downloads in a predictable pattern over time, which results in favorable timing of cash flows.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strive to offer simple, transparent purchase options that remove complexity from a customer's workflow. We currently offer the following options:</w:t>
      </w:r>
    </w:p>
    <w:p>
      <w:pPr>
        <w:spacing w:after="0" w:line="302" w:lineRule="exact"/>
        <w:rPr>
          <w:sz w:val="20"/>
          <w:szCs w:val="20"/>
          <w:color w:val="auto"/>
        </w:rPr>
      </w:pPr>
    </w:p>
    <w:p>
      <w:pPr>
        <w:ind w:left="660" w:right="80" w:hanging="328"/>
        <w:spacing w:after="0" w:line="276"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Subscription: </w:t>
      </w:r>
      <w:r>
        <w:rPr>
          <w:rFonts w:ascii="Arial" w:cs="Arial" w:eastAsia="Arial" w:hAnsi="Arial"/>
          <w:sz w:val="17"/>
          <w:szCs w:val="17"/>
          <w:color w:val="auto"/>
        </w:rPr>
        <w:t>Our signature purchase options are our subscription plans, which allow customers to download content under our Standard License,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regardless of image size, and experiment with multiple images at no extra cost, which removes friction from their creative process. Subscription plans are offered in varying lengths from one month to one year and in varying download quantities with daily and monthly limits. For the majority of subscription sales, we receive the full amount of the purchase price at the time of sale. Subscription purchase options across all of our product offerings represented approximately 33% of our revenue for the year ended December 31, 2015.</w:t>
      </w:r>
    </w:p>
    <w:p>
      <w:pPr>
        <w:spacing w:after="0" w:line="226" w:lineRule="exact"/>
        <w:rPr>
          <w:rFonts w:ascii="Arial" w:cs="Arial" w:eastAsia="Arial" w:hAnsi="Arial"/>
          <w:sz w:val="17"/>
          <w:szCs w:val="17"/>
          <w:b w:val="1"/>
          <w:bCs w:val="1"/>
          <w:i w:val="1"/>
          <w:iCs w:val="1"/>
          <w:color w:val="auto"/>
        </w:rPr>
      </w:pPr>
    </w:p>
    <w:p>
      <w:pPr>
        <w:ind w:left="660" w:right="60" w:hanging="328"/>
        <w:spacing w:after="0" w:line="276"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On Demand: </w:t>
      </w:r>
      <w:r>
        <w:rPr>
          <w:rFonts w:ascii="Arial" w:cs="Arial" w:eastAsia="Arial" w:hAnsi="Arial"/>
          <w:sz w:val="17"/>
          <w:szCs w:val="17"/>
          <w:color w:val="auto"/>
        </w:rPr>
        <w:t>Customers can purchase content through fixed price packages varying in download quantities from one to 60 downloads. This offers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the simplicity of being able to license content under various licensing options depending upon the customer's specific needs. Upon the purchase of On Demand content, the customer has up to one year to download content before it expires. While the majority of On Demand content revenue comes from our Standard License packages, other forms of On Demand purchases for content include Enhanced Licenses (for customers who need broader licensing rights or higher indemnification than are offered under our Standard License),</w:t>
      </w:r>
    </w:p>
    <w:p>
      <w:pPr>
        <w:sectPr>
          <w:pgSz w:w="11900" w:h="16838" w:orient="portrait"/>
          <w:cols w:equalWidth="0" w:num="1">
            <w:col w:w="11400"/>
          </w:cols>
          <w:pgMar w:left="240" w:top="125" w:right="25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340"/>
        <w:spacing w:after="0" w:line="324" w:lineRule="auto"/>
        <w:rPr>
          <w:sz w:val="20"/>
          <w:szCs w:val="20"/>
          <w:color w:val="auto"/>
        </w:rPr>
      </w:pPr>
      <w:r>
        <w:rPr>
          <w:rFonts w:ascii="Arial" w:cs="Arial" w:eastAsia="Arial" w:hAnsi="Arial"/>
          <w:sz w:val="18"/>
          <w:szCs w:val="18"/>
          <w:color w:val="auto"/>
        </w:rPr>
        <w:t>and content licensed through Bigstock and Offset. Our On Demand purchase options represented approximately 38% of our revenue for the year ended December 31, 2015.</w:t>
      </w:r>
    </w:p>
    <w:p>
      <w:pPr>
        <w:spacing w:after="0" w:line="197" w:lineRule="exact"/>
        <w:rPr>
          <w:sz w:val="20"/>
          <w:szCs w:val="20"/>
          <w:color w:val="auto"/>
        </w:rPr>
      </w:pPr>
    </w:p>
    <w:p>
      <w:pPr>
        <w:ind w:left="660" w:right="40" w:hanging="328"/>
        <w:spacing w:after="0" w:line="257"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Purchase Options: </w:t>
      </w:r>
      <w:r>
        <w:rPr>
          <w:rFonts w:ascii="Arial" w:cs="Arial" w:eastAsia="Arial" w:hAnsi="Arial"/>
          <w:sz w:val="18"/>
          <w:szCs w:val="18"/>
          <w:color w:val="auto"/>
        </w:rPr>
        <w:t>We provide a number of other purchase options which together represented approximately 29% of our revenue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2015. These purchase options include custom and enterprise accounts for customers that need multi-seat access, invoicing, unlimited indemnification or a higher volume of content, content purchased through third-party application interfaces and content licensed for editorial use only as well as WebDAM's digital asset management offerings, which are made available to enterprise customers via annual software-as-a-service subscription plans.</w:t>
      </w:r>
    </w:p>
    <w:p>
      <w:pPr>
        <w:spacing w:after="0" w:line="242"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have achieved significant growth since our marketplace was launched in 2003. In 2015 and 2014, we generated revenue of $425.1 million and $328.0 million, respectively, representing year-over-year revenue growth of approximately 30%. In 2015 and 2014, our net income was $19.6 million and $22.1 million, respectively.</w:t>
      </w:r>
    </w:p>
    <w:p>
      <w:pPr>
        <w:spacing w:after="0" w:line="23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evaluating our business, we also use certain financial measures which are not calculated in accordance with accounting principles generally accepted in the United States, or GAAP, which we collectively refer to as Non-GAAP Measures. In 2015 and 2014, we generated Adjusted EBITDA of $84.7 million and $71.1 million, respectively, Non-GAAP Net Income of $44.2 million and $38.6 million, respectively, and Free Cash Flow of $68.3 million and $64.2 million, respectively. For further detail around the calculation and limitations of these measures, please see "Selected Financial Data—Non-GAAP Financial Measures."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8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serve a wide variety of customers across numerous industries, organizational sizes and geographies. As of December 31, 2015, our customer database contained more than 1.4 million users in more than 150 countries that contributed to our revenue in 2015, with approximately 39%, 34% and 27% of revenue coming from customers in North America, Europe and the rest of the world, respectively. Due to our large number of customers, we do not have any material customer concentration, and our top 25 customers in the aggregate accounted for less than 2% of our revenue in 2015. Our customers are concentrated in one of three categories, all of which require high-quality digital content to achieve their creative goals:</w:t>
      </w:r>
    </w:p>
    <w:p>
      <w:pPr>
        <w:spacing w:after="0" w:line="227" w:lineRule="exact"/>
        <w:rPr>
          <w:sz w:val="20"/>
          <w:szCs w:val="20"/>
          <w:color w:val="auto"/>
        </w:rPr>
      </w:pPr>
    </w:p>
    <w:p>
      <w:pPr>
        <w:ind w:left="660" w:hanging="328"/>
        <w:spacing w:after="0" w:line="264"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Businesses. </w:t>
      </w:r>
      <w:r>
        <w:rPr>
          <w:rFonts w:ascii="Arial" w:cs="Arial" w:eastAsia="Arial" w:hAnsi="Arial"/>
          <w:sz w:val="18"/>
          <w:szCs w:val="18"/>
          <w:color w:val="auto"/>
        </w:rPr>
        <w:t>Business customers require content for a wide range of internal- and external-use communications such as websites, print and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advertisements, annual reports, brochures, employee communications, newsletters, email marketing campaigns and presentations. Our business users range from sole proprietors to </w:t>
      </w:r>
      <w:r>
        <w:rPr>
          <w:rFonts w:ascii="Arial" w:cs="Arial" w:eastAsia="Arial" w:hAnsi="Arial"/>
          <w:sz w:val="18"/>
          <w:szCs w:val="18"/>
          <w:i w:val="1"/>
          <w:iCs w:val="1"/>
          <w:color w:val="auto"/>
        </w:rPr>
        <w:t>Fortune 500</w:t>
      </w:r>
      <w:r>
        <w:rPr>
          <w:rFonts w:ascii="Arial" w:cs="Arial" w:eastAsia="Arial" w:hAnsi="Arial"/>
          <w:sz w:val="18"/>
          <w:szCs w:val="18"/>
          <w:color w:val="auto"/>
        </w:rPr>
        <w:t xml:space="preserve"> companies.</w:t>
      </w:r>
    </w:p>
    <w:p>
      <w:pPr>
        <w:spacing w:after="0" w:line="235" w:lineRule="exact"/>
        <w:rPr>
          <w:rFonts w:ascii="Arial" w:cs="Arial" w:eastAsia="Arial" w:hAnsi="Arial"/>
          <w:sz w:val="18"/>
          <w:szCs w:val="18"/>
          <w:b w:val="1"/>
          <w:bCs w:val="1"/>
          <w:i w:val="1"/>
          <w:iCs w:val="1"/>
          <w:color w:val="auto"/>
        </w:rPr>
      </w:pPr>
    </w:p>
    <w:p>
      <w:pPr>
        <w:ind w:left="660" w:right="480" w:hanging="328"/>
        <w:spacing w:after="0" w:line="264"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Marketing Agencies. </w:t>
      </w:r>
      <w:r>
        <w:rPr>
          <w:rFonts w:ascii="Arial" w:cs="Arial" w:eastAsia="Arial" w:hAnsi="Arial"/>
          <w:sz w:val="18"/>
          <w:szCs w:val="18"/>
          <w:color w:val="auto"/>
        </w:rPr>
        <w:t>Marketing agencies require content to incorporate in the work they produce for their clients' business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providing graphic design, web design, interactive design, advertising, public relations, communications or marketing services, our marketing users range from independent freelancers to the largest global agencies.</w:t>
      </w:r>
    </w:p>
    <w:p>
      <w:pPr>
        <w:spacing w:after="0" w:line="235" w:lineRule="exact"/>
        <w:rPr>
          <w:rFonts w:ascii="Arial" w:cs="Arial" w:eastAsia="Arial" w:hAnsi="Arial"/>
          <w:sz w:val="18"/>
          <w:szCs w:val="18"/>
          <w:b w:val="1"/>
          <w:bCs w:val="1"/>
          <w:i w:val="1"/>
          <w:iCs w:val="1"/>
          <w:color w:val="auto"/>
        </w:rPr>
      </w:pPr>
    </w:p>
    <w:p>
      <w:pPr>
        <w:ind w:left="660" w:right="100" w:hanging="328"/>
        <w:spacing w:after="0" w:line="264"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Media Organizations. </w:t>
      </w:r>
      <w:r>
        <w:rPr>
          <w:rFonts w:ascii="Arial" w:cs="Arial" w:eastAsia="Arial" w:hAnsi="Arial"/>
          <w:sz w:val="18"/>
          <w:szCs w:val="18"/>
          <w:color w:val="auto"/>
        </w:rPr>
        <w:t>Media professionals require content to incorporate into their work, which includes digital publications, newspapers, books,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magazines, television and film, as well as to market their products effectively. Our media users range from independent bloggers to multi-national publishing and broadcast organizations.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Contributors and Content Review Process</w:t>
      </w:r>
    </w:p>
    <w:p>
      <w:pPr>
        <w:spacing w:after="0" w:line="28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content we provide to our users is created by a community of contributors from around the world and is vetted by our specialized team of content reviewers to ensure that it is of the highest quality. Whether photographers, videographers, illustrators, designers or musicians, our community of more than 95,000 approved contributors as of December 31, 2015 ranges from part-time enthusiasts to full-time professionals, and all of them must meet our high standards that our customers have come to expect from Shutterstock.</w:t>
      </w:r>
    </w:p>
    <w:p>
      <w:pPr>
        <w:spacing w:after="0" w:line="24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become a contributor, an individual must submit an application that includes a sampling of images or video clips. Of more than 1.2 million contributor applications that had been submitted as of December 31, 2015, fewer than 10% have been approved. Once accepted by our review team, contributors can upload as many images or videos as they like. However, every submitted image or video is reviewed to ensure that images and videos in our collection meet our aesthetic and technical quality standards. As of December 31, 2015, approximately 121 million images had been submitted to our review team by approved contributors and, of those, approximately 60%, were approved and made available in our marketplace. Each image or video that is rejected by our review team is tagged with at least one rejection reason that is communicated to the submitting contributor to help them to improve and to give insight into our review standards. Such rejection reasons include, among other things, lack of focus, composition, poor lighting, and potential concerns regarding intellectual property rights. We combine proprietary technology and a highly trained content review staff to deliver sophisticated yet efficient image review— typically, all content submitted is processed within 36 hours of upload.</w:t>
      </w:r>
    </w:p>
    <w:p>
      <w:pPr>
        <w:sectPr>
          <w:pgSz w:w="11900" w:h="16838" w:orient="portrait"/>
          <w:cols w:equalWidth="0" w:num="1">
            <w:col w:w="11400"/>
          </w:cols>
          <w:pgMar w:left="240" w:top="125" w:right="25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Contributors are required to associate keywords with each piece of content they submit in order to make their content more easily discovered using our search algorithms. Keywords usually contain both descriptive terms that literally identify the content of an image (e.g., "padlock") and conceptual terms that describe what an image might convey (e.g., "security"). We currently have over 2.5 billion contributor-generated keywords in our proprietary database, averaging 37 keywords per image.</w:t>
      </w:r>
    </w:p>
    <w:p>
      <w:pPr>
        <w:spacing w:after="0" w:line="24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Content accepted into our collection is added to our websites where it is available for search, selection, license and download. Contributors are typically paid monthly based on how many times their images or video clips have been licensed in the previous month. Contributors may choose to remove their images or video clips from our collection at any time. Due to our large number of contributors, we do not have a material content supply concentration; the content contributed by our five highest-earning contributors was together responsible for less than 3% of downloads in 2015.</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Editorial and music content is sourced through direct submission to our content teams and through a number of strategic partnerships. Our acquisitions of PremiumBeat and Rex Features and our partnership with PMC during 2015 further enhance our collection and content acquisition capabilities in these areas.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provide different earnings structures to contributors based on content type and customers' licensing needs:</w:t>
      </w:r>
    </w:p>
    <w:p>
      <w:pPr>
        <w:spacing w:after="0" w:line="279" w:lineRule="exact"/>
        <w:rPr>
          <w:sz w:val="20"/>
          <w:szCs w:val="20"/>
          <w:color w:val="auto"/>
        </w:rPr>
      </w:pPr>
    </w:p>
    <w:p>
      <w:pPr>
        <w:ind w:left="660" w:right="40" w:hanging="328"/>
        <w:spacing w:after="0" w:line="255"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Images. </w:t>
      </w:r>
      <w:r>
        <w:rPr>
          <w:rFonts w:ascii="Arial" w:cs="Arial" w:eastAsia="Arial" w:hAnsi="Arial"/>
          <w:sz w:val="18"/>
          <w:szCs w:val="18"/>
          <w:color w:val="auto"/>
        </w:rPr>
        <w:t>Contributors of photographs, illustrations and vector art to our websites are typically paid based on the number of times that their images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downloaded. The majority of image downloads are licensed under our Standard License, whereby the contributor earns a royalty typically ranging from $0.25 to over $5.00 per download. The exact amount earned is determined by our published earnings schedule which considers the contributor's lifetime earnings which determine the contributor's earnings tier and the purchase option under which the content was licensed. Contributors generally earn more per download when images are licensed under our Enhanced License or are licensed for editorial use only and can typically earn up to 50% of the sales price for each image.</w:t>
      </w:r>
    </w:p>
    <w:p>
      <w:pPr>
        <w:spacing w:after="0" w:line="247" w:lineRule="exact"/>
        <w:rPr>
          <w:rFonts w:ascii="Arial" w:cs="Arial" w:eastAsia="Arial" w:hAnsi="Arial"/>
          <w:sz w:val="18"/>
          <w:szCs w:val="18"/>
          <w:b w:val="1"/>
          <w:bCs w:val="1"/>
          <w:i w:val="1"/>
          <w:iCs w:val="1"/>
          <w:color w:val="auto"/>
        </w:rPr>
      </w:pPr>
    </w:p>
    <w:p>
      <w:pPr>
        <w:ind w:left="660" w:right="100" w:hanging="328"/>
        <w:spacing w:after="0" w:line="259"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Video Footage and Music. </w:t>
      </w:r>
      <w:r>
        <w:rPr>
          <w:rFonts w:ascii="Arial" w:cs="Arial" w:eastAsia="Arial" w:hAnsi="Arial"/>
          <w:sz w:val="18"/>
          <w:szCs w:val="18"/>
          <w:color w:val="auto"/>
        </w:rPr>
        <w:t>Contributors of video footage and music tracks are also generally paid based on the number of times that their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clips or music tracks have been licensed and downloaded. When a video clip or music track is downloaded the contributor is typically paid between 30% and 50% of the sales price per download. In certain limited cases, video and music contributors are paid a one-time up-front perpetual license fee instead of being paid per download.</w:t>
      </w:r>
    </w:p>
    <w:p>
      <w:pPr>
        <w:spacing w:after="0" w:line="241"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In certain cases, we will enter into arrangements with contributors whereby we guarantee a minimum royalty to a contributor, usually paid up-front, in exchange for exclusive rights to distribute content when we believe such exclusivity provides us with a distinct competitive advantage.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8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technology is critical to our business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2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24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customer-facing software enables users to search millions of digital images, illustrations, vectors, video clips and music tracks and then select, organize, pay for, license and download the content they would like to use. Our proprietary search algorithms evolve automatically based on behavioral data, which means that each search and download that a user performs on our websites gives our search engine more information with which to improve. Having delivered over 625 million paid downloads as of December 31, 2015, the data that we have collected and the search technology that it powers are an important and proprietary asset. In December 2015, we announced the launch of Shutterstock Editor with the goal of further enhancing the user experience by providing users the ability to customize certain content without leaving their browser, improving the customer's workflow and eliminating time-consuming steps in the creative process. We have also invested in globalizing our e-commerce platform, allowing customers to search and make purchases in twenty languages and twelve currencies.</w:t>
      </w:r>
    </w:p>
    <w:p>
      <w:pPr>
        <w:spacing w:after="0" w:line="246"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Another of our customer-facing software platforms is WebDAM, which enables us to better service a broader range of customers by offering a more seamless experience to enterprise users as they license, download, store and share digital assets through WebDAM's cloud-based software platform.</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contributor-facing software enables creative professionals around the world to apply to become a contributor, upload and tag content, receive feedback on their submissions from our review team, see reports on earnings and payouts, and participate in online discussion forums with other contributors. We have also developed proprietary tools to enable our</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contributors to improve their success on our websites, including our Keyword Trends Tool that allows contributors to see what terms customers are searching for and how those search terms are trending over time. This tool allows contributors to anticipate demand and generate content that customers may want to license, and is another example of how we combine software and large-scale proprietary datasets to deliver value to our users.</w:t>
      </w:r>
    </w:p>
    <w:p>
      <w:pPr>
        <w:spacing w:after="0" w:line="22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internal software enables the technological and business processes necessary to deliver a high quality experience for customers and contributors. This includes a content review system that allows our review team to efficiently and accurately review the content that is made available on our websites. In addition, we use internally developed software and third 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w:t>
      </w:r>
    </w:p>
    <w:p>
      <w:pPr>
        <w:spacing w:after="0" w:line="2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systems infrastructure is hosted by industry-leading third-party hosting providers that offer 24-hour monitoring, high-speed network access, auxiliary power generators and back-up systems. We maintain multiple production data centers to provide rapid content delivery to our customers and also to support business continuity in the event of an emergency. We also use content delivery network solutions to ensure fast access to our content around the world. Network, website, service and hardware-level monitoring, coupled with remote-content monitoring, allow our systems to maintain a high level of uptime and availability with high-performance delivery.</w:t>
      </w:r>
    </w:p>
    <w:p>
      <w:pPr>
        <w:spacing w:after="0" w:line="242"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Our development teams employ Agile Development methodologies to increase the speed and effectiveness of our technology efforts. We focus on iterative and incremental development processes through which cross-functional teams release software code nearly every day.</w:t>
      </w:r>
    </w:p>
    <w:p>
      <w:pPr>
        <w:spacing w:after="0" w:line="20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we continue to grow the business, our technological needs continue to expand and, as such, a continuous level of investment is required for the enhancement of existing products and services and for the development of new products and services. We view our investments in technology as core to our long-term success and we intend to continue to investigate, develop and make increased capital investments in technology and operational systems that support both our current business and new areas of potential business expansion.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customers to our websites by promoting the key value propositions of our offerings: diverse and high-quality content, intuitive and efficient interfaces and market-leading value.</w:t>
      </w:r>
    </w:p>
    <w:p>
      <w:pPr>
        <w:spacing w:after="0" w:line="241"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marketing efforts used in generating more revenue for us also help us generate more earnings for our contributors. Increasing revenue helps attract more content, which in turn helps us convert and retain even more paying customers. Furthermore, the high degree of satisfaction that customers have with our product drives word-of-mouth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w:t>
      </w:r>
    </w:p>
    <w:p>
      <w:pPr>
        <w:spacing w:after="0" w:line="28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significant majority of our revenue is generated via self-serve e-commerce. We encourage our customers to take advantage of the comprehensive search capabilities of our websites, our credit card-based payment options and the immediate digital delivery of licensed content. We believe the ability to search for, select, license and download content over the internet offers our users convenience and speed, and enables us to achieve greater economies of scale.</w:t>
      </w:r>
    </w:p>
    <w:p>
      <w:pPr>
        <w:spacing w:after="0" w:line="24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Direct communication with our customers, however, remains a significant component of our customer support and sales strategy. Our customer support and sales team is available to assist users via email, chat and phone in twelve languages. In addition to handling inbound customer support and sales inquiries, we also proactively contact potential high-volume enterprise customers and offer them custom accounts to meet their needs; such outbound sales activities contributed approximately 29% of our revenue for the year ended December 31, 2015.</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Rights and Intellectual Property</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Product Rights and Indemnification.</w:t>
      </w:r>
    </w:p>
    <w:p>
      <w:pPr>
        <w:spacing w:after="0" w:line="27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All of the content that we make available to customers on our websites is offered under a perpetual, royalty-free license. This means that once a customer has licensed content from us, that customer can use the associated content in accordance with the license terms in perpetuity without having to pay any ongoing royalties to us. Typically, the content license is non-exclusive, meaning that multiple customers can license the same image, video clip or music track under the applicable Shutterstock license agreement. Furthermore, we do not typically require that contributors of content to our sites provide their content to us on an exclusive basis, with the exception of certain editorial, music and other content to which we have exclusive distribution rights.</w:t>
      </w:r>
    </w:p>
    <w:p>
      <w:pPr>
        <w:spacing w:after="0" w:line="21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 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licenses agreements. From time to time, we agree to customize the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cap our indemnification obligations at amounts ranging from $10,000 to $250,000, with certain exceptions for which our indemnification obligations are uncapped. Since January 1, 2013, we have not incurred any material financial liability as a result of these indemnification obligations and aggregate amounts paid since that date to settle customer indemnification claims have not been material to our business. We maintain commercially reasonable insurance intended to protect against the costs of intellectual property litigation and our indemnification obligations under our license agreements.</w:t>
      </w:r>
    </w:p>
    <w:p>
      <w:pPr>
        <w:spacing w:after="0" w:line="23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We protect our intellectual property through a combination of patents, trademarks and domain name registrations, copyrights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trade secrets.</w:t>
      </w:r>
    </w:p>
    <w:p>
      <w:pPr>
        <w:spacing w:after="0" w:line="22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own a portfolio of trademarks, including "Shutterstock", "Offset", "Bigstock", "Rex Features", "Premium Beat" and "WebDAM" and associated logos. We will pursue additional trademark registrations to the extent that we create any additional material and registrable trademarks or logos. We are the registered owner of a variety of the shutterstock.com, bigstock.com, offset.com, webdam.com, premiumbeat.com, and rexfeatures.com internet domain names and various other related domain names. We have successfully recovered infringing domain names in the past and will continue to enforce our rights in the future. We also own copyrights, including certain content in our websites,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w:t>
      </w:r>
    </w:p>
    <w:p>
      <w:pPr>
        <w:spacing w:after="0" w:line="2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protect our intellectual property rights by relying on federal, state, and common law rights, including registration, in the United States and certain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legal environment of the internet and online content is evolving rapidly in the United States and worldwide. The development of new laws and regulations, the manner in which existing laws and regulations will be applied to the internet and online content in general, and how the foregoing will relate to our business in particular, is unclear in many cases. For example, there is uncertainty regarding how laws and regulations will apply in the online context and to different business models, including with respect to such topics as privacy, data management and cyber-security, defamation, e-commerce, pricing, credit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card fraud, advertising, taxation, sweepstakes, promotions, subscription-based billing, content regulation, quality of products and services, internet neutrality, outsourcing, and intellectual property ownership and infringement.</w:t>
      </w:r>
    </w:p>
    <w:p>
      <w:pPr>
        <w:spacing w:after="0" w:line="22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Numerous laws have been adopted at the national and state level in the United States that could have an impact on online commerce generally and on our business. These laws include, for example, the following:</w:t>
      </w:r>
    </w:p>
    <w:p>
      <w:pPr>
        <w:spacing w:after="0" w:line="224" w:lineRule="exact"/>
        <w:rPr>
          <w:sz w:val="20"/>
          <w:szCs w:val="20"/>
          <w:color w:val="auto"/>
        </w:rPr>
      </w:pPr>
    </w:p>
    <w:p>
      <w:pPr>
        <w:jc w:val="both"/>
        <w:ind w:left="980" w:right="14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of 2003 and similar laws adopted by a number of states regulate the format, functionality and distribution of commercial solicitation e-mails, create criminal penalties for unmarked sexually-oriented material, and control other online marketing practices.</w:t>
      </w:r>
    </w:p>
    <w:p>
      <w:pPr>
        <w:spacing w:after="0" w:line="235"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Children's Online Privacy Protection Act and the Prosecutorial Remedies and Other Tools to End Exploitation of Children Today Act of 2003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240"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regulatory agencies are accelerating the consideration, adoption and enforcement of rules and guidelines concerning data security measures and reporting of cyberattacks and other security breaches of personal data to affected individuals, to regulatory agencies, to law enforcement officials and to other third parties.</w:t>
      </w:r>
    </w:p>
    <w:p>
      <w:pPr>
        <w:spacing w:after="0" w:line="235"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Trade Commission Act and numerous state "mini-FTC" acts bar "deceptive" and "unfair" trade practices, including in the contexts of online advertising and representations made in privacy policies and other online representations. Federal and state regulatory agencies are also accelerating the consideration, adoption and enforcement of rules, regulations and guidelines that govern online service providers' data collection, processing, retention, transfer and use policies and practices, including with respect to the disclosure of consumer data to third parties such as direct marketers.</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Many of these laws and regulations have international analogues that apply to our business and are becoming more strict over time.</w:t>
      </w:r>
    </w:p>
    <w:p>
      <w:pPr>
        <w:spacing w:after="0" w:line="2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Given the broad spectrum of legal and regulatory uncertainties, we expect new laws and regulations to be adopted over time that are likely to be applicable to the internet and to our activities. Any existing or new legislation applicable to Shutterstock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242"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post privacy policies on our websites concerning our data collection, use and sharing practices. We have also implemented, and continuously improve upon, various data security measures. Allegations that our policy disclosures are inadequate or that we have failed to comply with our posted privacy policies, that our security measures are insufficient, or that we otherwise violated Federal Trade Commission or state requirements or other privacy-related laws and regulations, could result in proceedings by governmental or regulatory bodies or private parties that could potentially harm our business, results of operations and financial condition. In addition, there is a risk that privacy, data security and marketing laws may be interpreted and applied differently in certain jurisdictions, in ways that are not consistent with our current practices, which could also potentially harm our business, results of operations and financial condition. In this regard, there are a large number of legislative and regulatory proposals before the United States Congress, various state legislative bodies, and government agencies regarding privacy, security, marketing and other consumer issues that may affect our business. It is not possible to predict whether or when such rules and regulations may be adopted, or how existing or new rules or regulations could be interpreted by courts or agencies, however, it is possible that the foregoing could harm our business by, among other things, decreasing user registrations and revenue, increasing the cost of compliance, impeding the development of new products or services, and limiting potential sources of revenue such as online advertising. These adverse effects on our businesses could be caused by, among other possible provisions, the required display of specific disclaimers, requirements to obtain consent from users for certain activities, costly security measures or other requirements before users can utilize our services. In addition, we may be subject to claims of liability or responsibility for the actions of third parties with whom we interact or upon whom we rely in relation to various services, including but not limited to vendors, payment processors and business partners. These third parties may be vulnerable to violations of privacy laws, threats such as computer hacking, cyber-terrorism or other unauthorized attempts to access, modify or delete our or our customers' information or business assets that they service or maintain on our behalf. Further, Shutterstock itself may be the target of cyberattacks or other unlawful or unauthorized efforts to access, use, acquire or disclose information that we ourselves maintain, and such information may also be subject to accidental loss, destruction or alteration.</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addition, there is a significant increase in non-U.S. jurisdictions considering, adopting and enforcing existing and new laws and regulations regarding a broad spectrum of data privacy, data management, data transfer/localization, marketing, anti-spam, data security and other matters related to online businesses and e-commerce. Non-U.S. laws and regulations are often more restrictive than those in the United States and often have extraterritorial application. Due to the global nature of the internet, it is possible that the governments of other states and countries might attempt to regulate our online activities such as digital transmissions, regulate our data privacy and security measures, or prosecute us for alleged violations of their laws. We might violate such laws; such laws or their interpretation or application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w:t>
      </w:r>
    </w:p>
    <w:p>
      <w:pPr>
        <w:spacing w:after="0" w:line="9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the fiscal authorities of virtually every jurisdiction have expressed significant interest regarding the potential implications of e-commerce business from a taxation perspective. Among these is the Organization for Economic Cooperation and Development, or the OECD, an international economic organization of 34 countries, including the U.S. and several other major economic powers. There have been a number of studies, and even in some cases legislative initiatives, to identify the streams of e-commerce activities that potentially lead to income and to subject such streams to taxation even though such activities would not be subject to a particular jurisdiction's taxation authority under the traditional concepts of nexus requirement and territorial authority to tax. Even though the OECD, through its Base Erosion and Profit Shifting, or BEPS, initiative, has attempted to develop a coordinated viewpoint among its members to address e-commerce, efforts by various taxing authorities to tax these newly identified streams could be disjointed and uncoordinated. As a result, these initiatives could lead to excess or even double taxation of the same streams of income, and e-commerce businesses may not have efficient tools available to reduce or eliminate such excess taxation. As a result, we and other companies engaged in multi-jurisdictional e-commerce activities may face higher tax costs, both with respect to income tax and transactional taxes, as this area develops.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580" w:firstLine="432"/>
        <w:spacing w:after="0" w:line="259" w:lineRule="auto"/>
        <w:rPr>
          <w:sz w:val="20"/>
          <w:szCs w:val="20"/>
          <w:color w:val="auto"/>
        </w:rPr>
      </w:pPr>
      <w:r>
        <w:rPr>
          <w:rFonts w:ascii="Arial" w:cs="Arial" w:eastAsia="Arial" w:hAnsi="Arial"/>
          <w:sz w:val="18"/>
          <w:szCs w:val="18"/>
          <w:color w:val="auto"/>
        </w:rPr>
        <w:t>As of December 31, 2015, our global workforce included 627 full-time employees. None of our employees in the United States are covered by collective bargaining arrangements. In several foreign jurisdictions, including Germany, Canada and France, our employees may be subject to national collective bargaining agreements that set minimum salaries, benefits, working conditions and/or termination requirements. We consider our employee relations to be satisfactory.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8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Information about segment and geographic revenue is set forth in Note 1 of the Notes to Consolidated Financial Statements included in Part II, Item 8 of this Annual Report on Form 10-K. For a discussion of the risks attendant to foreign operations, see the information in Part I, Item 1A of this Annual Report on Form 10-K under the heading "Risk Factors" under the caption "Continuing expansion into international markets is important for our growth, and as we continue to expand internationally, we face additional business, political, regulatory, operational, financial and economic risks, any of which could increase our costs or otherwise limit our growth." For a discussion of revenue, net income and total assets, see Part II, Item 8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6"/>
          <w:szCs w:val="16"/>
          <w:color w:val="auto"/>
        </w:rPr>
        <w:t>Our operating results may fluctuate from quarter to quarter as a result of a variety of factors. Our quarterly and annual results may reflect the effects of intra-period trends in customer behavior. For example, we expect certain customers' usage to decrease during the fourth quarter of each calendar year due to the year-end holiday season, and to increase in the first quarter of each calendar year as many customers return to work. While we believe these intra-period trends have affected and will continue to affect our quarterly results, our trajectory of rapid growth may have overshadowed these effects to date.</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Additionally, because a significant portion of our revenue is derived from repeat customers who have purchased subscription plans, our revenues have historically been less volatile than if we had no subscription-based customers.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8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After launching our marketplace in 2003, we organized in the State of New York as Shutterstock, Inc. in December 2004, and we became Shutterstock Images LLC in June 2007. On October 5, 2012, we reorganized from Shutterstock Images LLC, a New York limited liability company, or the LLC, to Shutterstock, Inc., a Delaware corporation, which we refer to as the Reorganization. We completed our initial public offering, or IPO, in October 2012, and completed a follow-on offering in September 2013. Our common stock is listed on the New York Stock Exchange under the symbol "SSTK".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principal office is located in the Empire State Building at 350 Fifth Avenue, 21st Floor, New York, New York 10118, and our telephone number is</w:t>
      </w:r>
    </w:p>
    <w:p>
      <w:pPr>
        <w:spacing w:after="0" w:line="46" w:lineRule="exact"/>
        <w:rPr>
          <w:sz w:val="20"/>
          <w:szCs w:val="20"/>
          <w:color w:val="auto"/>
        </w:rPr>
      </w:pPr>
    </w:p>
    <w:p>
      <w:pPr>
        <w:ind w:firstLine="8"/>
        <w:spacing w:after="0" w:line="269" w:lineRule="auto"/>
        <w:tabs>
          <w:tab w:leader="none" w:pos="4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766-1855. Our website address is www.shutterstock.com. Our investor relations website is located at http://investor.shutterstock.com. We make available free of charge on our investor relations website under the heading "SEC Filings"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 website, www.sec.gov, that includes filings of and information about issuers that file electronically with the SEC.</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the financial and other information contained in this Annual Report on Form 10-K, before deciding whether to invest in shares of our common stock. If any of the following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 and you may lose part or all of your investment.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our ability to continue to attract and retain customers of and contributors to our online marketplace for creative content.</w:t>
      </w:r>
    </w:p>
    <w:p>
      <w:pPr>
        <w:spacing w:after="0" w:line="224"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success of our business and our future growth depends significantly on our ability to continue to attract new customers and contributors to our online marketplace for creative content, as well as continue to retain existing customers and contributors. To maintain and increase our revenue, we must regularly add new customers and retain our existing customers. An increase in paying customers has generally attracted more content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collection and the functionality and features of our marketplace. Our marketing efforts may be unsuccessful, our collection may fail to grow as anticipated and new technologies may render the systems and features of our marketplace obsolete, any of which would adversely affect our results of operations and future growth prospects.</w:t>
      </w:r>
    </w:p>
    <w:p>
      <w:pPr>
        <w:spacing w:after="0" w:line="221"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55"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content they seek and to refresh and grow our collection of digital content based on current and future trends. We seek to achieve these goals by expanding our products, attracting new contributors to our marketplace and retaining our existing contributors. If we are unable to attract new contributors, retain existing contributors or add new content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w:t>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new and rapidly changing market, which makes it difficult to evaluate our future prospects and may increase the risk that we will not be successful.</w:t>
      </w:r>
    </w:p>
    <w:p>
      <w:pPr>
        <w:spacing w:after="0" w:line="22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market for creative stock content is a relatively new and rapidly changing market that may not develop as expected. Our business strategy and projections rely on a number of assumptions about the market for creative stock content, including the size and projected growth of the market over the next several years. Some or all of these assumptions may be incorrect. The market for online creative content may not develop as we expect or as third party analysts have forecasted or we may fail to address the needs of this market.</w:t>
      </w:r>
    </w:p>
    <w:p>
      <w:pPr>
        <w:spacing w:after="0" w:line="241"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20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new customers and retain existing customers;</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 customers the kinds of content they are seeking;</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creative content marketplace;</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 against the misuse of our content;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 awareness of our online community and brand name;</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expand our business;</w:t>
      </w:r>
    </w:p>
    <w:p>
      <w:pPr>
        <w:spacing w:after="0" w:line="279"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a scalable, high-performance technology infrastructure that can efficiently and reliably handle increased customer and contributor usage globally, as well as the deployment of new features and services; and</w:t>
      </w:r>
    </w:p>
    <w:p>
      <w:pPr>
        <w:spacing w:after="0" w:line="224"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avoid interruptions or disruptions in our services, including, for example, disruptions attributable to security breaches or other security incidents.</w:t>
      </w:r>
    </w:p>
    <w:p>
      <w:pPr>
        <w:spacing w:after="0" w:line="3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not be able to successfully address these risks and difficulties or others, including those described elsewhere in this "Risk Factors" section. We cannot accurately predict whether our products and services will achieve significant acceptance by potential customers in significantly larger numbers than at present, or whether our products and services will continue to be accepted by our current customers. You should therefore not rely on our historic growth rates as an indication of future growth.</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27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creative content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content creators, to provide creative content to users of such content. These competitors include:</w:t>
      </w:r>
    </w:p>
    <w:p>
      <w:pPr>
        <w:spacing w:after="0" w:line="235" w:lineRule="exact"/>
        <w:rPr>
          <w:sz w:val="20"/>
          <w:szCs w:val="20"/>
          <w:color w:val="auto"/>
        </w:rPr>
      </w:pPr>
    </w:p>
    <w:p>
      <w:pPr>
        <w:ind w:left="900" w:right="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online marketplaces for imagery such as iStockphoto, Adobe's Adobestock offering which was launched after its acquisition of Fotolia, and Dreamstime;</w:t>
      </w:r>
    </w:p>
    <w:p>
      <w:pPr>
        <w:spacing w:after="0" w:line="224"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traditional stock content providers such as Getty Images and Corbis Corporation (whose content licensing business was recently acquired by an affiliate of Visual China Group);</w:t>
      </w:r>
    </w:p>
    <w:p>
      <w:pPr>
        <w:spacing w:after="0" w:line="224"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specialized visual content companies that are established in local, content or product-specific market segments;</w:t>
      </w:r>
    </w:p>
    <w:p>
      <w:pPr>
        <w:spacing w:after="0" w:line="279"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providers of commercially licensable music such as Universal Music Publishing Group, Sony/ATV Music Publishing, Warner Music Group, and EMI Music Publishing;</w:t>
      </w:r>
    </w:p>
    <w:p>
      <w:pPr>
        <w:spacing w:after="0" w:line="224"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websites focused on image search and discovery such as Google Images;</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websites for image hosting, art and related products such as Flickr;</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providers of cloud-based digital asset management tools;</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social networking and social media services; and</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commissioned photographers and photography agencies.</w:t>
      </w:r>
    </w:p>
    <w:p>
      <w:pPr>
        <w:spacing w:after="0" w:line="279" w:lineRule="exact"/>
        <w:rPr>
          <w:sz w:val="20"/>
          <w:szCs w:val="20"/>
          <w:color w:val="auto"/>
        </w:rPr>
      </w:pPr>
    </w:p>
    <w:p>
      <w:pPr>
        <w:jc w:val="both"/>
        <w:ind w:right="80" w:firstLine="432"/>
        <w:spacing w:after="0" w:line="272" w:lineRule="auto"/>
        <w:rPr>
          <w:sz w:val="20"/>
          <w:szCs w:val="20"/>
          <w:color w:val="auto"/>
        </w:rPr>
      </w:pPr>
      <w:r>
        <w:rPr>
          <w:rFonts w:ascii="Arial" w:cs="Arial" w:eastAsia="Arial" w:hAnsi="Arial"/>
          <w:sz w:val="17"/>
          <w:szCs w:val="17"/>
          <w:color w:val="auto"/>
        </w:rPr>
        <w:t>We believe that the principal competitive factors in the creative content industry are: brand awareness; company reputation; the quality, relevance and diversity of content; the ability to source new content; the content licensing options and the degree to which users are protected from legal risk; the effective use of current and emerging technology; the accessibility of content, distribution capability, and speed and ease of search and fulfillment; customer service; and the global nature of a company's interfaces and marketing efforts, including local languages, currencies, and payment methods. In addition, demand 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w:t>
      </w:r>
    </w:p>
    <w:p>
      <w:pPr>
        <w:spacing w:after="0" w:line="23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collection. Competitors may also seek to develop new products, technologies or capabilities that could render many of the products, services and content types that we offer obsolete or less competitive. If we are unable to compete successfully against our competitors, our growth prospects and results of operations may be adversely affected.</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competitors could enter our market for creative content, and we may be unsuccessful in competing with these new entrants.</w:t>
      </w:r>
    </w:p>
    <w:p>
      <w:pPr>
        <w:spacing w:after="0" w:line="27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New competitors may enter our market for creative content, particularly if technological advances or other market dynamics make creating, sourcing, archiving, indexing, reviewing, searching or delivering creative content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content they provide to us to our competitors and may remove their content from our collection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For example, Adobe recently acquired one of our competitors, Fotolia, to enter our market for digital content, and it is possible that this acquisition may negatively impact our business and financial condition. If we are unable to compete successfully against new entrants, our growth prospects and results of operations may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prevent the misuse of our digital content and we may be subject to infringement claims.</w:t>
      </w:r>
    </w:p>
    <w:p>
      <w:pPr>
        <w:spacing w:after="0" w:line="27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rely on intellectual property laws and contractual restrictions to protect our rights and the digital content in our collection. Certain countries are very lax in enforcing intellectual property laws. Litigation in those countries will likely be costly and ineffective. Consequently, these intellectual property laws afford us only limited protection. Unauthorized parties have attempted, and may in the future attempt, to improperly use the digital content in our collection. We cannot guarantee that we will be able to prevent the unauthorized use of our digital content or that we will be successful in stopping such use once it is detected.</w:t>
      </w:r>
    </w:p>
    <w:p>
      <w:pPr>
        <w:spacing w:after="0" w:line="242" w:lineRule="exact"/>
        <w:rPr>
          <w:sz w:val="20"/>
          <w:szCs w:val="20"/>
          <w:color w:val="auto"/>
        </w:rPr>
      </w:pPr>
    </w:p>
    <w:p>
      <w:pPr>
        <w:ind w:right="140" w:firstLine="432"/>
        <w:spacing w:after="0" w:line="285" w:lineRule="auto"/>
        <w:rPr>
          <w:sz w:val="20"/>
          <w:szCs w:val="20"/>
          <w:color w:val="auto"/>
        </w:rPr>
      </w:pPr>
      <w:r>
        <w:rPr>
          <w:rFonts w:ascii="Arial" w:cs="Arial" w:eastAsia="Arial" w:hAnsi="Arial"/>
          <w:sz w:val="16"/>
          <w:szCs w:val="16"/>
          <w:color w:val="auto"/>
        </w:rPr>
        <w:t>We have been subject to a variety of third-party infringement claims in the past and will likely be subject to similar claims in the future. We license all of our digital content from photographers, illustrators, videographers and composers, and, although we generally have staff committed to reviewing the content that we accept into our collection, we cannot guarantee that each contributor holds the rights or releases he or she claims or that such rights and releases are adequate. As a result, we may be subject to infringement claims or other claims by third parties. Furthermore, we offer our customers indemnification at amounts ranging from $10,000 to $250,000, with certain exceptions for which our indemnification obligations are uncapped, for direct damages attributable to our breach of the express representations and warranties contained in our license agreements, which provide that unaltered content downloaded and used in compliance with the license agreement and applicable law does not infringe any copyright, trademark or other intellectual property right, violate any third parties' rights of privacy or publicity, or violate any U.S. law, or is not defamatory, libelous, pornographic or obscene. However, our contractual maximum liability may not be enforceable in all jurisdictions. In addition, we maintain insurance policies to cover potential intellectual property disputes. Since January 1, 2013, we have not incurred any material financial liability as a result of these indemnification obligations and aggregate amounts paid to date to settle customer indemnification claims have not been material to our business. Although we have insurance to cover indemnification claims, and although, to date, these claims have not resulted in any material liability to us, we have incurred, and will continue to incur, expenses related to such claims and related settlements, which may increase over time. 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2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we are not infringing or violating any third-party intellectual property rights or rights related to use of technology.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24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increase market awareness of our company and our services, our revenue may not continue to grow.</w:t>
      </w:r>
    </w:p>
    <w:p>
      <w:pPr>
        <w:spacing w:after="0" w:line="2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24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rapid growth in recent periods. If we fail to effectively manage our growth, our business and operating results may suffer.</w:t>
      </w:r>
    </w:p>
    <w:p>
      <w:pPr>
        <w:spacing w:after="0" w:line="30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have grown in size, scope and complexity, we will need to improve and upgrade our systems and infrastructure, which will require significant expenditures and allocation of valuable management resources. If we fail to allocate limited resources effectively in our organization as it grows and do not successfully implement improved technology and infrastructure, our business, operating results and financial condition will suffer.</w:t>
      </w:r>
    </w:p>
    <w:p>
      <w:pPr>
        <w:spacing w:after="0" w:line="2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respond to technological changes or upgrade our websites and technology systems, our growth prospects and results of operations could be adversely affected.</w:t>
      </w:r>
    </w:p>
    <w:p>
      <w:pPr>
        <w:spacing w:after="0" w:line="2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To remain competitive, we must continue to enhance and improve the functionality and features of our websites in addition to our infrastructure. For example, as the proportion of our business related to video footage licensing continues to increase, we will need to expand and enhance our technological capabilities to ingest, store and search video content in ways that are similar to our management of images. A video footage clip represents significantly more data as compared to a still image. As a result, we will need to continue to improve and expand our hosting and network infrastructure and related software capabilities. These improvements may require greater levels of spending than we have experienced in the past.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Technological interruptions that impair access to our websites or the efficiency of our marketplace could damage our reputation and brand and adversely affect our results of operations.</w:t>
      </w:r>
    </w:p>
    <w:p>
      <w:pPr>
        <w:spacing w:after="0" w:line="22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viruses, telecommunication and other network failures, power failures, software errors, data corruption, denial-of-service attacks,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redundancy and even though we maintain a third disaster recovery facility to back up our collection, a system disruption at the active data center could result in a noticeable disruption to our websites until all website traffic is redirected to the standby data center. Even a disruption as brief as a few minutes could have a negative impact on marketplace activities and could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2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23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One of our strategic goals is to increase the percentage of our revenue that comes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2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78" w:lineRule="exact"/>
        <w:rPr>
          <w:sz w:val="20"/>
          <w:szCs w:val="20"/>
          <w:color w:val="auto"/>
        </w:rPr>
      </w:pPr>
    </w:p>
    <w:p>
      <w:pPr>
        <w:ind w:right="240" w:firstLine="432"/>
        <w:spacing w:after="0" w:line="270" w:lineRule="auto"/>
        <w:rPr>
          <w:sz w:val="20"/>
          <w:szCs w:val="20"/>
          <w:color w:val="auto"/>
        </w:rPr>
      </w:pPr>
      <w:r>
        <w:rPr>
          <w:rFonts w:ascii="Arial" w:cs="Arial" w:eastAsia="Arial" w:hAnsi="Arial"/>
          <w:sz w:val="17"/>
          <w:szCs w:val="17"/>
          <w:color w:val="auto"/>
        </w:rPr>
        <w:t>Continuing to expand our business to attract customers and contributors in countries other than the United States is a critical element of our business strategy. In 2015, approximately 66% of our revenue was derived from customers located outside of the United States.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collection and user experience for foreign markets. Our ability to expand our business and to attract talented employees, as well as customers and contributors, in an increasing number of international markets requires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23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modifying our technology and marketing our offerings for customers and contributors beyond the 20 languages we currently offer;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localizing our content to foreign customers' preferences and customs;</w:t>
      </w:r>
    </w:p>
    <w:p>
      <w:pPr>
        <w:spacing w:after="0" w:line="279"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political or systemic restrictions on the ability of U.S. companies to do business in foreign countries, including, among others, restrictions imposed by the U.S. Office of Foreign Assets Control (OFAC) on the ability</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 U.S. companies to do business in certain specified foreign countries or with certain specified organizations and individuals;</w:t>
      </w:r>
    </w:p>
    <w:p>
      <w:pPr>
        <w:spacing w:after="0" w:line="293" w:lineRule="exact"/>
        <w:rPr>
          <w:sz w:val="20"/>
          <w:szCs w:val="20"/>
          <w:color w:val="auto"/>
        </w:rPr>
      </w:pPr>
    </w:p>
    <w:p>
      <w:pPr>
        <w:ind w:left="980" w:right="5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foreign laws and regulations, including disclosure requirements, privacy laws, marketing restrictions, rights of publicity, technology laws and laws relating to our content;</w:t>
      </w:r>
    </w:p>
    <w:p>
      <w:pPr>
        <w:spacing w:after="0" w:line="224"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disturbances in a specific country's or region's political, economic or military conditions, including potential sanctions (e.g., recent significant civil, political and economic disturbances in Russia, Ukraine and the Crimean peninsula);</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protecting and enforcing our intellectual property rights;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foreign countries;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foreign tax consequences;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strains on our financial and other systems to properly administer VAT, withholdings and other taxes;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fluctuations;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27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These risks may make it impossible or prohibitively expensive to expand to new international markets, or delay entry into such markets, which may affect our ability to grow our business.</w:t>
      </w:r>
    </w:p>
    <w:p>
      <w:pPr>
        <w:spacing w:after="0" w:line="22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addition, we could be adversely affected if legislation or regulations are imposed or expanded to require changes in our business practices or if governing jurisdictions interpret or implement their legislation or regulations in ways that negatively affect our business. For example, the Russian government recently passed a law effective September 1, 2015 requiring companies that collect personal data of Russian citizens to process and store that data on servers located in Russia. In addition, the European Court of Justice recently invalidated the U.S.-EU Safe Harbor regime on which we depended to legitimize some of our data flows from Europe to the United States. As a result, we are in the process of implementing alternative mechanisms to comply with Russian data localization laws and European Union privacy laws. However, there can be no assurance that we will be able to successfully comply with these laws, and therefore we may be in violation of all or some of these laws.</w:t>
      </w:r>
    </w:p>
    <w:p>
      <w:pPr>
        <w:spacing w:after="0" w:line="2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non-U.S. sales and operations, including non-U.S. economic and political conditions and fluctuations in currency exchange rates, which could adversely affect our results.</w:t>
      </w:r>
    </w:p>
    <w:p>
      <w:pPr>
        <w:spacing w:after="0" w:line="224"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7"/>
          <w:szCs w:val="17"/>
          <w:color w:val="auto"/>
        </w:rPr>
        <w:t>As of December 31, 2015, we had operations based in a number of territories outside of the United States and a significant portion of our business is conducted throughout the world and may be transacted in currencies other than the U.S. Dollar. As a result, we are exposed to the risk of changes in social, political and economic conditions, including inflation, inherent in operating in foreign countries, including those in Asia, Eastern Europe and Latin America which could adversely affect our business, financial condition and/or results of operations. Such changes include changes in the laws and policies that govern foreign investment in countries where the we have operations, hyperinflation, currency devaluation, currency controls, changes in consumer purchasing habits as well as, to a lesser extent, changes in U.S. laws and regulations governing foreign trade and investment.</w:t>
      </w:r>
    </w:p>
    <w:p>
      <w:pPr>
        <w:spacing w:after="0" w:line="233"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Our net sales to customers outside of the U.S. for the years ended December 31, 2015, 2014 and 2013 were approximately 66%, 67% and 68% of our revenue, respectively. Fluctuations in foreign currency exchange rates have affected and may continue to affect our results of operations and the value of our foreign assets, which in turn may adversely affect our reported revenues and earnings or the comparability of period-to-period results of operations.</w:t>
      </w:r>
    </w:p>
    <w:p>
      <w:pPr>
        <w:spacing w:after="0" w:line="20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expose us to greater than anticipated income tax liabilities, which could harm our financial condition and results of operations.</w:t>
      </w:r>
    </w:p>
    <w:p>
      <w:pPr>
        <w:spacing w:after="0" w:line="302"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We have operations in various taxing jurisdictions in the United States and foreign countries, and there is a risk that the fiscal authorities in one or more jurisdictions may contend that our tax liabilities could be greater relative to prior taxable periods and more than anticipated relative to future taxable periods.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8"/>
          <w:szCs w:val="18"/>
          <w:color w:val="auto"/>
        </w:rPr>
        <w:t>We believe our worldwide provision for income taxes is reasonable, but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24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Furthermore, the current administration of the U.S. federal government has made public statements indicating that it has made international tax reform a priority, and key members of the U.S. Congress have conducted hearings and proposed changes to U.S. tax laws. Changes to U.S. tax laws that may be enacted in the future could impact our tax liabilities. In addition, the OECD has issued guidelines to its members aimed at encouraging broad-based legislative initiatives intended to prevent purported taxation base erosion transactions and income shifting in a tax-advantaged manner, known as BEPS. One of the most important areas on which the OECD has focused is the taxation implications of e-commerce businesses (which would potentially include our business). The OECD encouraged further review and study with the stated expectation that legislative recommendations that seek to equitably allocate the right to tax such e-commerce businesses among all of the jurisdictions that might have an interest in assessing such taxes will be forthcoming. However, it is possible any efforts to assess such taxes by these jurisdictions will be uncoordinated which could result in greater or even double taxation that businesses may not have sufficient means to remedy. Efforts to alleviate this increased tax burden would increase the cost of structuring and compliance. Due to the expanding scale of our international business activities, any changes in the U.S. or international taxation of such activities may increase our worldwide effective tax rate and harm our financial position and results of operations.</w:t>
      </w:r>
    </w:p>
    <w:p>
      <w:pPr>
        <w:spacing w:after="0" w:line="23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operations may expose us to greater than anticipated withholding, sales and transaction tax liabilities, including VAT, which could harm our financial condition and results of operations.</w:t>
      </w:r>
    </w:p>
    <w:p>
      <w:pPr>
        <w:spacing w:after="0" w:line="22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may have exposure to withholding, sales or other transaction taxes (including VAT) on our past and future transactions in such jurisdictions where we are required to report taxable transactions. A successful assertion by any jurisdiction that we failed to pay such withholding, sales or other transaction taxes, or the imposition of new laws requiring the payment of such taxes, could result in substantial tax liabilities related to past sales, create increased administrative burdens or costs, discourage customers from purchasing digital content from us, or otherwise substantially harm our business and results of operations.</w:t>
      </w:r>
    </w:p>
    <w:p>
      <w:pPr>
        <w:spacing w:after="0" w:line="10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Further, we are subject to compliance requirements for certain of these taxes. Where appropriate, we have made accruals for these taxes, which are reflected in our consolidated financial statements. Within the next one to three years, we believe that the resolution of certain of these tax matters are reasonably possible and that a change in estimate may occur. While such a change may be significant, it is not possible to provide a range of the potential change until such matters progress further or the related statutes of limitation expire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operating results.</w:t>
      </w:r>
    </w:p>
    <w:p>
      <w:pPr>
        <w:spacing w:after="0" w:line="27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success of our business depends on our ability to protect and enforce our patents, trade secrets, trademarks, copyrights and all of our other intellectual property rights, including our intellectual property rights underlying our online marketplace and search algorithms. We protect our intellectual property rights under trade secret, trademark, copyright and patent law, and through a combination of employee and third-party nondisclosure agreements, other contractual restrictions, and other methods. These afford only limited protection. Similarly, third parties may be able to independently develop similar or superior technology, processes, content or other intellectual property.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or using without our authorization, our search algorithms and our trade secrets, our business could be harmed.</w:t>
      </w:r>
    </w:p>
    <w:p>
      <w:pPr>
        <w:spacing w:after="0" w:line="25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have registered or applied to register "Shutterstock", "Offset", "Bigstock", "WebDAM", "PremiumBeat" and "Rex Features" and associated logos and other marks as trademarks in the United States and other jurisdictions. Nevertheless, competitors may adopt service names confusingly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21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are the registered owner of the shutterstock.com, bigstock.com, offset.com, webdam.com, premiumbeat.com, and rexfeatures.com internet domain names and various other related domain names. Domain names are generally regulated by internet regulatory bodies. If we lose the ability to use a domain name in a particular country, we would be forced either 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24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or develop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24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or proceedings before the U.S. Patent and Trademark Office or other governmental authorities and administrative bodies in the United States and foreign countries is and in the future will be necessary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23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20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which could cause our results to fall short of expectations and our stock price to decline.</w:t>
      </w:r>
    </w:p>
    <w:p>
      <w:pPr>
        <w:spacing w:after="0" w:line="27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22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our current customers and to attract new customers and contributors;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provide new and relevant content to our customers;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or our competitors;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interruptions in service, whether or not we are responsible for such interruptions, and any related impact on our reputation and brand;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defending any litigation or other claims, including those related to our indemnification of our customers;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pursue, and the timing of, entry into new geographies or markets and, if pursued, our management of this expansion;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general economic conditions on our revenue and expenses;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regulation affecting our business;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potential acquisitions of technology or businesses.</w:t>
      </w:r>
    </w:p>
    <w:p>
      <w:pPr>
        <w:spacing w:after="0" w:line="27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224"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collect certain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payment processors and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or the security measures of our third-party payment processers or co-location and cloud service vendors for our data centers and application hosting,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Given that the techniques used to obtain unauthorized access, attack, disable or degrade services, or sabotage systems, are constantly evolving in sophisticated ways to avoid detection, we may be unable to anticipate these techniques or to implement adequate preventative measures.</w:t>
      </w:r>
    </w:p>
    <w:p>
      <w:pPr>
        <w:spacing w:after="0" w:line="22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may also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22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some of the software and services that we use to operate our business, including our internal email and customer relationship management software, are hosted by third parties. If these services were to experience a security breach or be interrupted or were to cause us to lose control of confidential information, our business operations could be disrupted and we could be exposed to liability and costly litigation.</w:t>
      </w:r>
    </w:p>
    <w:p>
      <w:pPr>
        <w:spacing w:after="0" w:line="22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impact to our financial statements from credit card fraud, but we continue to face the risk of significant losses from this type of fraud.</w:t>
      </w:r>
    </w:p>
    <w:p>
      <w:pPr>
        <w:spacing w:after="0" w:line="23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If any compromise of our security, or that of our third-party payment processers or co-location and cloud service vendors for our data centers and application hosting, were to occur, we may lose customers and our reputation, business, financial condition and operating results could be harmed. Any compromise of security may result in us being out of compliance with U.S. federal and state laws, and international laws and contractual commitments, and we may be subject to lawsuits, fines, criminal penalties, statutory damages, and other costs, including for provision of breach notices and credit monitoring to our customers. Any failure, or perceived failure, by us to comply with our posted privacy policies or with any regulatory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requirements or orders or other federal, state, or international privacy, security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8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adoption, modification or interpretation of laws or regulations relating to the internet, e-commerce or other areas of our business could adversely affect the manner in which we conduct our business or the overall popularity or growth in use of the internet. Such laws and regulations may cover a vast array of activities, for example, automatic contract or subscription renewal, credit card fraud and processing, sales, advertising and other procedures,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In certain countries, such as those in Europe, such laws may be more restrictive than in the United States. It is not clear how existing laws governing issues such as property ownership, sales and other taxes, data privacy and security apply to the internet and e-commerce as the vast majority of these laws were adopted prior to the advent of the internet and do not contemplate or address the unique issues raised by the internet or e-commerce. Those laws that relate to the internet are at various stages of development and interpretation by the courts and agencies, and thus, the scope and reach of their applicability can be uncertain. For example, the Children's Online Privacy Protection Act in the U.S. regulates the ability of online services to collect, use or disclose certain information from children under the age of thirteen.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customers or otherwise alter our business model, or cause us to divert resources and funds to address government or private investigatory or adversarial proceedings. Any of these outcomes could have a material adverse effect on our business, financial condition or results of operations.</w:t>
      </w:r>
    </w:p>
    <w:p>
      <w:pPr>
        <w:spacing w:after="0" w:line="183"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currently provide content licensing to customers in more than 150 countries. The data privacy, security and localization, censorship and liability standards and other potentially applicable rules or regulations, and intellectual property laws of those foreign countries, may be different than those in the United States. To the extent that any local laws or regulations apply to our company or operations and we are deemed to not be in compliance with them, our business may be harmed. For example, the Russian government recently passed a law effective September 1, 2015 requiring companies that collect personal data of Russian citizens to process and store that data on servers located in Russia. In addition, the European Court of Justice recently invalidated the U.S.-EU Safe Harbor regime on which we depended to legitimize some of our data flows from Europe to the United States. As a result, we are in the process of implementing alternative mechanisms to comply with Russian data localization laws and European Union data protection laws. However, there can be no assurance that we will be able to successfully comply with these laws, and therefore we may be in violation of all or some of these laws.</w:t>
      </w:r>
    </w:p>
    <w:p>
      <w:pPr>
        <w:spacing w:after="0" w:line="8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addition, the OECD has issued guidelines to its members aimed at encouraging broad-based legislative initiatives intended to prevent purported taxation base erosion transactions and income shifting in a tax-advantaged manner, known as BEPS. One of the most important areas on which the OECD has focused is the taxation implications of e-commerce businesses (which would potentially include our business). The OECD encouraged further review and study with the stated expectation that legislative recommendations that seek to equitably allocate the right to tax such e-commerce businesses among all of the jurisdictions that might have an interest in assessing such taxes will be forthcoming. However, it is possible any efforts to assess such taxes by these jurisdictions will be uncoordinated which could result in greater or even double taxation that businesses may not have sufficient means to remedy. Efforts to alleviate this increased tax burden would increase the cost of structuring and compliance.</w:t>
      </w:r>
    </w:p>
    <w:p>
      <w:pPr>
        <w:spacing w:after="0" w:line="2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Action by governments to restrict access to, or operation of, our products or services in their countries could substantially harm our business and financial results.</w:t>
      </w:r>
    </w:p>
    <w:p>
      <w:pPr>
        <w:spacing w:after="0" w:line="22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Foreign governments, or internet service providers acting pursuant to foreign government policies or orders, of one or more countries may seek to censor content available through our products and services in their country, restrict access to our products and services from their country entirely, or impose other restrictions that may affect the accessibility of our products or services in their country for an extended period of time or indefinitely if our products and services are deemed to be in violation of their local laws and regulations. For example, domestic internet service providers have blocked access to Shutterstock in China and other countries, such as Turkey, have intermittently restricted access to Shutterstock. Additionally, the governments of Russia and Turkey have recently imposed new regulations that will require local transaction processing by payment service providers. In addition, the Russian government recently passed a law requiring that personal data of Russian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citizens must be stored on servers located in Russia. If we are subject to these new regulations and laws, or are not eligible for an exception, we may be forced to significantly change or discontinue our operations in such markets. In the event that access to our products and services is restricted, in whole or in part, in one or more countries or our competitors are able to successfully penetrate geographic markets that we cannot access, our ability to retain or increase our contributor and customer base may be adversely affected, we may not be able to maintain or grow our revenue as anticipated, and our financial results could be adversely affected.</w:t>
      </w:r>
    </w:p>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Expansion of our operations into additional content categories and service areas may subject us to additional business, legal, financial and competitive risks.</w:t>
      </w:r>
    </w:p>
    <w:p>
      <w:pPr>
        <w:spacing w:after="0" w:line="224"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Currently, our operations are focused in significant part on our two-sided marketplace for creative content and our digital asset management platform, WebDAM. Further expansion of our operations and our marketplace into additional content categories or into new services involves numerous risks and challenges, including increased capital requirements, potential new competitors and the need to develop new contributor and strategic relationships. Growth into additional content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and services to offset the costs of acquiring such content and services.</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impact of worldwide economic conditions, including effects on advertising and marketing budgets, may adversely affect our business and operating results.</w:t>
      </w:r>
    </w:p>
    <w:p>
      <w:pPr>
        <w:spacing w:after="0" w:line="22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22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23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We believe the successful integration of our management team is critical to managing our operations effectively and to supporting our growth.</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teamwork and focus that contribute crucially to our business.</w:t>
      </w:r>
    </w:p>
    <w:p>
      <w:pPr>
        <w:spacing w:after="0" w:line="30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continue to grow and expand our operations globally,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our business could be adversely impacted.</w:t>
      </w:r>
    </w:p>
    <w:p>
      <w:pPr>
        <w:spacing w:after="0" w:line="27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Integration of a new company's operations, assets and personnel into ours may require significant attention from our management. The diversion of our management's attention away from our current operations or the pursuit of other opportunities that could be beneficial to us and any difficulties encountered in the integration process could harm our ability to manage our business. For example, in January 2015 we completed the acquisitions of Rex Features and PremiumBeat and there can be no assurance that we will be able to successfully integrate these businesses or any other companies, products or technologies that we acquire. Future acquisitions will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in the future and may be unable to do so on acceptable terms or at all.</w:t>
      </w:r>
    </w:p>
    <w:p>
      <w:pPr>
        <w:spacing w:after="0" w:line="14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224"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for example,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23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2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depend on the continued growth of online commerce and the continued adoption of digital content. If these trends do not continue, our growth prospects and results of operations could be adversely impacted.</w:t>
      </w:r>
    </w:p>
    <w:p>
      <w:pPr>
        <w:spacing w:after="0" w:line="22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business of selling goods and services over the internet is dynamic and, in certain of our foreign markets, relatively new. Concerns about fraud, privacy and other problems may discourage additional consumers from adopting the internet as a medium of commerce. In countries such as the United States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 customers who historically have used traditional means of commerce to purchase goods and services. If these target customers prove to be less active than our earlier customers, our business could be adversely impacted.</w:t>
      </w:r>
    </w:p>
    <w:p>
      <w:pPr>
        <w:spacing w:after="0" w:line="23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addition, our growth is highly dependent upon the continued demand for digital content. The creative content market is rapidly evolving, characterized by changing technologies, intense price competition, introduction of new competitors, evolving industry standards, frequent new service announcements and changing consumer demands and behaviors. To the extent that demand for creative content does not continue to grow as expected, our revenue growth will suffer.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non-payment of amounts due to us from certain of our larger customers may negatively impact our financial condition.</w:t>
      </w:r>
    </w:p>
    <w:p>
      <w:pPr>
        <w:spacing w:after="0" w:line="27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revenue generated through direct sales to large organizations has grown in recent years and represents less than 30% of our total revenue as of December 31, 2015. A portion of these customers typically purchase our products on payment terms and therefore we assume a credit risk for non-payment in the ordinary course of business. We evaluate the credit worthiness of new customers and perform ongoing financial condition evaluations of our existing customers, however there can be no assurance that our allowances for uncollected accounts receivable balances will be sufficient. As of December 31, 2015, our allowance for doubtful accounts was $3.8 million. If the volume of sales to large organizations continues to grow, we expect to increase our allowance for doubtful accounts primarily as the result of changes in the volume of sales to customers who pay on payment terms.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224"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2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22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we may incur.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volatile, and you could lose all or part of your investment.</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trading price of our common stock has fluctuated and may continue to fluctuate substantially. Since shares of our common stock were sold in our initial public offering in 2012 at a price of $17.00 per share, the reported high and low sales prices per share of our common stock have ranged from $21.00 to $103.01 through February 19, 2016. These fluctuations could cause you to lose all or part of your investment in our common stock since you may be unable to sell your shares at or above the price at which you purchased such shares.</w:t>
      </w:r>
    </w:p>
    <w:p>
      <w:pPr>
        <w:spacing w:after="0" w:line="241"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23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about our share repurchase program, including purchases or the suspension of purchases under the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ectPr>
          <w:pgSz w:w="11900" w:h="16838" w:orient="portrait"/>
          <w:cols w:equalWidth="0" w:num="1">
            <w:col w:w="11400"/>
          </w:cols>
          <w:pgMar w:left="240" w:top="125"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actual performance;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w:t>
      </w:r>
    </w:p>
    <w:p>
      <w:pPr>
        <w:spacing w:after="0" w:line="279"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such sales could occur, could adversely affect the market price of our common stock and may make it more difficult for you to sell your common stock at a time and price that you deem appropriate.</w:t>
      </w:r>
    </w:p>
    <w:p>
      <w:pPr>
        <w:spacing w:after="0" w:line="17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February 19, 2016, we had 35,283,219 shares of common stock outstanding. All shares of our common stock are freely transferable without restriction or registration under the Securities Act of 1933, as amended, or the Securities Act, except for shares held by our "affiliates," which remain subject to the restrictions set forth in Rule 144 under the Securities Act.</w:t>
      </w:r>
    </w:p>
    <w:p>
      <w:pPr>
        <w:spacing w:after="0" w:line="235"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As of February 19, 2016, the holders of approximately 16 million shares of common stock were entitled to rights with respect to registration of these shares under the Securities Act pursuant to a registration rights agreement. We filed a registration statement on Form S-8 under the Securities Act covering shares of common stock issuable pursuant to options granted in exchange for value appreciation right, or VAR, grants outstanding as of the time of the Reorganization, as well as options and shares reserved for future issuance under our 2012 Omnibus Equity Incentive Plan and our 2012 Employee Stock Purchase Plan. Shares issued pursuant to such options and plans can be freely sold in the public market upon issuance and vesting, subject to the lock-up agreements contained in the terms of the award agreements delivered under such plans, or unless they are held by "affiliates," as that term is defined in Rule 144 of the Securities Act.</w:t>
      </w:r>
    </w:p>
    <w:p>
      <w:pPr>
        <w:spacing w:after="0" w:line="243"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Jonathan Oringer, our founder, chairman and chief executive officer, controls approximately 45.8% of our outstanding shares of common stock, and his ownership percentage may increase, including as a result of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24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of February 19, 2016, Jonathan Oringer, our founder, chairman and chief executive officer, and our largest stockholder, owned approximately 45.8%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w:t>
      </w:r>
    </w:p>
    <w:p>
      <w:pPr>
        <w:spacing w:after="0" w:line="24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Additionally, if we purchase additional shares pursuant to our share repurchase program, Mr. Oringer’s ownership percentage would increase, and, depending on the magnitude of our repurchases and other factors,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Additionally, this could trigger certain change in control provisions in our employment agreements and agreements relating to certain outstanding equity awards.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Purchases of shares of our common stock pursuant to our share repurchase program may affect the value of our common stock, and there can be no assurance that our share repurchase program will enhance shareholder value.</w:t>
      </w:r>
    </w:p>
    <w:p>
      <w:pPr>
        <w:spacing w:after="0" w:line="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Pursuant to our publicly announced share repurchase program, we are authorized to repurchase up to $100 million of our outstanding common stock. We had approximately $84.4 million remaining under this authorization as of December 31, 2015. The timing and amount of any share repurchases will be determined based on market conditions, share price and other factors. This activity could increase (or reduce the size of any decrease in) the market price of our common stock at the time of such repurchases. Additionally, repurchases under our share repurchase program have and will continue to diminish our cash reserves, which could impact our ability to pursue possible strategic opportunities and acquisitions and could result in lower overall returns on our cash balances. There can be no assurance that any share repurchases will enhance shareholder value because the market price of our common stock has declined, and may continue to decline. Although our share repurchase program is intended to enhance long-term stockholder value, short-term stock price fluctuations could reduce the program’s effectiveness.</w:t>
      </w:r>
    </w:p>
    <w:p>
      <w:pPr>
        <w:spacing w:after="0" w:line="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and our management will continue to face increased demands as a result of continuously improving our operations as a public company.</w:t>
      </w:r>
    </w:p>
    <w:p>
      <w:pPr>
        <w:spacing w:after="0" w:line="22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have incurred and will continue to incur significant legal, tax, insurance, accounting and other expenses as a result of continuously improving our operations as a public company. In addition, our administrative staff has performed and will continue to be required to perform tasks consistent with those of other public companies. For example, we intend to implement a new enterprise resource planning software system that will replace a majority of our critical finance and financial operations systems. If we experience delays or difficulties in implementing the new enterprise resource planning system, or if we otherwise do not effectively manage our growth, we may not be able to execute on our business plan, respond to competitive pressures, take advantage of market opportunities, or satisfy customer requirements, among other things.</w:t>
      </w:r>
    </w:p>
    <w:p>
      <w:pPr>
        <w:spacing w:after="0" w:line="23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including the Sarbanes-Oxley Act of 2002, or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w:t>
      </w:r>
    </w:p>
    <w:p>
      <w:pPr>
        <w:ind w:right="60"/>
        <w:spacing w:after="0" w:line="267" w:lineRule="auto"/>
        <w:rPr>
          <w:sz w:val="20"/>
          <w:szCs w:val="20"/>
          <w:color w:val="auto"/>
        </w:rPr>
      </w:pPr>
      <w:r>
        <w:rPr>
          <w:rFonts w:ascii="Arial" w:cs="Arial" w:eastAsia="Arial" w:hAnsi="Arial"/>
          <w:sz w:val="17"/>
          <w:szCs w:val="17"/>
          <w:color w:val="auto"/>
        </w:rPr>
        <w:t>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have incurred and will continue to incur higher costs to obtain directors' and officers' insurance as a result of operating as a public company.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24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23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compliance with Section 404 of the Sarbanes-Oxley Act has required and will continue to require that we incur substantial accounting expense and expend significant management efforts. Our testing, or the testing by our independent registered public accounting firm, may reveal deficiencies in our internal control over financial reporting that we would be required to remediate in a timely manner so as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2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4" w:lineRule="exact"/>
        <w:rPr>
          <w:sz w:val="20"/>
          <w:szCs w:val="20"/>
          <w:color w:val="auto"/>
        </w:rPr>
      </w:pPr>
    </w:p>
    <w:p>
      <w:pPr>
        <w:ind w:right="880" w:firstLine="432"/>
        <w:spacing w:after="0" w:line="342" w:lineRule="auto"/>
        <w:rPr>
          <w:sz w:val="20"/>
          <w:szCs w:val="20"/>
          <w:color w:val="auto"/>
        </w:rPr>
      </w:pPr>
      <w:r>
        <w:rPr>
          <w:rFonts w:ascii="Arial" w:cs="Arial" w:eastAsia="Arial" w:hAnsi="Arial"/>
          <w:sz w:val="16"/>
          <w:szCs w:val="16"/>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17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blank check preferred stock, which could be issued with voting, liquidation, dividend and other rights superior to our common stock;</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advance notice of stockholder proposals and the nomination of candidates for election to our board of directors;</w:t>
      </w:r>
    </w:p>
    <w:p>
      <w:pPr>
        <w:spacing w:after="0" w:line="279"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w:t>
      </w:r>
    </w:p>
    <w:p>
      <w:pPr>
        <w:spacing w:after="0" w:line="279"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the determination of the number of directors on our board and the filling of vacancies or newly created seats on the board to our board of directors then in office.</w:t>
      </w:r>
    </w:p>
    <w:p>
      <w:pPr>
        <w:spacing w:after="0" w:line="22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23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24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22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trading market for our common stock will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our company or fail to regularly publish reports on us, we could lose visibility in the financial markets, which in turn could cause our stock price or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common stock after price appreciation, which may never occur, 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only way to realize any future gains on their investment. Investors seeking cash dividends should not purchase our common stock.</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and customer service under operating lease agreements that expire on various dates between 2016 and 2021. We also have various co-location agreements with third-party hosting facilities that expire on various dates between 2016 and 2018. We do not have any material capital lease obligations, and our property, equipment and software have been purchased primarily with cash.</w:t>
      </w:r>
    </w:p>
    <w:p>
      <w:pPr>
        <w:sectPr>
          <w:pgSz w:w="11900" w:h="16838" w:orient="portrait"/>
          <w:cols w:equalWidth="0" w:num="1">
            <w:col w:w="11420"/>
          </w:cols>
          <w:pgMar w:left="240" w:top="125" w:right="239" w:bottom="0" w:gutter="0" w:footer="0" w:header="0"/>
        </w:sectPr>
      </w:pPr>
    </w:p>
    <w:bookmarkStart w:id="28" w:name="page29"/>
    <w:bookmarkEnd w:id="28"/>
    <w:p>
      <w:pPr>
        <w:ind w:right="860" w:firstLine="432"/>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22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For additional information regarding obligations under operating leases, see Note 8 of the Notes to Consolidated Financial Statements included in Part II, Item 8 of this Annual Report on Form 10-K.</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60"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common stock has been listed on the New York Stock Exchange, or the NYSE, under the symbol "SSTK" since October 11, 2012. Prior to that date, there was no public trading market for our common stock. The following table sets forth for the periods indicated the high and low sales prices per share of our common stock as reported for the period indicated on the NYSE:</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2015</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2014</w:t>
            </w:r>
          </w:p>
        </w:tc>
        <w:tc>
          <w:tcPr>
            <w:tcW w:w="1120" w:type="dxa"/>
            <w:vAlign w:val="bottom"/>
            <w:tcBorders>
              <w:bottom w:val="single" w:sz="8" w:color="auto"/>
            </w:tcBorders>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103.01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86.84</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86.79</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58.26</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84.06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279"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As of February 19, 2016, there were 6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sell any unregistered equity securities during the three months ended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did not pay cash dividends on our common stock during either of the years ended December 31, 2015 or 2014. 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shares of our common stock which we acquired during the three months ended December 31,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4120" w:type="dxa"/>
            <w:vAlign w:val="bottom"/>
            <w:gridSpan w:val="5"/>
          </w:tcPr>
          <w:p>
            <w:pPr>
              <w:ind w:left="800"/>
              <w:spacing w:after="0"/>
              <w:rPr>
                <w:sz w:val="20"/>
                <w:szCs w:val="20"/>
                <w:color w:val="auto"/>
              </w:rPr>
            </w:pPr>
            <w:r>
              <w:rPr>
                <w:rFonts w:ascii="Arial" w:cs="Arial" w:eastAsia="Arial" w:hAnsi="Arial"/>
                <w:sz w:val="14"/>
                <w:szCs w:val="14"/>
                <w:b w:val="1"/>
                <w:bCs w:val="1"/>
                <w:color w:val="auto"/>
              </w:rPr>
              <w:t>ISSUER PURCHASES OF EQUITY SECURITIES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 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4"/>
              <w:spacing w:after="0"/>
              <w:rPr>
                <w:sz w:val="20"/>
                <w:szCs w:val="20"/>
                <w:color w:val="auto"/>
              </w:rPr>
            </w:pPr>
            <w:r>
              <w:rPr>
                <w:rFonts w:ascii="Arial" w:cs="Arial" w:eastAsia="Arial" w:hAnsi="Arial"/>
                <w:sz w:val="14"/>
                <w:szCs w:val="14"/>
                <w:b w:val="1"/>
                <w:bCs w:val="1"/>
                <w:color w:val="auto"/>
                <w:w w:val="98"/>
              </w:rPr>
              <w:t>(d) Maximum Number(or</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Approximate Dollar Value) of</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 Total Number of Shares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 Average Price Paid Per</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Units)Purchased as Part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Shares (or Units) That May</w:t>
            </w:r>
          </w:p>
        </w:tc>
        <w:tc>
          <w:tcPr>
            <w:tcW w:w="0" w:type="dxa"/>
            <w:vAlign w:val="bottom"/>
          </w:tcPr>
          <w:p>
            <w:pPr>
              <w:spacing w:after="0"/>
              <w:rPr>
                <w:sz w:val="1"/>
                <w:szCs w:val="1"/>
                <w:color w:val="auto"/>
              </w:rPr>
            </w:pPr>
          </w:p>
        </w:tc>
      </w:tr>
      <w:tr>
        <w:trPr>
          <w:trHeight w:val="149"/>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 or</w:t>
            </w:r>
          </w:p>
        </w:tc>
        <w:tc>
          <w:tcPr>
            <w:tcW w:w="12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 the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Units)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Share (or Unit)</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Programs</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Plans or Programs</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1 - 31, 2015</w:t>
            </w:r>
          </w:p>
        </w:tc>
        <w:tc>
          <w:tcPr>
            <w:tcW w:w="1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November 1 - 30, 2015</w:t>
            </w:r>
          </w:p>
        </w:tc>
        <w:tc>
          <w:tcPr>
            <w:tcW w:w="1960" w:type="dxa"/>
            <w:vAlign w:val="bottom"/>
          </w:tcPr>
          <w:p>
            <w:pPr>
              <w:jc w:val="right"/>
              <w:ind w:right="38"/>
              <w:spacing w:after="0"/>
              <w:rPr>
                <w:sz w:val="20"/>
                <w:szCs w:val="20"/>
                <w:color w:val="auto"/>
              </w:rPr>
            </w:pPr>
            <w:r>
              <w:rPr>
                <w:rFonts w:ascii="Arial" w:cs="Arial" w:eastAsia="Arial" w:hAnsi="Arial"/>
                <w:sz w:val="18"/>
                <w:szCs w:val="18"/>
                <w:color w:val="auto"/>
              </w:rPr>
              <w:t>163,568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36.05</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163,568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1 - 31, 2015</w:t>
            </w:r>
          </w:p>
        </w:tc>
        <w:tc>
          <w:tcPr>
            <w:tcW w:w="1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296,034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32.88</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296,034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1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459,602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21"/>
                <w:szCs w:val="21"/>
                <w:color w:val="auto"/>
              </w:rPr>
            </w:pPr>
          </w:p>
        </w:tc>
        <w:tc>
          <w:tcPr>
            <w:tcW w:w="19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459,602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4"/>
              <w:spacing w:after="0"/>
              <w:rPr>
                <w:sz w:val="20"/>
                <w:szCs w:val="20"/>
                <w:color w:val="auto"/>
              </w:rPr>
            </w:pPr>
            <w:r>
              <w:rPr>
                <w:rFonts w:ascii="Arial" w:cs="Arial" w:eastAsia="Arial" w:hAnsi="Arial"/>
                <w:sz w:val="18"/>
                <w:szCs w:val="18"/>
                <w:color w:val="auto"/>
              </w:rPr>
              <w:t>84,369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8890</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26035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8890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26035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340" w:right="80" w:hanging="332"/>
        <w:spacing w:after="0" w:line="312" w:lineRule="auto"/>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purchased shares of our common stock in open market purchases pursuant to share repurchases authorized by the our board of directors. In October 2015, our board of directors authorized the repurchase of up to $100 million of our common stock, and, as of December 31, 2015, $84.4 million remained available for purchase under this authorization.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44"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2016 Annual Meeting of Stockholders to be filed with the Securities and Exchange Commission, or the SEC, within 120 days of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240" w:top="125" w:right="5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have derived the consolidated statements of operations data for the years ended December 31, 2015, 2014 and 2013 and the consolidated balance sheet data as of December 31, 2015 and 2014 from our audited consolidated financial statements included elsewhere in this filing. We have derived the consolidated statements of operations data for the years ended December 31, 2012 and 2011 and the consolidated balance sheet data as of December 31, 2013, 2012 and 2011 from our audited consolidated financial statements not included in this filing. To obtain further information about our historical results, including our historical acquisitions, for which results of operations are included in our consolidated financial statements, you should read the following selected consolidated financial data in conjunction with our consolidated financial statements and related notes, the information in the section of this filing titled "Management's Discussion and Analysis of Financial Condition and Results of Operations" and the other financial information included elsewhere in this filing. Our historical results are not necessarily indicative of our future results.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425,149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327,971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235,515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169,616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120,271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90,627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45,504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41,322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9,777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10,171</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384,131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288,935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192,192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147,764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97,381</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22,890</w:t>
            </w: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Other (expense) / income, net</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22,900</w:t>
            </w: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Provision (benefit) for income taxes </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14,720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16,896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1,036</w:t>
            </w: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26,479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47,543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21,864</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-98425</wp:posOffset>
            </wp:positionV>
            <wp:extent cx="4271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non-cash equity-based compensation of $28,860, $23,768, $6,208, $10,385, and $2,122 for the years ended December 31, 2015, 2014, 2013, 2012, and 2011, respectively.</w:t>
      </w:r>
    </w:p>
    <w:p>
      <w:pPr>
        <w:spacing w:after="0" w:line="282" w:lineRule="exact"/>
        <w:rPr>
          <w:rFonts w:ascii="Arial" w:cs="Arial" w:eastAsia="Arial" w:hAnsi="Arial"/>
          <w:sz w:val="13"/>
          <w:szCs w:val="13"/>
          <w:color w:val="auto"/>
        </w:rPr>
      </w:pPr>
    </w:p>
    <w:p>
      <w:pPr>
        <w:jc w:val="both"/>
        <w:ind w:left="340" w:right="20" w:hanging="332"/>
        <w:spacing w:after="0" w:line="257"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changes in fair value of contingent consideration related to the WebDAM (2015 and 2014) and PremiumBeat (2015) acquisitions; transaction gains and losses primarily related to cash balances of subsidiaries denominated in a currency other than the subsidiaries' functional currencies, which was not material in 2013, 2012 and 2011; and interest income and expense, which is not material in any period presented.</w:t>
      </w:r>
    </w:p>
    <w:p>
      <w:pPr>
        <w:spacing w:after="0" w:line="239" w:lineRule="exact"/>
        <w:rPr>
          <w:rFonts w:ascii="Arial" w:cs="Arial" w:eastAsia="Arial" w:hAnsi="Arial"/>
          <w:sz w:val="14"/>
          <w:szCs w:val="14"/>
          <w:color w:val="auto"/>
        </w:rPr>
      </w:pPr>
    </w:p>
    <w:p>
      <w:pPr>
        <w:ind w:left="340" w:hanging="332"/>
        <w:spacing w:after="0" w:line="286"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operated as a New York limited liability company, or an LLC, for federal and state income tax purposes, taxed as a partnership, and therefore were subject only to certain local income taxes and were not subject to federal and state income taxes through October 4, 2012 and for the period ended December 31, 2011. Following our reorganization from an LLC to a Delaware corporation on October 5, 2012, which we refer to as the Reorganization, we became subject to income taxes at a combined federal, state and local tax rate of approximately 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241,304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233,453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155,355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102,096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 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174,891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203,203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151,260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(28,436)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469,121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383,777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278,488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147,114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24,855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28,451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180,556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132,344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95,889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49,058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preferred members'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Common members' interest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5,699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members'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288,565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251,433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182,599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76,934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Key Operating Metrics</w:t>
      </w:r>
    </w:p>
    <w:p>
      <w:pPr>
        <w:spacing w:after="0" w:line="14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To supplement our consolidated financial statements presented in accordance with generally accepted accounting principles in the United States, or GAAP, we consider certain financial measures that are not prepared in accordance with GAAP, including Adjusted EBITDA, Non-GAAP Net Income and Free Cash Flow, as well as certain key operating metrics. These non-GAAP financial measures and key operating metrics are not based on any standardized methodology prescribed by GAAP and are not necessarily comparable to similarly-titled measures presented by other companies.</w:t>
      </w:r>
    </w:p>
    <w:p>
      <w:pPr>
        <w:spacing w:after="0" w:line="159"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Non-GAAP Financial Measures</w:t>
            </w:r>
            <w:r>
              <w:rPr>
                <w:rFonts w:ascii="Arial" w:cs="Arial" w:eastAsia="Arial" w:hAnsi="Arial"/>
                <w:sz w:val="25"/>
                <w:szCs w:val="25"/>
                <w:color w:val="auto"/>
                <w:vertAlign w:val="superscript"/>
              </w:rPr>
              <w:t>(1)</w:t>
            </w:r>
            <w:r>
              <w:rPr>
                <w:rFonts w:ascii="Arial" w:cs="Arial" w:eastAsia="Arial" w:hAnsi="Arial"/>
                <w:sz w:val="18"/>
                <w:szCs w:val="18"/>
                <w:b w:val="1"/>
                <w:bCs w:val="1"/>
                <w:color w:val="auto"/>
              </w:rPr>
              <w:t xml:space="preserve"> (in thousands):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84,719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71,088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53,401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34,877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26,532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Free Cash Flow</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68,347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64,188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42,305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41,472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36,105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Key Operating Metrics: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Paid downloads</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(in millions)</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58.6</w:t>
            </w: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Revenue per download</w:t>
            </w:r>
            <w:r>
              <w:rPr>
                <w:rFonts w:ascii="Arial" w:cs="Arial" w:eastAsia="Arial" w:hAnsi="Arial"/>
                <w:sz w:val="25"/>
                <w:szCs w:val="25"/>
                <w:color w:val="auto"/>
                <w:vertAlign w:val="superscript"/>
              </w:rPr>
              <w:t>(3)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r>
      <w:tr>
        <w:trPr>
          <w:trHeight w:val="263"/>
        </w:trPr>
        <w:tc>
          <w:tcPr>
            <w:tcW w:w="4700" w:type="dxa"/>
            <w:vAlign w:val="bottom"/>
          </w:tcPr>
          <w:p>
            <w:pPr>
              <w:ind w:left="180"/>
              <w:spacing w:after="0" w:line="263" w:lineRule="exact"/>
              <w:rPr>
                <w:sz w:val="20"/>
                <w:szCs w:val="20"/>
                <w:color w:val="auto"/>
              </w:rPr>
            </w:pPr>
            <w:r>
              <w:rPr>
                <w:rFonts w:ascii="Arial" w:cs="Arial" w:eastAsia="Arial" w:hAnsi="Arial"/>
                <w:sz w:val="18"/>
                <w:szCs w:val="18"/>
                <w:color w:val="auto"/>
              </w:rPr>
              <w:t>Images in our collection</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(in millions) (end of period)</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17.4</w:t>
            </w:r>
          </w:p>
        </w:tc>
      </w:tr>
    </w:tbl>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5" w:lineRule="exact"/>
        <w:rPr>
          <w:sz w:val="20"/>
          <w:szCs w:val="20"/>
          <w:color w:val="auto"/>
        </w:rPr>
      </w:pPr>
    </w:p>
    <w:p>
      <w:pPr>
        <w:ind w:left="340" w:right="140" w:hanging="332"/>
        <w:spacing w:after="0" w:line="247"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 "—Non-GAAP Financial Measures" below as to how we define and calculate Adjusted EBITDA, Non-GAAP Net Income and Free Cash Flow and for a reconciliation from net income and cash from operating activities, the most directly comparable financial measures presented on a GAAP basis, to these non-GAAP financial measures and a discussion about the limitations of these financial measures.</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Paid downloads is the number of paid content downloads that our customers make during a given period. See "Management's Discussion and Analysis of Financial Condition and Results of Operations—Key Operating Metrics—Paid Downloads" for more information as to how we define and calculate paid downloads.</w:t>
      </w:r>
    </w:p>
    <w:p>
      <w:pPr>
        <w:ind w:left="340" w:right="100" w:hanging="332"/>
        <w:spacing w:after="0" w:line="260"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Revenue per download is the amount of content-related revenue recognized in a given period divided by the number of paid downloads in that period. See "Management's Discussion and Analysis of Financial Condition and Results of Operations—Key Operating Metrics—Revenue per Download" for more information as to how we define and calculate revenue per download.</w:t>
      </w:r>
    </w:p>
    <w:p>
      <w:pPr>
        <w:ind w:left="340" w:right="180" w:hanging="332"/>
        <w:spacing w:after="0" w:line="246"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Images in our collection are the total number of photographs, vectors and illustrations available to customers on shutterstock.com at the end of the period. We exclude content from this collection metric that is not uploaded directly to our site but is available to our customers through an application program interface and certain images that may be licensed for editorial use only. See "Management's Discussion and Analysis of Financial Condition and Results of Operations—Key Operating Metrics—Images in our Collection" for more information as to how we define and calculate images in our collection.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within this Annual Report on Form 10-K Adjusted EBITDA, a Non-GAAP financial measure. We define Adjusted EBITDA as net income adjusted for other income and expenses, income taxes, depreciation, amortization, disposals and non-cash equity-based compensation. We believe Adjusted EBITDA is an important measure of operating performance because it allows management, investors and others to evaluate and compare our core operating results from period to period by removing the impact of our asset base (depreciation and amortization), asset disposals, non-cash equity-based compensation and other income and expense which is inclusive of certain non-cash charges and taxes.</w:t>
      </w:r>
    </w:p>
    <w:p>
      <w:pPr>
        <w:spacing w:after="0" w:line="247" w:lineRule="exact"/>
        <w:rPr>
          <w:sz w:val="20"/>
          <w:szCs w:val="20"/>
          <w:color w:val="auto"/>
        </w:rPr>
      </w:pPr>
    </w:p>
    <w:p>
      <w:pPr>
        <w:ind w:right="460" w:firstLine="432"/>
        <w:spacing w:after="0" w:line="257" w:lineRule="auto"/>
        <w:rPr>
          <w:sz w:val="20"/>
          <w:szCs w:val="20"/>
          <w:color w:val="auto"/>
        </w:rPr>
      </w:pPr>
      <w:r>
        <w:rPr>
          <w:rFonts w:ascii="Arial" w:cs="Arial" w:eastAsia="Arial" w:hAnsi="Arial"/>
          <w:sz w:val="18"/>
          <w:szCs w:val="18"/>
          <w:color w:val="auto"/>
        </w:rPr>
        <w:t>Our use of Adjusted EBITDA has limitations as an analytical tool, and this measure should not be considered in isolation or as a substitute for an analysis of our results as reported under GAAP, as the excluded items may have significant effects on our operating results and financial condition. Additionally, our measure of Adjusted EBITDA may differ from other companies' measures of Adjusted EBITDA. When evaluating our performance, Adjusted EBITDA should be considered alongside other financial performance measures, including various cash flow metrics, net income and our other GAAP results.</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Write-off property and equipment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84,719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53,401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34,877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26,532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Net Income</w:t>
      </w:r>
    </w:p>
    <w:p>
      <w:pPr>
        <w:spacing w:after="0" w:line="2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within this Annual Report on Form 10-K Non-GAAP Net Income, a non-GAAP financial measure. We define Non-GAAP Net Income as net income excluding a one-time tax benefit due to the Reorganization, the after-tax impact of non-cash equity-based compensation, the impact of changes in fair value of contingent consideration and amortization of intangible assets related to acquisitions. We believe Non-GAAP Net Income is an important measure of operating performance because it allows management, investors and others to evaluate and compare our operating results from period to period by removing the impact of our one-time tax benefit due to the Reorganization in October 2012, non-cash equity-based compensation, and items related to our acquisitions, which are not necessarily reflective of our ongoing operations.</w:t>
      </w:r>
    </w:p>
    <w:p>
      <w:pPr>
        <w:spacing w:after="0" w:line="24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use of Non-GAAP Net Income has limitations as an analytical tool, and this measure should not be considered in isolation or as a substitute for analysis of our results as reported under GAAP as the excluded items may have significant effects on our operating results and financial condition. Additionally, our measure of Non-GAAP Net Income may differ from other companies' measures of Non-GAAP Net Income. When evaluating our performance, Non-GAAP Net Income should be considered alongside other financial performance measures, including various cash flow metrics, net income and our other GAAP results.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net income to Non-GAAP Net Income for each of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Non-GAAP adjustments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One-time tax benefit due to reorganization to a corporation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Non-cash equity-based compensation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18,712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31,094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7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Annual Report on Form 10-K Free Cash Flow, a non-GAAP financial measure. We define Free Cash Flow as our cash provided by operating activities, adjusted for capital expenditures and content acquisition. We believe that Free Cash Flow is an important measure of operating performance because it allows management, investors and others to evaluate the cash that we generate after the financing of projects required to maintain or expand our asset base.</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use of Free Cash Flow has limitations as an analytical tool, and this measure should not be considered in isolation or as a substitute for analysis of our results as reported under GAAP as the excluded items may have significant effects on our operating results and financial condition. Additionally, our measure of Free Cash Flow may differ from other companies' measures of Free Cash Flow. When evaluating our performance, you should consider Free Cash Flow alongside other financial performance measures, including various cash flow metrics, net income and our other GAAP results.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net cash provided by operating activities to Free Cash Flow for each of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82,859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56,373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 and content acquisition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68,347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64,188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42,305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41,472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36,105</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our operations should be read in conjunction with the consolidated financial statements and related notes included elsewhere in this filing. In addition to historical consolidated financial information, the following discussion contains forward-looking statements that reflect our plans, estimates and beliefs. These statements involve risks and uncertainties and our actual results could differ materially from those discussed below. See the "Forward Looking Statements" disclosure in Item 1 above for a discussion of the uncertainties, risks and assumptions associated with these statements. See also the "Risk Factors" disclosure in Item 1A above for additional discussion of such risks.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28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leading global provider of high quality creative content including: (a) digital imagery, which consists of licensed photographs, illustrations, vectors and video clips that customers use in their visual communications, such as websites, digital and print marketing materials, corporate communications, books, publications and video content; and (b) commercial music, which consists of high-quality music tracks and sound effects and which is often used to complement the digital imagery. We also offer digital asset management services through WebDAM, our cloud-based digital asset management platform. This service provides tools for customers to better manage content assets.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global marketplace brings together users of creative content with content producers from around the world by providing a freely searchable collection of content that our customers can pay to license, download and incorporate into their work. More than 1.4 million active, paying customers contributed to our revenue in 2015. As of December 31, 2015, more than 95,000 approved contributors made their images, video clips and music tracks available in our collection, which has grown to more than 70 million images and more than 3.5 million video clips as of December 31, 2015. This makes our collection of creative content one of the largest of its kind, and we delivered more than 140 million paid downloads to our customers from that collection during the year ended December 31, 2015. We believe that we delivered the highest volume of commercial image downloads in this period of any single brand in our industry.</w:t>
      </w:r>
    </w:p>
    <w:p>
      <w:pPr>
        <w:spacing w:after="0" w:line="24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In January 2015, we acquired Rex Features, the largest independently owned photographic press agency in Europe, specializing in editorial imagery, such as celebrity, entertainment, sports and news images and PremiumBeat, a leading provider of exclusive, high-quality music and sound effects for use in videos, films, television, mobile applications, games, and other creative projects.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April 2015, we announced that Paul J. Hennessy, Chief Executive Officer of priceline.com, was appointed to our board of directors.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June 2015, we announced an alliance with PMC to create and license entertainment and fashion content to media, publishing and creative companies.</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October 2015, we surpassed over $350 million in all-time cumulative payouts to our contributors.</w:t>
      </w:r>
    </w:p>
    <w:p>
      <w:pPr>
        <w:spacing w:after="0" w:line="1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October 2015, we entered into an exclusive distribution agreement with Red Bull Media House, or Red Bull, to market and license Red Bull's video collection. This exclusive distribution arrangement began in January 2016.</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December 2015, we launched Shutterstock Editor, a tool which allows customers to instantly customize images without leaving their browsers.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December 2015, we surpassed over 70 million commercially licensable images in our collection.</w:t>
      </w:r>
    </w:p>
    <w:p>
      <w:pPr>
        <w:spacing w:after="0" w:line="27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As a global marketplace, we generate revenue by licensing creative content to our customers and paying royalties to contributors each time their content is delivered to a customer for use. During the year ended December 31, 2015, 33% of our revenue and the majority of our downloads come from subscription-based users. These customers can download and use a large number of images in their creative process without concern for the incremental cost of each image download. For customers with other content needs, we offer simple, affordable, On Demand pricing, which is presented as a flat rate per download. Since the launch of our On Demand purchase options in 2008, revenue from our On Demand purchase options has increased as a percentage of our overall revenue to approximately 38% of our revenues for the year ended December 31, 2015, and we expect that this trend will continue.</w:t>
      </w:r>
    </w:p>
    <w:p>
      <w:pPr>
        <w:spacing w:after="0" w:line="21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Each time an image, video clip or music track is delivered to a customer for use, we record a royalty expense for the amount due to the associated contributor. Royalties are calculated using either a fixed dollar amount or a fixed percentage of revenue as described on our websites, and are typically paid to contributors on a monthly basis, subject to withholding taxes and certain payout minimums. Royalties represent the largest component of our operating expenses and tend to increase proportionally with revenue.</w:t>
      </w:r>
    </w:p>
    <w:p>
      <w:pPr>
        <w:spacing w:after="0" w:line="24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We expect that shifts in the relative popularity of these two purchase options will not materially impact our cost of revenue.</w:t>
      </w:r>
    </w:p>
    <w:p>
      <w:pPr>
        <w:spacing w:after="0" w:line="24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a provider of digital asset management technology, we generate revenue by licensing the use of our WebDAM platform to customers on a contract basis, which is typically twelve months.</w:t>
      </w:r>
    </w:p>
    <w:p>
      <w:pPr>
        <w:spacing w:after="0" w:line="224"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We manage customer acquisition costs based on the expected blended customer lifetime value across our purchase options so that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20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achieved significant growth in the past three years. Our total revenue has grown to $425.1 million in 2015 from $328.0 million in 2014 and $235.5 million in 2013, representing a compound annual growth rate of 34% since 2013. As our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has grown, so have our operating expenses, to $384.1 million in 2015 from $288.9 million in 2014 and $192.2 million in 2013, principally as a result of increased royalties, marketing costs, payroll expenses and non-cash equity-based compensation.</w:t>
      </w:r>
    </w:p>
    <w:p>
      <w:pPr>
        <w:spacing w:after="0" w:line="22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several years, our investments in marketing have been a significant percentage of revenue. Since we believe the market for creative content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videos and music that they need, the degree to which we make use of the large quantity of data we collect about images, videos and music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exceeded 70 million images and 3.5 million video clips as of December 31, 2015, making it one of the largest libraries of its kind.</w:t>
      </w:r>
    </w:p>
    <w:p>
      <w:pPr>
        <w:spacing w:after="0" w:line="23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Even as we have invested in our key growth drivers of customer acquisition, customer experience improvement and content acquisition, we have delivered strong profitability. In 2015, our net income was $19.6 million and net cash from operating activities was $85.3 million. In the same period, Adjusted EBITDA, Non-GAAP Net Income, and Free Cash Flow were $84.7 million, $44.2 million and $68.3 million, respectively. See Part II, Item 6 of this Annual Report on Form 10-K under the heading "Selected Financial Data—Non-GAAP Financial Measures."</w:t>
      </w:r>
    </w:p>
    <w:p>
      <w:pPr>
        <w:spacing w:after="0" w:line="24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On September 25, 2013, we completed a follow-on offering of 5,290,000 shares of common stock, which included 690,000 shares of common stock sold by us and certain stockholders as a result of the underwriters' exercise of their option to purchase additional shares, at a price of $60.00 per share. We sold 1,150,000 shares of common stock and the selling stockholders sold 4,140,000 shares of common stock in the offering. The aggregate offering price for shares sold by us in the offering resulted in net proceeds to us of $65.9 million after deducting underwriting discounts and commissions, and before deducting total expenses incurred in connection with the offering of approximately $0.9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83"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2015, 2014 and 2013: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8"/>
          </w:tcPr>
          <w:p>
            <w:pPr>
              <w:jc w:val="center"/>
              <w:ind w:right="194"/>
              <w:spacing w:after="0"/>
              <w:rPr>
                <w:sz w:val="20"/>
                <w:szCs w:val="20"/>
                <w:color w:val="auto"/>
              </w:rPr>
            </w:pPr>
            <w:r>
              <w:rPr>
                <w:rFonts w:ascii="Arial" w:cs="Arial" w:eastAsia="Arial" w:hAnsi="Arial"/>
                <w:sz w:val="14"/>
                <w:szCs w:val="14"/>
                <w:b w:val="1"/>
                <w:bCs w:val="1"/>
                <w:color w:val="auto"/>
                <w:w w:val="91"/>
              </w:rPr>
              <w:t>(in millions, except revenue per download)</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downloads (during period)</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Revenue per download (during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Images in collection (end of period)</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the customer will renew. We define paid downloads as the number of downloads that our customers make in a given period of our photographs, vectors, illustrations, video clips or music tracks, excluding re-downloads of images, video clips or music tracks that a customer has downloaded in the past (which do not generate incremental revenue or contributor royalty expense) and downloads of our free image of the week (which we make available as a means of acquiring new customers and attracting existing customers to return to our websites more frequently).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7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excluding the impact of revenue that is not derived from or associated with the download of images, video clips or music tracks. This metric captures changes in our pricing, if any, as well as the mix of purchase options that our customers choose, some of which generate more revenue per download than others and the impact that changes in foreign currency rates have on our pricing. For example, when a customer pays $49.00 for five On Demand images, we earn more revenue per download ($9.80 per download) than when a customer purchases a one-month subscription for $249.00 and downloads 100 images during the month ($2.49 per download). Over the last three years, revenue from each of our purchase options has grown, however our fastest growing purchase options have been those that generate more revenue per download, most notably our On Demand purchase options. Revenue per download has increased steadily over the last three years, almost entirely due to the change in product mix. During this period, pricing has remained relatively constant. Additionally, as our business grows and expands into other products and regions around the world, this metric may become less important.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our Collection</w:t>
      </w:r>
    </w:p>
    <w:p>
      <w:pPr>
        <w:spacing w:after="0" w:line="2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define images in our collection as the total number of photographs, vectors and illustrations available to customers for commercial license on shutterstock.com at any point in time. We exclude content from this collection metric that is not uploaded directly to our site but is available to our customers through an application program interface and certain content that may be licensed for editorial use only.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jc w:val="both"/>
        <w:ind w:right="160" w:firstLine="432"/>
        <w:spacing w:after="0" w:line="288" w:lineRule="auto"/>
        <w:rPr>
          <w:sz w:val="20"/>
          <w:szCs w:val="20"/>
          <w:color w:val="auto"/>
        </w:rPr>
      </w:pPr>
      <w:r>
        <w:rPr>
          <w:rFonts w:ascii="Arial" w:cs="Arial" w:eastAsia="Arial" w:hAnsi="Arial"/>
          <w:sz w:val="16"/>
          <w:szCs w:val="16"/>
          <w:color w:val="auto"/>
        </w:rPr>
        <w:t>The vast majority of our revenue, net of chargebacks and refunds, is generated through the licensing of creative content. The majority of our licensing revenue is generated via either subscription or On Demand purchase options. We generate subscription revenue through the sale of subscriptions varying in length from one month to one year. Historically, our most popular subscription offering allowed up to 25 image downloads per day for a flat monthly fee.</w:t>
      </w:r>
    </w:p>
    <w:p>
      <w:pPr>
        <w:ind w:right="120"/>
        <w:spacing w:after="0" w:line="302" w:lineRule="auto"/>
        <w:rPr>
          <w:sz w:val="20"/>
          <w:szCs w:val="20"/>
          <w:color w:val="auto"/>
        </w:rPr>
      </w:pPr>
      <w:r>
        <w:rPr>
          <w:rFonts w:ascii="Arial" w:cs="Arial" w:eastAsia="Arial" w:hAnsi="Arial"/>
          <w:sz w:val="16"/>
          <w:szCs w:val="16"/>
          <w:color w:val="auto"/>
        </w:rPr>
        <w:t>During 2015, we began offering subscriptions to our customers that removed daily image limits, and instead allowed up to 750 image downloads per month, giving our customers greater flexibility in their creative process. For subscriptions with daily limits, revenue is recognized on a straight-line basis over the subscription period. Revenue from subscription plans with monthly limits are recognized on a per usage basis or when the right to download expires.</w:t>
      </w:r>
    </w:p>
    <w:p>
      <w:pPr>
        <w:spacing w:after="0" w:line="20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generate On Demand revenue through the sale of fixed content packages varying in download quantities and through Bigstock via the sale of "credits" plans, which enable a customer to purchase a fixed number of credits which can then be utilized to download images anytime within one year. For on-demand purchases, we typically receive the full amount of the purchase at the time of sale; however, revenue is recognized as content is downloaded or when the right to download content expires (typically 365 days after purchase). We provide a number of other purchase options, which collectively represented approximately 29% of our revenue in 2015. These purchase options include custom and enterprise accounts for customers that require multi-seat access, invoicing, greater or unlimited indemnification, or a higher volume of content. We typically receive the full amount of the purchase at the time of sale; however, revenue is recognized as content is downloaded or when the right to download expires (typically 365 days after purchase). Some of our larger custom accounts are invoiced and pay us on credit terms. For some custom accounts, payment is received in installments over the course of an annual commitment.</w:t>
      </w:r>
    </w:p>
    <w:p>
      <w:pPr>
        <w:spacing w:after="0" w:line="25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also generate revenue through WebDAM, which we acquired in March 2014. WebDAM licenses digital asset management software services through its cloud-based platform to marketing and creative enterprise organizations. Software licensing fees are recognized ratably as revenue over the course of the contractual term which is typically one year. Any setup or implementation fees are recognized ratably over the longer of the contractual term or the estimated customer relationship period which is currently three years. Fees for on-boarding and professional services, which typically take place over a period of time less than one year and provide immediate benefit to customers upon completion, are recorded as revenue when services are substantially complete and all other revenue recognition criteria have been met.</w:t>
      </w:r>
    </w:p>
    <w:p>
      <w:pPr>
        <w:spacing w:after="0" w:line="24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Our deferred revenue consists of amounts paid by customers for which revenue recognition criteria have not been met. For content revenue, deferred revenue is recognized as revenue when content is downloaded, through the passage of time or when the credits or the right to download content expires, and all other revenue recognition criteria have been met. For WebDAM, deferred revenue is recognized as revenue through passage of time (subscriptions) or when a project is substantially complete (on-boarding and professional services) and all other revenue recognition criteria have been met.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7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consists of royalties paid to contributors, credit card processing fees, content review costs, customer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the infrastructure and hosting costs related to maintaining our websites and cloud-based software platform and associated employee compensation, including non-cash equity-based compensation, bonuses and benefits, amortization of content and technology intangible assets, allocated facility costs and other supporting overhead costs. We expect that our cost of revenue will increase in absolute dollars in the foreseeable future as our revenue grows.</w:t>
      </w:r>
    </w:p>
    <w:p>
      <w:pPr>
        <w:spacing w:after="0" w:line="208"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including non-cash equity-based compensation, bonuses and benefits, and commissions as well as allocated facility and other supporting overhead costs. We expect sales and marketing expenses to increase in absolute dollars in the foreseeable future as we continue to invest in new customer acquisition.</w:t>
      </w:r>
    </w:p>
    <w:p>
      <w:pPr>
        <w:spacing w:after="0" w:line="24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of employee compensation, including non-cash equity-based compensation, bonuses</w:t>
      </w:r>
      <w:r>
        <w:rPr>
          <w:rFonts w:ascii="Arial" w:cs="Arial" w:eastAsia="Arial" w:hAnsi="Arial"/>
          <w:sz w:val="17"/>
          <w:szCs w:val="17"/>
          <w:i w:val="1"/>
          <w:iCs w:val="1"/>
          <w:color w:val="auto"/>
        </w:rPr>
        <w:t xml:space="preserve"> </w:t>
      </w:r>
      <w:r>
        <w:rPr>
          <w:rFonts w:ascii="Arial" w:cs="Arial" w:eastAsia="Arial" w:hAnsi="Arial"/>
          <w:sz w:val="17"/>
          <w:szCs w:val="17"/>
          <w:color w:val="auto"/>
        </w:rPr>
        <w:t>and benefits, and expenses related to contractors engaged in product management, design, development and testing of our websites and products. Product development costs also include allocated facility and other supporting overhead costs. We expense product development expenses as incurred, except for costs that are capitalized for internal use software development projects. During the year ended December 31, 2015, we experienced an increase in capitalized costs for internal use software development related primarily to our efforts to launch new and innovative products. We expect product development expenses, of which a portion will be capitalized, to increase in absolute dollars in the foreseeable future as we continue to invest in developing new products and internal tools and enhancing the functionality of our existing products and technology.</w:t>
      </w:r>
    </w:p>
    <w:p>
      <w:pPr>
        <w:spacing w:after="0" w:line="23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employee compensation, including non-cash equity-based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and benefits for executive, finance, business development, accounting, legal, human resources, internal information technology, business intelligence and other administrative personnel. In addition, general and administrative expenses include outside legal, tax and accounting services, insurance, facilities costs and other supporting overhead costs. We expect to incur incremental general and administrative expenses to support our global operational growth and enhancements to support our reporting and planning functions.</w:t>
      </w:r>
    </w:p>
    <w:p>
      <w:pPr>
        <w:spacing w:after="0" w:line="10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consists of non-operating costs such as foreign currency transaction gains and losses, changes in fair value of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related to acquisitions and interest income and expense. We expect to incur incremental expense related to changes in fair value of contingent consideration related to our PremiumBeat acquisition as we reach the measurement date. Additionally, as we increase the volume of business transacted in foreign currencies as a result of international expansion and as currency rates fluctuate, we expect foreign currency gains and losses to continue to fluctuate.</w:t>
      </w:r>
    </w:p>
    <w:p>
      <w:pPr>
        <w:spacing w:after="0" w:line="7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GAAP income taxes are computed using the asset and liability method, under which deferred tax assets and liabilities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4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425,149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327,971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235,515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174,526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130,022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90,627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56,738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21,764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23,068</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384,131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288,935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192,197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41,018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43,318</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43,375</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16,896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22,089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26,479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00" w:lineRule="exact"/>
        <w:rPr>
          <w:sz w:val="20"/>
          <w:szCs w:val="20"/>
          <w:color w:val="auto"/>
        </w:rPr>
      </w:pPr>
    </w:p>
    <w:p>
      <w:pPr>
        <w:spacing w:after="0" w:line="300"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23495</wp:posOffset>
            </wp:positionV>
            <wp:extent cx="2667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gridSpan w:val="2"/>
          </w:tcPr>
          <w:p>
            <w:pPr>
              <w:ind w:left="28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040" w:type="dxa"/>
            <w:vAlign w:val="bottom"/>
            <w:gridSpan w:val="2"/>
          </w:tcPr>
          <w:p>
            <w:pPr>
              <w:ind w:left="280"/>
              <w:spacing w:after="0"/>
              <w:rPr>
                <w:sz w:val="20"/>
                <w:szCs w:val="20"/>
                <w:color w:val="auto"/>
              </w:rPr>
            </w:pPr>
            <w:r>
              <w:rPr>
                <w:rFonts w:ascii="Arial" w:cs="Arial" w:eastAsia="Arial" w:hAnsi="Arial"/>
                <w:sz w:val="18"/>
                <w:szCs w:val="18"/>
                <w:color w:val="auto"/>
              </w:rPr>
              <w:t>Product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72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December 31, 2014</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425,149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327,971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97,178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174,526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44,504</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24,511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41,322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384,131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288,935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95,196</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14,720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960" w:type="dxa"/>
            <w:vAlign w:val="bottom"/>
          </w:tcPr>
          <w:p>
            <w:pPr>
              <w:spacing w:after="0"/>
              <w:rPr>
                <w:sz w:val="20"/>
                <w:szCs w:val="20"/>
                <w:color w:val="auto"/>
              </w:rPr>
            </w:pPr>
            <w:r>
              <w:rPr>
                <w:rFonts w:ascii="Arial" w:cs="Arial" w:eastAsia="Arial" w:hAnsi="Arial"/>
                <w:sz w:val="14"/>
                <w:szCs w:val="14"/>
                <w:color w:val="auto"/>
              </w:rPr>
              <w:t>*  Not meaningful. See "—Other expense, net" and "—Income Taxes" below</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Revenue increased by $97.2 million, or 30%, to $425.1 million in 2015 as compared to 2014. This increase in revenue was primarily attributable to an increase in the number of paid downloads and an increase in revenue per download, as well as the impact from incremental sales related to our 2015 acquisitions of Rex Features and PremiumBeat, offset by the impact of foreign currency. In 2015 and 2014, we delivered 147.2 million and 125.9 million paid downloads, respectively, and our revenue per download increased to $2.84 from $2.58. Paid downloads increased primarily due to the acquisition of new customers. Revenue per download increased primarily due to growth in our On Demand offerings and other purchase options, which includes our enterprise business, which capture a higher effective price per content download and to a lesser extent, revenue related to the 2015 acquisitions. Comparing 2015 to 2014, revenue from North America increased to 39% from 37% while revenue from Europe decreased to 34% from 35% and revenue from the rest of the world remained flat at 27%.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7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$44.5 million, or 34%, to $174.5 million in 2015 as compared to 2014. Royalties increased $31.2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34%, as a result of an increase in the number of downloads from existing and new customers. We anticipate royalties growing in line with revenues in the future, although royalties as a percentage of revenue may vary somewhat from period to period primarily due to customer usage and to a lesser extent the contributor's achievement level of royalty target thresholds. Credit card charges increased $1.5 million, or 14%, driven by an increase in card volume activity in 2015. Employee-related costs increased $4.7 million, or 42%, driven by increased headcount in customer service, content and website operations to support increased customer volume and a more robust website infrastructure. Other costs associated with website hosting, content consulting and allocation of depreciation and amortization expense increased by $5.8 million, or 51%, to $17.3 million in 2015 as compared to 2014.</w:t>
      </w:r>
    </w:p>
    <w:p>
      <w:pPr>
        <w:spacing w:after="0" w:line="22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$24.5 million, or 30%, to $106.6 million in 2015 as compared to 2014.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the largest component of our sales and marketing expenses, increased by $9.3 million, or 21%, as compared to the prior period, as a result of increased spending on affiliate and search advertising and new channels in 2015. We anticipate that our global advertising spend will continue to increase in absolute dollars in the future, as we further our international expansion. Employee-related expenses, including travel and entertainment, increased by</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$12.5 million, or 40%, driven by an increase in sales and marketing headcount to support our expansion into new markets and increased sales commissions as a result of growing revenue from our enterprise sales team.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tabs>
          <w:tab w:leader="none" w:pos="2220" w:val="left"/>
        </w:tabs>
        <w:rPr>
          <w:sz w:val="20"/>
          <w:szCs w:val="20"/>
          <w:color w:val="auto"/>
        </w:rPr>
      </w:pPr>
      <w:r>
        <w:rPr>
          <w:rFonts w:ascii="Arial" w:cs="Arial" w:eastAsia="Arial" w:hAnsi="Arial"/>
          <w:sz w:val="18"/>
          <w:szCs w:val="18"/>
          <w:i w:val="1"/>
          <w:iCs w:val="1"/>
          <w:color w:val="auto"/>
        </w:rPr>
        <w:t>Product Development.</w:t>
      </w:r>
      <w:r>
        <w:rPr>
          <w:sz w:val="20"/>
          <w:szCs w:val="20"/>
          <w:color w:val="auto"/>
        </w:rPr>
        <w:tab/>
      </w:r>
      <w:r>
        <w:rPr>
          <w:rFonts w:ascii="Arial" w:cs="Arial" w:eastAsia="Arial" w:hAnsi="Arial"/>
          <w:sz w:val="16"/>
          <w:szCs w:val="16"/>
          <w:color w:val="auto"/>
        </w:rPr>
        <w:t>Product development expenses increased by $3.0 million, or 8%, to $41.3 million in 2015 as compared to 2014. Employee-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increased by $1.5 million, or 5%, driven by headcount increases in product, engineering and quality assurance to support our increasing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number of product development initiatives for our websites, including ongoing efforts to improve our search capabilities. Consulting costs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or 20%, primarily due to costs associated with outsourced and internal product development and quality assurance services. A portion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employee-related and consulting expenses were offset by an increase in the amount of capitalized costs relating to our investment in internal-use software,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relating to increased functionality for our internal tools and websites. We anticipate product development expenses will continue to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absolute dollars in the future, of which a portion will be capitalized, as we continue to invest in developing new products and internal tools and enhancing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functionality of our existing products and technology.</w:t>
      </w:r>
    </w:p>
    <w:p>
      <w:pPr>
        <w:spacing w:after="0" w:line="26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$23.2 million, or 60%, to $61.6 million in 2015 as compared to 2014.</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Employee-related expenses, excluding non-cash equity based compensation, increased by $7.7 million, or 71%, driven by an increase in headcount in finance, legal, human resources, internal information technology and business intelligence personnel to support the growth of our business and the infrastructure necessary to operate as a public company. Non-cash equity based compensation increased by $3.9 million, or 36%, to $14.9 million primarily due to equity awards granted as a result of the 2015 acquisitions and equity awards to both new and existing employees. The increase in employee-related expenses and non-cash equity-based compensation also included severance and equity acceleration costs associated with executive management. Professional fees and depreciation expense increased by $5.7 million, or 78%, primarily due to increased outside and transactional services and the result of amortization of intangible assets associated with recent acquisitions.</w:t>
      </w:r>
    </w:p>
    <w:p>
      <w:pPr>
        <w:spacing w:after="0" w:line="233"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$6.7 million in 2015 as compared to $0.9 million in 2014. Other expense, net includes the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contingent consideration related to the acquisitions of PremiumBeat and WebDAM, which was approximately $4.8 million in 2015 and $0.2 million in 2014. Also included is foreign currency expenses, which were $1.2 million in 2015 as compared to $0.7 million in 2014. The increase if foriegn currency expenses was primarily related to weakening Euro and British Pound against the US Dollar. We expect additional expense related to the change in fair value for the PremiumBeat contingency consideration in 2016 as the settlement date of the contingency is early 2017, however the amount accrued for WebDAM as of December 31, 2015 represents the maximum amount payable under the contingency, and as such, no additional expense is expected in 2016. We expect foreign currency transaction gains and losses to continue to fluctuate as we continue to expand our international operations and increase the volume of business transacted in currencies other than the U.S. dollar</w:t>
      </w:r>
    </w:p>
    <w:p>
      <w:pPr>
        <w:spacing w:after="0" w:line="2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decreased by $1.4 million to $14.7 million in 2015 as compared to 2014. Our effective tax rates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and 2014 were approximately 43.0% and 42.1%, respectively. During the years ended December 31, 2015 and 2014, we incurred a discrete tax expense related primarily to a change in state and local tax rates and our state apportionment percentage, which increased our effective tax rate by 0.8% and 1.4%, respectively. Excluding these discrete items, the effective rate would have been 42.2% and 40.7% for the years ended December 31, 2015 and 2014, respectively.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December 31, 2013</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318"/>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327,971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235,515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92,456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130,022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90,627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39,395</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25,387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288,935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192,197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96,738</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Other (expense)/income,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9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960" w:type="dxa"/>
            <w:vAlign w:val="bottom"/>
          </w:tcPr>
          <w:p>
            <w:pPr>
              <w:spacing w:after="0"/>
              <w:rPr>
                <w:sz w:val="20"/>
                <w:szCs w:val="20"/>
                <w:color w:val="auto"/>
              </w:rPr>
            </w:pPr>
            <w:r>
              <w:rPr>
                <w:rFonts w:ascii="Arial" w:cs="Arial" w:eastAsia="Arial" w:hAnsi="Arial"/>
                <w:sz w:val="14"/>
                <w:szCs w:val="14"/>
                <w:color w:val="auto"/>
              </w:rPr>
              <w:t>*  Not meaningful. See "—Other (expense)/income, net" and "—Income Taxes" below</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Revenue increased by $92.5 million, or 39%, to $328.0 million in 2014 as compared to 2013. This increase in revenue was primarily attributable to an increase in the number of paid downloads and an increase in revenue per download. In 2014 and 2013, we delivered 125.9 million and 100.2 million paid downloads, respectively, and our average revenue per download increased to $2.58 from $2.35. Paid downloads increased primarily due to the acquisition of new customers. Revenue per download increased primarily due to growth in our On Demand offerings and other purchase options, which includes direct sales. On Demand offerings and other purchase options capture a higher effective price per download. Comparing 2014 to 2013, revenue from North America increased to 37% from 36% while revenue from Europe decreased to 35% from 36% and revenue from the rest of the world remained flat at 28%.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7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by $39.4 million, or 43%, to $130.0 million in 2014 as compared to 2013. Royalties increased $25.6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39%, as a result of an increase in the number of downloads from existing and new customers. Credit card charges increased $2.4 million, or 29%, driven by an increase in card volume activity in 2014. Employee-related costs increased $4.6 million, or 70%, driven by increased headcount in customer service, content and website operations to support increased customer volume and a more robust website infrastructure. Other costs associated with website hosting, content consulting and allocation of depreciation and amortization expense increased by $5.1 million, or 80%, to $11.4 million in 2014 as compared to 2013.</w:t>
      </w:r>
    </w:p>
    <w:p>
      <w:pPr>
        <w:spacing w:after="0" w:line="24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$25.4 million, or 45%, to $82.1 million in 2014 as compared to 2013.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the largest component of our sales and marketing expenses, increased by $9.6 million, or 28%, as compared to the prior period, as a result of increased spending on affiliate and search advertising and new channels in the current period. Employee-related expenses, including travel and entertainment, increased by $12.5 million, or 67%, driven by an increase in sales and marketing headcount to support our expansion into new markets and increased sales commissions as a result of growing revenue from our direct sales.</w:t>
      </w:r>
    </w:p>
    <w:p>
      <w:pPr>
        <w:spacing w:after="0" w:line="24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by $16.5 million, or 76%, to $38.3 million in 2014 as compared to 2013. Employee-related expenses increased by $13.7 million, or 88%, driven by headcount increases in product, engineering and quality assurance to support our increasing number of product development initiatives for our websites, including ongoing efforts to improve our search capabilities. Consulting-related costs increased by $0.7 million, or 38%, primarily due to costs associated with outsourced and internal product development and quality assurance services.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$15.4 million, or 67%, to $38.5 million in 2014 as compared to 2013.</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Employee-related expenses, excluding non-cash equity based compensation, increased by $2.9 million, or 36%, driven by an increase in headcount in finance, legal, human resources, internal information technology and business intelligence personnel to support the growth of our business and the infrastructure necessary to operate as a public company. Non-cash equity based compensation increased by $8.0 million to $11.0 million primarily due to the equity awards granted to our chief executive officer as well as increases in equity awards granted as a result of the WebDAM acquisition and equity awards to both new and existing employees. Professional fees and depreciation expense increased by $3.0 million, or 69%, primarily due to tax and legal fees incurred as the result of our international expansion and increased property and equipment as a result of our new office facilities. Included in the above amounts for 2014 are transaction-related costs of approximately $1.2 million as a result of the WebDAM acquisition completed in March 2014 and the PremiumBeat and Rex acquisitions completed in January 2015 and costs related to the re-location to our new principal office in New York City of approximately $0.4 million.</w:t>
      </w:r>
    </w:p>
    <w:p>
      <w:pPr>
        <w:spacing w:after="0" w:line="2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Other (expense)/income, net. </w:t>
      </w:r>
      <w:r>
        <w:rPr>
          <w:rFonts w:ascii="Arial" w:cs="Arial" w:eastAsia="Arial" w:hAnsi="Arial"/>
          <w:sz w:val="18"/>
          <w:szCs w:val="18"/>
          <w:color w:val="auto"/>
        </w:rPr>
        <w:t>Other expense was $0.9 million in 2014 as compared to other income of $0.1 million in 2013. Other income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relate primarily to transaction gains and losses related to cash balances denominated in currencies other than the functional currency of our subsidiaries and changes in the fair value of contingent consideration related to the WebDAM acquisition.</w:t>
      </w:r>
    </w:p>
    <w:p>
      <w:pPr>
        <w:spacing w:after="0" w:line="23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$0.8 million to $16.1 million for 2014 as compared to 2013. Our effective tax rates for the years</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and 2013 were approximately 42.1% and 39.0%, respectively. During the year ended December 31, 2014, we incurred a discrete tax expense related primarily to a change in state and local tax rates and our state apportionment percentage, which increased our effective tax rate by 1.4%. During the year ended December 31, 2013, we incurred a discrete tax expense primarily related to a change in state tax rates and our state apportionment percentage offset by a discrete tax benefit recognized upon filing our final LLC tax return for the 2012 fiscal period. These discrete items decreased our effective tax rate by 0.1% during the year ended December 31, 2013. Excluding these discrete items, the effective rate would have been 40.7% and 38.9% for the years ended December 31, 2014 and 2013,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December 31, 2015, we had cash and cash equivalents of $241.3 million, which primarily consisted of checking accounts and money market mutual funds. Additionally, we held short-term investments in the amount of $47.1 million, all of which mature in 90 days or less. Since inception, we have financed our operations primarily through cash flow generated from operations.</w:t>
      </w:r>
    </w:p>
    <w:p>
      <w:pPr>
        <w:spacing w:after="0" w:line="23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Historically, our principal uses of cash have been funding our operations, capital expenditures and content acquisition.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entered into a term loan facility in September 2012 that provided for a $12.0 million term loan. Borrowings under the term loan facility were used to fund our short-term capital needs and, on March 25, 2013, we paid off the remaining outstanding balance of $6.0 million. As of December 31, 2015, we had no outstanding debt and no available line of credit.</w:t>
      </w:r>
    </w:p>
    <w:p>
      <w:pPr>
        <w:spacing w:after="0" w:line="10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 October 2015, our board of directors approved a share repurchase program, pursuant to which we are authorized to repurchase up to $100 million of our common stock. We expect to fund repurchases through a combination of cash on hand, cash generated by operations and future financing transactions, if appropriate. Accordingly, our share repurchase program is subject to us having available cash to fund repurchases. Under this program, management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9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December 31, 2015, we had repurchased approximately 460,000 shares of our common stock under the share repurchase program at an average per-share cost of $34.01, of which $0.8 million has not been paid and is included in accrued expenses as of December 31, 2015. As of December 31, 2015, we have $84.4 million remaining for purchases under this program.</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27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believe, based on our current operating plan, that our cash and cash equivalents, and cash from operations, will be sufficient to meet our anticipated cash needs for at least the next twelve months. Consistent with previous periods, we expect that future capital expenditures will primarily relate to acquiring additional servers and network connectivity hardware and software, enhancements to the functionality of our current platform, leasehold improvements and furniture and fixtures related to office expansion and relocation, digital content and general corporate infrastructure. We anticipate capital additions, inclusive of digital content acquisition and capitalized labor, of approximately $25 million for 2016. See Note 8 of the Notes to Consolidated Financial Statements included in Part II, Item 8 of this Annual Report on Form 10-K for information regarding capital expenditures for the year ended December 31, 2015.</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Additionally, we may also use funds to acquire or invest in complementary companies, products, or technologies.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Trends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 data for 2015, 2014 and 2013, respectively.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85,331</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82,859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56,373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(71,846)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(70,086)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cash (used in)/provided by financing activities</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24,943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66,969</w:t>
            </w:r>
          </w:p>
        </w:tc>
      </w:tr>
      <w:tr>
        <w:trPr>
          <w:trHeight w:val="155"/>
        </w:trPr>
        <w:tc>
          <w:tcPr>
            <w:tcW w:w="7440" w:type="dxa"/>
            <w:vAlign w:val="bottom"/>
          </w:tcPr>
          <w:p>
            <w:pPr>
              <w:jc w:val="right"/>
              <w:ind w:right="1654"/>
              <w:spacing w:after="0" w:line="155" w:lineRule="exact"/>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ind w:left="340" w:right="220" w:hanging="332"/>
        <w:spacing w:after="0" w:line="255"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net proceeds from our follow-on offering offset by final repayment of the term loan facility for the year ended December 31, 2013 and repurchase of common stock under the share repurchase program for the year ended December 31, 2015. No distributions or dividends have been paid during the periods presented.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79"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and vendors and personnel-related expenditures.</w:t>
      </w:r>
    </w:p>
    <w:p>
      <w:pPr>
        <w:spacing w:after="0" w:line="2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2015, net cash provided by operating activities was $85.3 million including net income of $19.6 million and non-cash equity-based compensation of $28.9 million and depreciation and amortization of $14.8 million. Cash inflows from changes in operating assets and liabilities included an increase in deferred revenue of $22.6 million, primarily related to an increase in purchases of both subscription and On Demand products and to a lesser extent an increase in deferred revenue related to our WebDAM services.</w:t>
      </w:r>
    </w:p>
    <w:p>
      <w:pPr>
        <w:spacing w:after="0" w:line="24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2014, net cash provided by operating activities was $82.9 million, including net income of $22.1 million and non-cash equity-based compensation of $23.8 million. Cash inflows from changes in operating assets and liabilities included an increase in deferred revenue of $22.6 million, primarily related to an increase in purchases of both subscription and On Demand products. Accounts payable and other operating liabilities increased by $10.0 million as trade payables grew in volume and payroll costs increased due to additional headcount. Contributor royalties payable increased by $2.8 million due to increasing royalty expenses as the result of increased customer download activity.</w:t>
      </w:r>
    </w:p>
    <w:p>
      <w:pPr>
        <w:spacing w:after="0" w:line="24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2013, net cash provided by operating activities was $56.4 million, including net income of $26.5 million and non-cash compensation of $6.2 million. Cash inflows from changes in operating assets and liabilities included an increase in deferred revenue of $14.2 million, primarily related to an increase in both subscription and On Demand revenue. Accounts payable and other operating liabilities increased by $10.4 million as trade payables grew in both average size and volume and payroll costs increased due to headcount expansion. Contributor royalties payable increased by $2.2 million due to increasing royalty expenses generated by increased customer download activity. In addition, prepaid expenses increased by $16.9 million primarily due to federal, state and local estimated income tax payments made during 2013.</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Investing Activities</w:t>
      </w:r>
    </w:p>
    <w:p>
      <w:pPr>
        <w:spacing w:after="0" w:line="27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investing activities have consisted primarily of capital expenditures to purchase software and equipment related to our data centers, as well as capitalization of software and website development costs, investing in short-term investments and</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acquisitions. Cash used in investing activities totaled $71.8 million, $29.0 million and $70.1 million for the years ended December 31, 2015, 2014 and 2013, respectively.</w:t>
      </w:r>
    </w:p>
    <w:p>
      <w:pPr>
        <w:spacing w:after="0" w:line="22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Capital expenditures and content acquisition were $14.0 million and $3.0 million in 2015, $18.0 million and $0.7 million in 2014 and $14.1 million and $0 in 2013, respectively. Capital expenditures included software and equipment related to our data centers, as well as capitalization of leasehold improvements and software and website development costs. In addition, we purchased short-term investments, net of sales, of approximately $7.8 million, $0.4 million and $54.4 million for the years ended December 31, 2015, 2014 and 2013, respectively. During 2015 and 2014, we also paid approximately $62.4 million and $10.0 million, respectively, net of cash acquired for the acquisitions of PremiumBeat and Rex in 2015 and WebDAM in 2014.</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Our financing activities have consisted primarily of proceeds from equity offerings and stock-based compensation, repurchase of common stock under our share repurchase program, and in 2013, payments on our 2012 term loan. Cash used in financing activities totaled $4.1 million for the year December 31, 2015 and cash provided by financing activities totaled $24.9 million and $67.0 million for the years ended December 31, 2014 and 2013, respectively.</w:t>
      </w:r>
    </w:p>
    <w:p>
      <w:pPr>
        <w:spacing w:after="0" w:line="201"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Cash provided by financing activities included proceeds from the issuance of common stock in connection with stock-based compensation awards of $9.1 million, $11.8 million and $6.7 million and a corresponding excess tax benefit of $1.7 million, $13.1 million and $1.3 million for the years ended December 31, 2015, 2014 and 2013, respectively. During 2015, we paid $14.8 million in connection with the repurchase of common stock under our share repurchase program. During 2013, we received $65.9 million from our follow-on offering and paid $6.0 million related to our 2012 term loan.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We lease office facilities under operating lease agreements that expire on various dates between 2016 and 2029. We also have several co-location agreements with third-party hosting facilities that expire between 2016 and 2018. We do not have any material capital lease obligations, and our property, equipment and software have been purchased primarily with cash. We anticipate expanding our office and co-location facilities as our revenue and customer base continue to grow and diversify. We do not anticipate any difficulties in renewing those leases and co-location agreements that expire within the next several years and that we currently plan to renew, or in leasing other space or hosting facilities, if required. Our future minimum payments under non-cancelable operating leases and purchase obligations are as follows as of December 31, 2015:</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37,693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8,813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Co-location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Contingent consideration liability</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11,075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7,075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21,782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71,799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23,864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-98425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ind w:left="660" w:right="1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does not include the impact of the amendment to the lease for our headquarters in New York City, which was finalized in January 2016 and which increases the total amount of the obligation by approximately $52.6 million, beginning January 2017.</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represents contingent consideration obligation, including accretion, related to the WebDAM and PremiumBeat acquisitions.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21, 2013, we entered into an operating lease agreement to lease our headquarters in New York City, which we amended in January 2016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we refer to as the ESB Lease. As amended, the ESB Lease will expire in 2029, and remaining future minimum lease payments are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$86.6 million, which includes approximately $52.6 million related to lease amendments finalized in January 2016. We also entered into a letter of credit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$1.8 million as a security deposit for the leased facility. The letter of credit is collateralized by a corresponding amount of cash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and as such is reported as restricted cash on the consolidated balance sheet as of December 31, 2015. In connection with the amendment to the ESB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 in January 2016, our letter of credit was increased by approximately $0.9 million, collateralized by a corresponding amount of cash.</w:t>
      </w:r>
    </w:p>
    <w:p>
      <w:pPr>
        <w:spacing w:after="0" w:line="26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enter into license agreements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to the extent such damages or losses arise as a result of the modifications made by the customer, or the context in which an image is used. Our license agreements enter</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ed into with customers cap our indemnification obligations at amounts ranging from $10,000 to $250,000, with certain exceptions for which our indemnification obligations are uncapped.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December 31, 2015,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chargeback and sales refund reserve,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23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We believe that the assumptions and estimates associated with our revenue recognition, allowance for doubtful accounts, chargeback and sales refund reserve, stock-based compensation, accounting for non-income and income taxes, goodwill and intangible assets and advertising costs have the greatest potential impact on our financial statements. Therefore, we consider these to be our critical accounting policies and estimates.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The majority of our revenue, net of chargebacks and refunds, is generated from the license of digital content through subscription or usage-based plans. Our three primary plans are: subscription plans, On Demand plans, and credit pack plans. We recognize revenue when all of the following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most of our customers purchase products by making electronic payments at the time of a transaction with a credit card. We establish a chargeback allowance and a sales refund reserve allowance based on factors surrounding historical credit card chargeback trends, historical sales refund trends and other information. As of December 31, 2015 and 2014, we recorded a chargeback allowance and a sales refund allowance of $0.7 million and $0.7 million, respectively, which is included in other liabilities. Collectability is assessed for customers who pay on credit based on a credit evaluation for certain new customers, when necessary, and transaction history with existing customers. Any cash received in advance of revenue recognition is recorded as deferred revenue.</w:t>
      </w:r>
    </w:p>
    <w:p>
      <w:pPr>
        <w:spacing w:after="0" w:line="22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Subscription plans range in length from 30 days to one year. Subscription plan revenues are recognized on a straight-line basis using a daily convention method over the plan term. Revenue from subscription plans with monthly limits is recognized on a per usage basis or when the right to download expires. On Demand plans are typically for a one-year term and permit the customer to download up to a fixed amount of digital content. On Demand revenues are recognized at the time the customer downloads the digital content. Revenue related to unused digital content, if any, is recognized in full at the end of the plan term assuming we have no further obligations. Credit pack plans are generally for a one-year term and enable the customer to purchase a fixed number of credits, which can then be utilized to pay for downloaded digital content. The number of credits utilized for each download depends on the digital content size and format. Credit pack revenue is recognized based on customer usage on a per credit basis as digital content is downloaded. Revenue related to unused credits, if any, is recognized in full at the end of the plan term assuming we have no further obligations. Most plans automatically renew at the end of the plan term unless the customer elects not to renew. We recognize revenue from the three types of plans on a gross basis in accordance with the authoritative guidance on principal-agent considerations as we are the primary obligor in the arrangement, have control in establishing the product's price, perform a detailed review of the digital imagery before accepting it into our collection to</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ensure it is of high quality before it may be purchased by our customers, can reject contributor's images in our sole discretion, and have credit risk.</w:t>
      </w:r>
    </w:p>
    <w:p>
      <w:pPr>
        <w:spacing w:after="0" w:line="29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are deferred and recognized as described above. Customers that do not pay in advance are invoiced and are required to make payment under standard credit terms. We do not generally offer refunds or the right of return to customers. There are situations in which a customer may receive a refund but the determination is made on a case-by-case basis.</w:t>
      </w:r>
    </w:p>
    <w:p>
      <w:pPr>
        <w:spacing w:after="0" w:line="24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license digital content to customers through third party resellers. We contract with third party resellers around the world to access markets where we do not have a significant presence. Third party resellers sell our products directly to end-user customers and remit a fixed amount to us based on the type of plan sold. The terms of the reseller program indicate that the third party reseller is the primary obligor to the end-user customer and bears the risks and rewards as principal in the transaction. In assessing whether our revenue should be reported on a gross or net basis with respect to our reseller program, we follow the authoritative guidance in ASC 605-45, "Principal Agent Considerations." We recognize revenue net of reseller commission in accordance with the type of plan sold, consistent with the plan descriptions above. We generally do not offer refunds or the right of return to resellers.</w:t>
      </w:r>
    </w:p>
    <w:p>
      <w:pPr>
        <w:spacing w:after="0" w:line="21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also generate revenue related to WebDAM from licensing hosted software services through its cloud-based platform and related implementation, on-boarding and professional services. We enter into multiple element revenue arrangements in which a customer purchases a combination of hosted software, implementation, on-boarding and optional value added professional services. We recognize revenue for the hosted services monthly provided that there is persuasive evidence of an arrangement, the service has been delivered, the fees are fixed and determinable, and collection is reasonably assured. ASC 605-25 establishes a selling price hierarchy for determining the selling price of a deliverable in multiple-element arrangements, which is based on: (a) vendor-specific objective evidence; (b) third-party evidence; or (c) best estimated selling price. The hosted software services are recognized ratably over the contractual period as this service is on-going over the hosting period, which is generally a one-year term. We recognize any setup or implementation revenue over the longer of the contractual term or the estimated customer relationship period, which is currently three years. Any value added on-boarding and professional services are recognized upon completion.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7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accounts receivable consist of customer obligations due under normal trade terms, carried at their fair value less an allowance for doubtful accounts, if required. We determine our allowance for doubtful accounts based on an evaluation of the aging of our accounts receivable and on a customer-by-customer basis where appropriate. Our reserve analysis contemplates our historical loss rate on receivables, specific customer situations and the economic environments in which we operate. As of December 31, 2015 and 2014, we had an allowance for doubtful accounts of $3.8 million and $1.0 million, respectively. Changes in our allowance for doubtful accounts are primarily attributable to increases in our gross accounts receivable as a result of increased sales, deterioration of the aging of our receivables, and specific customer situations arising in the period. During 2015, we increased our allowance for doubtful accounts by $2.8 million as a result of our reserve analysis primarily related to specific aged receivable balances.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7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measure and recognize non-cash equity-based compensation expense for all equity-based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 Compensation expense related to awards with a market condition is recognized ratably over the requisite service period regardless of the achievement of the market condition.</w:t>
      </w:r>
    </w:p>
    <w:p>
      <w:pPr>
        <w:spacing w:after="0" w:line="21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use the Black-Scholes option pricing model, the closing price of our common stock on the date of grant, and the Monte Carlo simulation model, if the award has a market condition, to determine the fair value of stock options and restricted stock units, or RSUs, respectively, granted pursuant to our Value Appreciation Rights Plan that was in effect prior to the Reorganization, which we refer to as the VAR Plan, or our 2012 Omnibus Equity Incentive Plan, which we refer to as the 2012 Plan, and the stock purchased pursuant to our 2012 Employee Stock Purchase Plan, which we refer to as the 2012 ESPP, all of which are discussed further in Note 10 of the Notes to Consolidated Financial Statements included in Part II, Item 8 of this Annual Report on Form 10-K.</w:t>
      </w:r>
    </w:p>
    <w:p>
      <w:pPr>
        <w:spacing w:after="0" w:line="21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determination of the grant date fair value using an option-pricing model and simulation model requires judgment as well as assumptions regarding a number of other complex and subjective variables. These variables include our fair value of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common ownership interest pre-IPO, our closing market price at the grant date post-IPO, the expected unit price volatility over the expected term of the awards, awards' exercise and cancellation behaviors, risk-free interest rates, and expected dividends, which are estimated as follows:</w:t>
      </w:r>
    </w:p>
    <w:p>
      <w:pPr>
        <w:spacing w:after="0" w:line="201" w:lineRule="exact"/>
        <w:rPr>
          <w:sz w:val="20"/>
          <w:szCs w:val="20"/>
          <w:color w:val="auto"/>
        </w:rPr>
      </w:pPr>
    </w:p>
    <w:p>
      <w:pPr>
        <w:ind w:left="980" w:hanging="324"/>
        <w:spacing w:after="0" w:line="286"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Stock/Membership Unit. </w:t>
      </w:r>
      <w:r>
        <w:rPr>
          <w:rFonts w:ascii="Arial" w:cs="Arial" w:eastAsia="Arial" w:hAnsi="Arial"/>
          <w:sz w:val="16"/>
          <w:szCs w:val="16"/>
          <w:color w:val="auto"/>
        </w:rPr>
        <w:t>Prior to completion of the IPO and the Reorganization, the fair value of a common ownership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interest was estimated internally and approved by our Board of Managers because we were not publicly traded. Our intention upon granting VAR Plan awards was for the granted award to have an exercisable price per unit that was not less than the per unit fair value of our common equity on the date of grant. The valuations of our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 Business, Business Ownership Interest, Security, or</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w:t>
      </w:r>
      <w:r>
        <w:rPr>
          <w:rFonts w:ascii="Arial" w:cs="Arial" w:eastAsia="Arial" w:hAnsi="Arial"/>
          <w:sz w:val="16"/>
          <w:szCs w:val="16"/>
          <w:color w:val="auto"/>
        </w:rPr>
        <w:t>. The assumptions used in the valuation model were based on future expectations combined with our judgment. In the absence</w:t>
      </w:r>
      <w:r>
        <w:rPr>
          <w:rFonts w:ascii="Arial" w:cs="Arial" w:eastAsia="Arial" w:hAnsi="Arial"/>
          <w:sz w:val="16"/>
          <w:szCs w:val="16"/>
          <w:i w:val="1"/>
          <w:iCs w:val="1"/>
          <w:color w:val="auto"/>
        </w:rPr>
        <w:t xml:space="preserve"> </w:t>
      </w:r>
      <w:r>
        <w:rPr>
          <w:rFonts w:ascii="Arial" w:cs="Arial" w:eastAsia="Arial" w:hAnsi="Arial"/>
          <w:sz w:val="16"/>
          <w:szCs w:val="16"/>
          <w:color w:val="auto"/>
        </w:rPr>
        <w:t>of a public trading market, we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our history and introduction of new functionality and services, our stage of development, the likelihood of achieving a liquidity event for the common ownership interests, any adjustment necessary to recognize a lack of marketability for the common ownership interests, the market performance of comparable publicly traded companies, and U.S. and global capital market conditions. We also obtained independent third party valuations on a periodic basis. After October 11, 2012, the date our common stock began trading on the NYSE, the grant date fair value for stock-based awards has been and will be based on the closing price of our common stock on the NYSE on the date of grant and fair value for all other purposes related to stock-based awards has been and will be the closing price of our common stock on the NYSE on the relevant date.</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is estimated using the simplified method allowed under applicable SEC guidance.</w:t>
      </w:r>
    </w:p>
    <w:p>
      <w:pPr>
        <w:spacing w:after="0" w:line="279" w:lineRule="exact"/>
        <w:rPr>
          <w:rFonts w:ascii="Arial" w:cs="Arial" w:eastAsia="Arial" w:hAnsi="Arial"/>
          <w:sz w:val="18"/>
          <w:szCs w:val="18"/>
          <w:color w:val="auto"/>
        </w:rPr>
      </w:pPr>
    </w:p>
    <w:p>
      <w:pPr>
        <w:ind w:left="980" w:right="40" w:hanging="324"/>
        <w:spacing w:after="0" w:line="272"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Volatility. </w:t>
      </w:r>
      <w:r>
        <w:rPr>
          <w:rFonts w:ascii="Arial" w:cs="Arial" w:eastAsia="Arial" w:hAnsi="Arial"/>
          <w:sz w:val="17"/>
          <w:szCs w:val="17"/>
          <w:color w:val="auto"/>
        </w:rPr>
        <w:t>As we did not have a trading history for our common ownership interest pre-IPO or a significant range of our common stock post-IPO, the expected price volatility for the common ownership interest and common stock was estimated by taking the average historic price volatility for industry peers based on daily price observations over a period equivalent to the expected term of the VAR Plan awards and stock options granted post-IPO. Industry peers consisted of several public companies similar in size, stage of life cycle and financial leverage. We did not rely on implied volatilities of traded options in the industry peers' common stock because the volume of activity was relatively low. We applied this process using the same or similar public companies until the fourth quarter of 2014, at which time we determined we had a sufficient amount of historical information regarding the volatility of our own common stock.</w:t>
      </w:r>
    </w:p>
    <w:p>
      <w:pPr>
        <w:spacing w:after="0" w:line="231"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224"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Before the Reorganization, we historically paid cash dividends or distributions to our members. Following the Reorganization,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not paid cash dividends or distributions to our stockholders and we do not intend to do so for the foreseeable future. As a result, we used an expected dividend yield of zero.</w:t>
      </w:r>
    </w:p>
    <w:p>
      <w:pPr>
        <w:spacing w:after="0" w:line="23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any of the assumptions used in the Black-Scholes pricing model or Monte Carlo simulation model changes significantly, the fair value for future awards may differ materially compared with the awards granted previously. The awards granted pursuant to the VAR Plan or the 2012 Plan, and stock purchased pursuant to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The VAR Plan awards had a condition that a change of control (as defined in the VAR Plan) must occur for a payment to trigger with respect to the VAR Plan awards. In connection with the Reorganization, all of the VAR Plan awards were exchanged for options to purchase shares of common stock of Shutterstock, Inc. As a result of the completion of the IPO in October 2012, we began recording equity-based compensation expense using the accelerated attribution method, net of forfeitures, based on the grant date fair value of the VAR Plan awards that were exchanged for options to purchase shares of common stock of Shutterstock, Inc. as part of the Reorganization.</w:t>
      </w:r>
    </w:p>
    <w:p>
      <w:pPr>
        <w:spacing w:after="0" w:line="232"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For pre-IPO equity based awards that qualified for liability classification, we have elected to use the intrinsic value method to value the common membership interest in accordance with authoritative guidance on stock compensation. See Note 10 of the Notes to Consolidated Financial Statements included in Part II, Item 8 of this Annual Report on Form 10-K for further information.</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if any, and related penalties and interest, if any, are included in the income tax provision.</w:t>
      </w:r>
    </w:p>
    <w:p>
      <w:pPr>
        <w:spacing w:after="0" w:line="21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assessed the realizability of deferred tax assets and determined that based on the available evidence, including a history of taxable income and estimates of future taxable income, it is more likely than not that the deferred tax assets will be realized. We will continue to evaluate our ability to realize deferred tax assets on a quarterly basis.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24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are subject to compliance requirements for certain non-income taxes, including value added taxes, sales taxes and royalty withholding taxes. Where appropriate, we have made accruals for these taxes, which are reflected in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79" w:lineRule="exact"/>
        <w:rPr>
          <w:sz w:val="20"/>
          <w:szCs w:val="20"/>
          <w:color w:val="auto"/>
        </w:rPr>
      </w:pPr>
    </w:p>
    <w:p>
      <w:pPr>
        <w:ind w:right="260" w:firstLine="432"/>
        <w:spacing w:after="0" w:line="293" w:lineRule="auto"/>
        <w:rPr>
          <w:sz w:val="20"/>
          <w:szCs w:val="20"/>
          <w:color w:val="auto"/>
        </w:rPr>
      </w:pPr>
      <w:r>
        <w:rPr>
          <w:rFonts w:ascii="Arial" w:cs="Arial" w:eastAsia="Arial" w:hAnsi="Arial"/>
          <w:sz w:val="16"/>
          <w:szCs w:val="16"/>
          <w:color w:val="auto"/>
        </w:rPr>
        <w:t>Business combinations are recorded at fair value and allocated to the assets and liabilities acquired in the transaction using appraisals and valuations performed by management and independent third parties. Fair values are based on the exit price (i.e., the price that would be received to sell an asset or transfer a liability in an orderly transaction between market participants at the measurement date). We evaluate several factors, including market data for similar assets, expected future cash flows discounted at risk adjusted rates and replacement cost for the assets to determine an appropriate exit price when evaluating the fair value of our assets.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7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We have established foreign subsidiaries in various countries around the world and as a result the financial statements of these foreign subsidiaries are reported in the applicable foreign currencies (functional currencies). For those entities where the functional currency is the local currency, adjustments resulting from translating the financial statements into U.S. dollars are recorded as a component of accumulated other comprehensive income (loss) in stockholders' equity. Monetary assets and liabilities denominated in a foreign currency are translated into U.S. dollars at the exchange rate on the balance sheet date. Revenue and expenses are translated at the weighted average exchange rates during the period. Equity transactions are translated using historical exchange rates. Foreign currency transaction gains and losses are included in other income (expense), net in the consolidated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expense the cost of advertising and promoting our products as incurred. The majority of our advertising costs are related to search engine marketing and other online advertising and, to a lesser extent, tradeshow participation, print, advertising, affiliate marketing and general branding and market awareness efforts.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7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investments include cash, cash equivalents and short-term investments, which consist of commercial paper. Our cash and cash equivalents consist of cash and money market accounts. The primary objective of our investment activities is to preserve principal while maximizing income without significantly increasing risk. Because our cash, cash equivalents and short-term investments have a maximum term of 90 days, our portfolio's fair value is not particularly sensitive to interest rate changes. We do not enter into investments for speculative purposes. We determined that the nominal difference in basis points for investing our cash, cash equivalents and short-term investments in longer-term investments did not warrant a change in our investment strategy. In future periods, we will continue to evaluate our investment policy in order to ensure that we continue to meet our overall objectives.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have any long-term borrowings as of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Revenues derived from customers residing outside North America as a percentage of total revenue was approximately 61%, 63% and 64% in 2015, 2014 and 2013, respectively. Our sales to international customers are denominated in multiple currencies, including but not limited to the U.S. Dollar, the Euro, the British Pound and the Yen. Revenue denominated in foreign currencies as a percentage of total revenue was approximately 31%, 33% and 35% in 2015, 2014 and 2013, respectively. We have foreign currency exchange risks related to non-U.S. Dollar denominated revenues. All amounts earned by and paid to our foreign contributors are denominated in the U.S. Dollar and therefore do not create foreign currency exchange risk. However, changes in exchange rates will affect our revenue and certain operating expenses, primarily employee-related expenses for our non-U.S. employees. Based on our 2015 foreign currency denominated revenue, a 10% change in the exchange rate of the U.S. Dollar against all foreign currency denominated revenues would result in an approximately 3% impact on our revenue.</w:t>
      </w:r>
    </w:p>
    <w:p>
      <w:pPr>
        <w:spacing w:after="0" w:line="23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Because the majority of our revenue and expenses are incurred in the U.S. Dollar, we have experienced fluctuations in our net income as a result of the volume of our business transacted in foreign currency and the changes in strength of the U.S. Dollar against foreign currencies, specifically the Euro and British Pound. During each of 2015, 2014 and 2013, our foreign currency transaction net losses were $2.6 million, $0.9 million and $0.1 million, respectively.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227"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We have established foreign subsidiaries in various countries around the world and as a result the financial statements of these foreign subsidiaries are reported in the applicable foreign currencies (functional currencies). For those entities where the functional currency is the local currency, adjustments resulting from translating the financial statements into U.S. dollars are recorded as a component of accumulated other comprehensive income (loss) in stockholders' equity. Monetary assets and liabilities denominated in a foreign currency are translated into U.S. dollars at the exchange rate on the balance sheet date. Revenue and expenses are translated at the weighted average exchange rates during the period. Equity transactions are translated using historical exchange rates. Foreign currency transaction gains and losses are included in other income (expense), net in the consolidated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F-2 through F-34 of this Annual Report on Form 10-K.</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125" w:right="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7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2015, our Chief Executive Officer and Chief Financial Officer concluded that, as of such date, our disclosure controls and procedures were effective at the reasonable assurance level.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7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23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 assessed our internal control over financial reporting as of December 31, 2015. Management based its assessment on criteria established in Internal Control—</w:t>
      </w:r>
      <w:r>
        <w:rPr>
          <w:rFonts w:ascii="Arial" w:cs="Arial" w:eastAsia="Arial" w:hAnsi="Arial"/>
          <w:sz w:val="17"/>
          <w:szCs w:val="17"/>
          <w:i w:val="1"/>
          <w:iCs w:val="1"/>
          <w:color w:val="auto"/>
        </w:rPr>
        <w:t>Integrated Framework</w:t>
      </w:r>
      <w:r>
        <w:rPr>
          <w:rFonts w:ascii="Arial" w:cs="Arial" w:eastAsia="Arial" w:hAnsi="Arial"/>
          <w:sz w:val="17"/>
          <w:szCs w:val="17"/>
          <w:color w:val="auto"/>
        </w:rPr>
        <w:t xml:space="preserve"> (2013) issued by the Committee of Sponsoring Organizations of the Treadway Commission.</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our assessment, management has concluded that our internal control over financial reporting was effective as of December 31, 2015.</w:t>
      </w:r>
    </w:p>
    <w:p>
      <w:pPr>
        <w:spacing w:after="0" w:line="291"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Management has excluded Rex Features and PremiumBeat from its assessment of internal control over financial reporting as of December 31, 2015. Rex Features and PremiumBeat were acquired during fiscal 2015 and are wholly-owned by the Company with total assets representing 2% and total revenue representing 6%, respectively, of our consolidated financial statement amounts as of and for the year ended December 31, 2015.</w:t>
      </w:r>
    </w:p>
    <w:p>
      <w:pPr>
        <w:spacing w:after="0" w:line="22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PricewaterhouseCoopers LLP, an independent registered public accounting firm, has audited the consolidated financial statements included in this Annual Report on Form 10-K and, as part of the audit, has issued, included herein, a report on the effectiveness of our internal control over financial reporting as of December 31, 2015.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2015 that materially affected, or are reasonably likely to materially affect, our internal control over financial reporting.</w:t>
      </w:r>
    </w:p>
    <w:p>
      <w:pPr>
        <w:spacing w:after="0" w:line="10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acquired WebDAM in March 2014, and during the time between the acquisition and the third quarter of fiscal 2015, implemented specific transitional controls for the acquired business. We completed the integration of WebDAM into the existing system of internal control over financial reporting during the fourth quarter of fiscal 2015.</w:t>
      </w:r>
    </w:p>
    <w:p>
      <w:pPr>
        <w:spacing w:after="0" w:line="18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management is in the process of reviewing the operations of Rex Features and PremiumBeat, both of which we acquired in January 2015, and implementing our internal control structure over these recently acquired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Officers and Corporate Governance</w:t>
      </w:r>
    </w:p>
    <w:p>
      <w:pPr>
        <w:spacing w:after="0" w:line="148"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2016 Annual Meeting of Stockholders to be filed with the Securities and Exchange Commission, or the SEC, within 120 days of the fiscal year ended December 31, 2015.</w:t>
      </w:r>
    </w:p>
    <w:p>
      <w:pPr>
        <w:spacing w:after="0" w:line="6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2016 Annual Meeting of Stockholders to be filed with the SEC within 120 days of the fiscal year ended December 31, 2015.</w:t>
      </w:r>
    </w:p>
    <w:p>
      <w:pPr>
        <w:spacing w:after="0" w:line="3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2016 Annual Meeting of Stockholders to be filed with the SEC within 120 days of the fiscal year ended December 31, 2015.</w:t>
      </w:r>
    </w:p>
    <w:p>
      <w:pPr>
        <w:spacing w:after="0" w:line="3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2016 Annual Meeting of Stockholders to be filed with the SEC within 120 days of the fiscal year ended December 31, 2015.</w:t>
      </w:r>
    </w:p>
    <w:p>
      <w:pPr>
        <w:spacing w:after="0" w:line="3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4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2016 Annual Meeting of Stockholders to be filed with the SEC within 120 days of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125" w:right="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36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The following documents are included as part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Report of Independent Registered Public Accounting Firm</w:t>
              </w:r>
            </w:hyperlink>
          </w:p>
        </w:tc>
        <w:tc>
          <w:tcPr>
            <w:tcW w:w="34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F-2</w:t>
              </w:r>
            </w:hyperlink>
          </w:p>
        </w:tc>
      </w:tr>
      <w:tr>
        <w:trPr>
          <w:trHeight w:val="250"/>
        </w:trPr>
        <w:tc>
          <w:tcPr>
            <w:tcW w:w="766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Balance Sheets</w:t>
              </w:r>
            </w:hyperlink>
          </w:p>
        </w:tc>
        <w:tc>
          <w:tcPr>
            <w:tcW w:w="3700" w:type="dxa"/>
            <w:vAlign w:val="bottom"/>
            <w:gridSpan w:val="2"/>
          </w:tcPr>
          <w:p>
            <w:pPr>
              <w:ind w:left="3440"/>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F-3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76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Operations</w:t>
              </w:r>
            </w:hyperlink>
          </w:p>
        </w:tc>
        <w:tc>
          <w:tcPr>
            <w:tcW w:w="3700" w:type="dxa"/>
            <w:vAlign w:val="bottom"/>
            <w:gridSpan w:val="2"/>
          </w:tcPr>
          <w:p>
            <w:pPr>
              <w:ind w:left="3440"/>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F-4</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3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Comprehensive Income</w:t>
              </w:r>
            </w:hyperlink>
          </w:p>
        </w:tc>
        <w:tc>
          <w:tcPr>
            <w:tcW w:w="3920" w:type="dxa"/>
            <w:vAlign w:val="bottom"/>
            <w:gridSpan w:val="2"/>
          </w:tcPr>
          <w:p>
            <w:pPr>
              <w:spacing w:after="0"/>
              <w:rPr>
                <w:sz w:val="21"/>
                <w:szCs w:val="21"/>
                <w:color w:val="auto"/>
              </w:rPr>
            </w:pPr>
          </w:p>
        </w:tc>
        <w:tc>
          <w:tcPr>
            <w:tcW w:w="344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F-5</w:t>
              </w:r>
            </w:hyperlink>
          </w:p>
        </w:tc>
      </w:tr>
      <w:tr>
        <w:trPr>
          <w:trHeight w:val="250"/>
        </w:trPr>
        <w:tc>
          <w:tcPr>
            <w:tcW w:w="3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Consolidated Statements of Stockholders' Equity</w:t>
              </w:r>
            </w:hyperlink>
          </w:p>
        </w:tc>
        <w:tc>
          <w:tcPr>
            <w:tcW w:w="4140" w:type="dxa"/>
            <w:vAlign w:val="bottom"/>
            <w:gridSpan w:val="3"/>
          </w:tcPr>
          <w:p>
            <w:pPr>
              <w:spacing w:after="0"/>
              <w:rPr>
                <w:sz w:val="21"/>
                <w:szCs w:val="21"/>
                <w:color w:val="auto"/>
              </w:rPr>
            </w:pPr>
          </w:p>
        </w:tc>
        <w:tc>
          <w:tcPr>
            <w:tcW w:w="344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F-6</w:t>
              </w:r>
            </w:hyperlink>
          </w:p>
        </w:tc>
      </w:tr>
      <w:tr>
        <w:trPr>
          <w:trHeight w:val="250"/>
        </w:trPr>
        <w:tc>
          <w:tcPr>
            <w:tcW w:w="766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w:t>
              </w:r>
            </w:hyperlink>
          </w:p>
        </w:tc>
        <w:tc>
          <w:tcPr>
            <w:tcW w:w="3700" w:type="dxa"/>
            <w:vAlign w:val="bottom"/>
            <w:gridSpan w:val="2"/>
          </w:tcPr>
          <w:p>
            <w:pPr>
              <w:ind w:left="3440"/>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F-7</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766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3700" w:type="dxa"/>
            <w:vAlign w:val="bottom"/>
            <w:gridSpan w:val="2"/>
          </w:tcPr>
          <w:p>
            <w:pPr>
              <w:ind w:left="3440"/>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F-8</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27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included in the consolidated financial statements or notes thereto.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Exhibits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immediately following the signature page of this Annual Report on Form 10-K.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Shutterstock, Inc.</w:t>
      </w:r>
    </w:p>
    <w:p>
      <w:pPr>
        <w:spacing w:after="0" w:line="200" w:lineRule="exact"/>
        <w:rPr>
          <w:sz w:val="20"/>
          <w:szCs w:val="20"/>
          <w:color w:val="auto"/>
        </w:rPr>
      </w:pP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stockholders’ equity and cash flows present fairly, in all material respects, the financial position of Shutterstock, Inc.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were integrated audits in 2015 and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Rex Features and PremiumBeat from its assessment of internal control over financial reporting as of December 31, 2015 because they were acquired by the Company in purchase business combinations during 2015. We have also excluded Rex Features and PremiumBeat from our audit of internal control over financial reporting. Rex Features and PremiumBeat are wholly-owned subsidiaries whose combined total assets represent 2% and total revenues 6% of the related consolidated financial statement amounts as of and for the year ended December 31, 2015.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par value amount)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233,453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47,078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54,844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25,653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323,530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32,094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26,744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50,934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469,121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Contributor royalties payable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17,822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98,239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75,789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160,784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120,327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15,994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180,556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132,344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180"/>
              <w:spacing w:after="0"/>
              <w:rPr>
                <w:sz w:val="20"/>
                <w:szCs w:val="20"/>
                <w:color w:val="auto"/>
              </w:rPr>
            </w:pPr>
            <w:r>
              <w:rPr>
                <w:rFonts w:ascii="Arial" w:cs="Arial" w:eastAsia="Arial" w:hAnsi="Arial"/>
                <w:sz w:val="18"/>
                <w:szCs w:val="18"/>
                <w:color w:val="auto"/>
                <w:w w:val="91"/>
              </w:rPr>
              <w:t>Common stock, $0.01 par value; 200,000 shares authorized; 36,146 and 35,603 shares issued and 35,686 and 35,603</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180"/>
              <w:spacing w:after="0"/>
              <w:rPr>
                <w:sz w:val="20"/>
                <w:szCs w:val="20"/>
                <w:color w:val="auto"/>
              </w:rPr>
            </w:pPr>
            <w:r>
              <w:rPr>
                <w:rFonts w:ascii="Arial" w:cs="Arial" w:eastAsia="Arial" w:hAnsi="Arial"/>
                <w:sz w:val="18"/>
                <w:szCs w:val="18"/>
                <w:color w:val="auto"/>
              </w:rPr>
              <w:t>shares outstanding as of December 31, 2015 and December 31, 2014, respectively</w:t>
            </w: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213,851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174,821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at cost; 460 shares as of December 31, 2015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96,437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76,885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251,433</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469,121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383,777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425,149</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90,627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56,738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384,131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288,935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192,197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26,479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Undistributed earnings to participating stockholder</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available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22,047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common share available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35,235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33,878</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19,552</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26,479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CONSOLIDATED STATEMENTS OF STOCKHOLDERS' EQUITY/MEMBERS' DEFICIT</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126"/>
        </w:trPr>
        <w:tc>
          <w:tcPr>
            <w:tcW w:w="3920" w:type="dxa"/>
            <w:vAlign w:val="bottom"/>
          </w:tcPr>
          <w:p>
            <w:pPr>
              <w:spacing w:after="0"/>
              <w:rPr>
                <w:sz w:val="10"/>
                <w:szCs w:val="10"/>
                <w:color w:val="auto"/>
              </w:rPr>
            </w:pPr>
          </w:p>
        </w:tc>
        <w:tc>
          <w:tcPr>
            <w:tcW w:w="172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1560" w:type="dxa"/>
            <w:vAlign w:val="bottom"/>
            <w:gridSpan w:val="3"/>
            <w:vMerge w:val="restart"/>
          </w:tcPr>
          <w:p>
            <w:pPr>
              <w:jc w:val="right"/>
              <w:ind w:right="349"/>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9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2"/>
              </w:rPr>
              <w:t>Paid-in</w:t>
            </w:r>
          </w:p>
        </w:tc>
        <w:tc>
          <w:tcPr>
            <w:tcW w:w="86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8"/>
                <w:szCs w:val="8"/>
                <w:color w:val="auto"/>
              </w:rPr>
            </w:pPr>
          </w:p>
        </w:tc>
        <w:tc>
          <w:tcPr>
            <w:tcW w:w="7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920" w:type="dxa"/>
            <w:vAlign w:val="bottom"/>
          </w:tcPr>
          <w:p>
            <w:pPr>
              <w:spacing w:after="0"/>
              <w:rPr>
                <w:sz w:val="12"/>
                <w:szCs w:val="12"/>
                <w:color w:val="auto"/>
              </w:rPr>
            </w:pP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jc w:val="right"/>
              <w:ind w:right="149"/>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580" w:type="dxa"/>
            <w:vAlign w:val="bottom"/>
          </w:tcPr>
          <w:p>
            <w:pPr>
              <w:jc w:val="right"/>
              <w:ind w:right="109"/>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2"/>
                <w:szCs w:val="12"/>
                <w:color w:val="auto"/>
              </w:rPr>
            </w:pPr>
          </w:p>
        </w:tc>
        <w:tc>
          <w:tcPr>
            <w:tcW w:w="600" w:type="dxa"/>
            <w:vAlign w:val="bottom"/>
          </w:tcPr>
          <w:p>
            <w:pPr>
              <w:jc w:val="right"/>
              <w:ind w:right="18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3920" w:type="dxa"/>
            <w:vAlign w:val="bottom"/>
          </w:tcPr>
          <w:p>
            <w:pPr>
              <w:ind w:left="20"/>
              <w:spacing w:after="0"/>
              <w:rPr>
                <w:sz w:val="20"/>
                <w:szCs w:val="20"/>
                <w:color w:val="auto"/>
              </w:rPr>
            </w:pPr>
            <w:r>
              <w:rPr>
                <w:rFonts w:ascii="Arial" w:cs="Arial" w:eastAsia="Arial" w:hAnsi="Arial"/>
                <w:sz w:val="14"/>
                <w:szCs w:val="14"/>
                <w:color w:val="auto"/>
              </w:rPr>
              <w:t>Balance at January 1, 2013</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33,513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48,282</w:t>
            </w:r>
          </w:p>
        </w:tc>
        <w:tc>
          <w:tcPr>
            <w:tcW w:w="120" w:type="dxa"/>
            <w:vAlign w:val="bottom"/>
          </w:tcPr>
          <w:p>
            <w:pPr>
              <w:spacing w:after="0"/>
              <w:rPr>
                <w:sz w:val="22"/>
                <w:szCs w:val="22"/>
                <w:color w:val="auto"/>
              </w:rPr>
            </w:pPr>
          </w:p>
        </w:tc>
        <w:tc>
          <w:tcPr>
            <w:tcW w:w="160" w:type="dxa"/>
            <w:vAlign w:val="bottom"/>
          </w:tcPr>
          <w:p>
            <w:pPr>
              <w:jc w:val="right"/>
              <w:ind w:right="19"/>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28,317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76,934</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Offering costs in connection with initial public offering</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 the secondary</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net of issuance costs of $4,052</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64,936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64,948</w:t>
            </w:r>
          </w:p>
        </w:tc>
        <w:tc>
          <w:tcPr>
            <w:tcW w:w="0" w:type="dxa"/>
            <w:vAlign w:val="bottom"/>
          </w:tcPr>
          <w:p>
            <w:pPr>
              <w:spacing w:after="0"/>
              <w:rPr>
                <w:sz w:val="1"/>
                <w:szCs w:val="1"/>
                <w:color w:val="auto"/>
              </w:rPr>
            </w:pPr>
          </w:p>
        </w:tc>
      </w:tr>
      <w:tr>
        <w:trPr>
          <w:trHeight w:val="157"/>
        </w:trPr>
        <w:tc>
          <w:tcPr>
            <w:tcW w:w="3920" w:type="dxa"/>
            <w:vAlign w:val="bottom"/>
          </w:tcPr>
          <w:p>
            <w:pPr>
              <w:ind w:left="160"/>
              <w:spacing w:after="0" w:line="157" w:lineRule="exact"/>
              <w:rPr>
                <w:sz w:val="20"/>
                <w:szCs w:val="20"/>
                <w:color w:val="auto"/>
              </w:rPr>
            </w:pPr>
            <w:r>
              <w:rPr>
                <w:rFonts w:ascii="Arial" w:cs="Arial" w:eastAsia="Arial" w:hAnsi="Arial"/>
                <w:sz w:val="14"/>
                <w:szCs w:val="14"/>
                <w:color w:val="auto"/>
                <w:w w:val="97"/>
              </w:rPr>
              <w:t>Issuance of common stock in connection with employee stock</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160"/>
              <w:spacing w:after="0"/>
              <w:rPr>
                <w:sz w:val="20"/>
                <w:szCs w:val="20"/>
                <w:color w:val="auto"/>
              </w:rPr>
            </w:pPr>
            <w:r>
              <w:rPr>
                <w:rFonts w:ascii="Arial" w:cs="Arial" w:eastAsia="Arial" w:hAnsi="Arial"/>
                <w:sz w:val="14"/>
                <w:szCs w:val="14"/>
                <w:color w:val="auto"/>
              </w:rPr>
              <w:t>option exercises</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4,787</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Issuance of common stock in connection with employee stock</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plan</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Tax benefit from exercise of employee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1,341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translation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Unrealized gain (loss) on investments, net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26,479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26,479</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Balance at December 31, 2013</w:t>
            </w: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35,071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98"/>
              </w:rPr>
              <w:t>127,443</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54,796</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94"/>
              </w:rPr>
              <w:t>182,599</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22,440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22,440</w:t>
            </w:r>
          </w:p>
        </w:tc>
        <w:tc>
          <w:tcPr>
            <w:tcW w:w="0" w:type="dxa"/>
            <w:vAlign w:val="bottom"/>
          </w:tcPr>
          <w:p>
            <w:pPr>
              <w:spacing w:after="0"/>
              <w:rPr>
                <w:sz w:val="1"/>
                <w:szCs w:val="1"/>
                <w:color w:val="auto"/>
              </w:rPr>
            </w:pPr>
          </w:p>
        </w:tc>
      </w:tr>
      <w:tr>
        <w:trPr>
          <w:trHeight w:val="157"/>
        </w:trPr>
        <w:tc>
          <w:tcPr>
            <w:tcW w:w="3920" w:type="dxa"/>
            <w:vAlign w:val="bottom"/>
          </w:tcPr>
          <w:p>
            <w:pPr>
              <w:ind w:left="160"/>
              <w:spacing w:after="0" w:line="157" w:lineRule="exact"/>
              <w:rPr>
                <w:sz w:val="20"/>
                <w:szCs w:val="20"/>
                <w:color w:val="auto"/>
              </w:rPr>
            </w:pPr>
            <w:r>
              <w:rPr>
                <w:rFonts w:ascii="Arial" w:cs="Arial" w:eastAsia="Arial" w:hAnsi="Arial"/>
                <w:sz w:val="14"/>
                <w:szCs w:val="14"/>
                <w:color w:val="auto"/>
                <w:w w:val="97"/>
              </w:rPr>
              <w:t>Issuance of common stock in connection with employee stock</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160"/>
              <w:spacing w:after="0"/>
              <w:rPr>
                <w:sz w:val="20"/>
                <w:szCs w:val="20"/>
                <w:color w:val="auto"/>
              </w:rPr>
            </w:pPr>
            <w:r>
              <w:rPr>
                <w:rFonts w:ascii="Arial" w:cs="Arial" w:eastAsia="Arial" w:hAnsi="Arial"/>
                <w:sz w:val="14"/>
                <w:szCs w:val="14"/>
                <w:color w:val="auto"/>
              </w:rPr>
              <w:t>option exercises and RSU vesting</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9,677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9,682</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Issuance of common stock in connection with employee stock</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plan</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2,124</w:t>
            </w:r>
          </w:p>
        </w:tc>
        <w:tc>
          <w:tcPr>
            <w:tcW w:w="0" w:type="dxa"/>
            <w:vAlign w:val="bottom"/>
          </w:tcPr>
          <w:p>
            <w:pPr>
              <w:spacing w:after="0"/>
              <w:rPr>
                <w:sz w:val="1"/>
                <w:szCs w:val="1"/>
                <w:color w:val="auto"/>
              </w:rPr>
            </w:pPr>
          </w:p>
        </w:tc>
      </w:tr>
      <w:tr>
        <w:trPr>
          <w:trHeight w:val="157"/>
        </w:trPr>
        <w:tc>
          <w:tcPr>
            <w:tcW w:w="3920" w:type="dxa"/>
            <w:vAlign w:val="bottom"/>
          </w:tcPr>
          <w:p>
            <w:pPr>
              <w:ind w:left="160"/>
              <w:spacing w:after="0" w:line="157" w:lineRule="exact"/>
              <w:rPr>
                <w:sz w:val="20"/>
                <w:szCs w:val="20"/>
                <w:color w:val="auto"/>
              </w:rPr>
            </w:pPr>
            <w:r>
              <w:rPr>
                <w:rFonts w:ascii="Arial" w:cs="Arial" w:eastAsia="Arial" w:hAnsi="Arial"/>
                <w:sz w:val="14"/>
                <w:szCs w:val="14"/>
                <w:color w:val="auto"/>
              </w:rPr>
              <w:t>Tax benefit from employee stock option exercises and RSU</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160"/>
              <w:spacing w:after="0"/>
              <w:rPr>
                <w:sz w:val="20"/>
                <w:szCs w:val="20"/>
                <w:color w:val="auto"/>
              </w:rPr>
            </w:pPr>
            <w:r>
              <w:rPr>
                <w:rFonts w:ascii="Arial" w:cs="Arial" w:eastAsia="Arial" w:hAnsi="Arial"/>
                <w:sz w:val="14"/>
                <w:szCs w:val="14"/>
                <w:color w:val="auto"/>
              </w:rPr>
              <w:t>vesting</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13,137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13,137</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translation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Unrealized gain (loss) on investments, net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22,089</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Balance at December 31, 2014</w:t>
            </w: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35,603</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2"/>
                <w:szCs w:val="22"/>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w w:val="98"/>
              </w:rPr>
              <w:t>174,821</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76,885</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94"/>
              </w:rPr>
              <w:t>251,433</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28,280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28,280</w:t>
            </w:r>
          </w:p>
        </w:tc>
        <w:tc>
          <w:tcPr>
            <w:tcW w:w="0" w:type="dxa"/>
            <w:vAlign w:val="bottom"/>
          </w:tcPr>
          <w:p>
            <w:pPr>
              <w:spacing w:after="0"/>
              <w:rPr>
                <w:sz w:val="1"/>
                <w:szCs w:val="1"/>
                <w:color w:val="auto"/>
              </w:rPr>
            </w:pPr>
          </w:p>
        </w:tc>
      </w:tr>
      <w:tr>
        <w:trPr>
          <w:trHeight w:val="157"/>
        </w:trPr>
        <w:tc>
          <w:tcPr>
            <w:tcW w:w="3920" w:type="dxa"/>
            <w:vAlign w:val="bottom"/>
          </w:tcPr>
          <w:p>
            <w:pPr>
              <w:ind w:left="160"/>
              <w:spacing w:after="0" w:line="157" w:lineRule="exact"/>
              <w:rPr>
                <w:sz w:val="20"/>
                <w:szCs w:val="20"/>
                <w:color w:val="auto"/>
              </w:rPr>
            </w:pPr>
            <w:r>
              <w:rPr>
                <w:rFonts w:ascii="Arial" w:cs="Arial" w:eastAsia="Arial" w:hAnsi="Arial"/>
                <w:sz w:val="14"/>
                <w:szCs w:val="14"/>
                <w:color w:val="auto"/>
                <w:w w:val="97"/>
              </w:rPr>
              <w:t>Issuance of common stock in connection with employee stock</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160"/>
              <w:spacing w:after="0"/>
              <w:rPr>
                <w:sz w:val="20"/>
                <w:szCs w:val="20"/>
                <w:color w:val="auto"/>
              </w:rPr>
            </w:pPr>
            <w:r>
              <w:rPr>
                <w:rFonts w:ascii="Arial" w:cs="Arial" w:eastAsia="Arial" w:hAnsi="Arial"/>
                <w:sz w:val="14"/>
                <w:szCs w:val="14"/>
                <w:color w:val="auto"/>
              </w:rPr>
              <w:t>option exercises and RSU vesting</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7,197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7,202</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Issuance of common stock in connection with employee stock</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plan</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157"/>
        </w:trPr>
        <w:tc>
          <w:tcPr>
            <w:tcW w:w="3920" w:type="dxa"/>
            <w:vAlign w:val="bottom"/>
          </w:tcPr>
          <w:p>
            <w:pPr>
              <w:ind w:left="160"/>
              <w:spacing w:after="0" w:line="157" w:lineRule="exact"/>
              <w:rPr>
                <w:sz w:val="20"/>
                <w:szCs w:val="20"/>
                <w:color w:val="auto"/>
              </w:rPr>
            </w:pPr>
            <w:r>
              <w:rPr>
                <w:rFonts w:ascii="Arial" w:cs="Arial" w:eastAsia="Arial" w:hAnsi="Arial"/>
                <w:sz w:val="14"/>
                <w:szCs w:val="14"/>
                <w:color w:val="auto"/>
              </w:rPr>
              <w:t>Tax benefit from employee stock option exercises and RSU</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160"/>
              <w:spacing w:after="0"/>
              <w:rPr>
                <w:sz w:val="20"/>
                <w:szCs w:val="20"/>
                <w:color w:val="auto"/>
              </w:rPr>
            </w:pPr>
            <w:r>
              <w:rPr>
                <w:rFonts w:ascii="Arial" w:cs="Arial" w:eastAsia="Arial" w:hAnsi="Arial"/>
                <w:sz w:val="14"/>
                <w:szCs w:val="14"/>
                <w:color w:val="auto"/>
              </w:rPr>
              <w:t>vesting</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Retirement of restricted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Repurchase of Treasury Shares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460</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(15,635)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(15,635)</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translation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(5,861)</w:t>
            </w:r>
          </w:p>
        </w:tc>
        <w:tc>
          <w:tcPr>
            <w:tcW w:w="0" w:type="dxa"/>
            <w:vAlign w:val="bottom"/>
          </w:tcPr>
          <w:p>
            <w:pPr>
              <w:spacing w:after="0"/>
              <w:rPr>
                <w:sz w:val="1"/>
                <w:szCs w:val="1"/>
                <w:color w:val="auto"/>
              </w:rPr>
            </w:pPr>
          </w:p>
        </w:tc>
      </w:tr>
      <w:tr>
        <w:trPr>
          <w:trHeight w:val="264"/>
        </w:trPr>
        <w:tc>
          <w:tcPr>
            <w:tcW w:w="3920" w:type="dxa"/>
            <w:vAlign w:val="bottom"/>
          </w:tcPr>
          <w:p>
            <w:pPr>
              <w:ind w:left="160"/>
              <w:spacing w:after="0"/>
              <w:rPr>
                <w:sz w:val="20"/>
                <w:szCs w:val="20"/>
                <w:color w:val="auto"/>
              </w:rPr>
            </w:pPr>
            <w:r>
              <w:rPr>
                <w:rFonts w:ascii="Arial" w:cs="Arial" w:eastAsia="Arial" w:hAnsi="Arial"/>
                <w:sz w:val="14"/>
                <w:szCs w:val="14"/>
                <w:color w:val="auto"/>
              </w:rPr>
              <w:t>Unrealized gain (loss) on investments, net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19,552</w:t>
            </w:r>
          </w:p>
        </w:tc>
        <w:tc>
          <w:tcPr>
            <w:tcW w:w="0" w:type="dxa"/>
            <w:vAlign w:val="bottom"/>
          </w:tcPr>
          <w:p>
            <w:pPr>
              <w:spacing w:after="0"/>
              <w:rPr>
                <w:sz w:val="1"/>
                <w:szCs w:val="1"/>
                <w:color w:val="auto"/>
              </w:rPr>
            </w:pPr>
          </w:p>
        </w:tc>
      </w:tr>
      <w:tr>
        <w:trPr>
          <w:trHeight w:val="270"/>
        </w:trPr>
        <w:tc>
          <w:tcPr>
            <w:tcW w:w="3920" w:type="dxa"/>
            <w:vAlign w:val="bottom"/>
          </w:tcPr>
          <w:p>
            <w:pPr>
              <w:ind w:left="20"/>
              <w:spacing w:after="0"/>
              <w:rPr>
                <w:sz w:val="20"/>
                <w:szCs w:val="20"/>
                <w:color w:val="auto"/>
              </w:rPr>
            </w:pPr>
            <w:r>
              <w:rPr>
                <w:rFonts w:ascii="Arial" w:cs="Arial" w:eastAsia="Arial" w:hAnsi="Arial"/>
                <w:sz w:val="14"/>
                <w:szCs w:val="14"/>
                <w:color w:val="auto"/>
              </w:rPr>
              <w:t>Balance at December 31, 2015</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36,146</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3"/>
                <w:szCs w:val="23"/>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460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(15,635)</w:t>
            </w: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98"/>
              </w:rPr>
              <w:t>213,851</w:t>
            </w:r>
          </w:p>
        </w:tc>
        <w:tc>
          <w:tcPr>
            <w:tcW w:w="12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96,437</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288,565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240" w:top="125" w:right="6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19,552</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22,089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26,479</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14,841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3,870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Write-off of property and equipment</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taxes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(4,840)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15,848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equity-based compensation</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Change in fair value of contingent consideration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4,770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 from the exercise of stock options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Bad debt reserve</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3,175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Chargeback and sales refund reserves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 of deferred financing fees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Credit card receivables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Prepaid expenses and other current and non-current assets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3,366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20,490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(16,857)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current and non-current liabilities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Contributor royalties payable</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2,904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2,196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14,166</w:t>
            </w:r>
          </w:p>
        </w:tc>
      </w:tr>
      <w:tr>
        <w:trPr>
          <w:trHeight w:val="25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85,331</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82,859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56,373</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 of investments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(270,546)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(300,350)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(115,019)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and maturities of investments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278,351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60,595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Acquisitions of businesses, net of cash acquired</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(62,379)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digital content</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Security deposit (payment)/receipt</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(71,846)</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(70,086)</w:t>
            </w: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issuance of common stock in follow-on offering</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65,895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7,197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9,682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4,787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Excess tax benefit from the exercise of stock options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1,341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treasury shares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Payment of term loan</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offering fees</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r>
      <w:tr>
        <w:trPr>
          <w:trHeight w:val="250"/>
        </w:trPr>
        <w:tc>
          <w:tcPr>
            <w:tcW w:w="7440" w:type="dxa"/>
            <w:vAlign w:val="bottom"/>
          </w:tcPr>
          <w:p>
            <w:pPr>
              <w:ind w:left="28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(4,061)</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24,943</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66,969</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foreign exchange rate changes on cash</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7440" w:type="dxa"/>
            <w:vAlign w:val="bottom"/>
          </w:tcPr>
          <w:p>
            <w:pPr>
              <w:ind w:left="380"/>
              <w:spacing w:after="0"/>
              <w:rPr>
                <w:sz w:val="20"/>
                <w:szCs w:val="20"/>
                <w:color w:val="auto"/>
              </w:rPr>
            </w:pPr>
            <w:r>
              <w:rPr>
                <w:rFonts w:ascii="Arial" w:cs="Arial" w:eastAsia="Arial" w:hAnsi="Arial"/>
                <w:sz w:val="14"/>
                <w:szCs w:val="14"/>
                <w:color w:val="auto"/>
              </w:rPr>
              <w:t>Net increase in cash and cash equivalents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78,098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53,259</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233,453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155,355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102,096</w:t>
            </w:r>
          </w:p>
        </w:tc>
      </w:tr>
      <w:tr>
        <w:trPr>
          <w:trHeight w:val="28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equivalents—Ending</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241,304</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233,453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155,355</w:t>
            </w:r>
          </w:p>
        </w:tc>
      </w:tr>
      <w:tr>
        <w:trPr>
          <w:trHeight w:val="224"/>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Information:</w:t>
            </w: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paid for income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14,481</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14,194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interest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045"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SHUTTERSTOCK, INC.</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Shutterstock, Inc. (the "Company" or "Shutterstock") operates a global marketplace and is a leading provider of high quality creative content including:</w:t>
      </w:r>
    </w:p>
    <w:p>
      <w:pPr>
        <w:spacing w:after="0" w:line="46" w:lineRule="exact"/>
        <w:rPr>
          <w:sz w:val="20"/>
          <w:szCs w:val="20"/>
          <w:color w:val="auto"/>
        </w:rPr>
      </w:pPr>
    </w:p>
    <w:p>
      <w:pPr>
        <w:ind w:right="60" w:firstLine="8"/>
        <w:spacing w:after="0" w:line="269"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digital imagery, which consists of licensed photographs, vectors, illustrations and video clips that customers use in their visual communications, such as websites, digital and print marketing materials, corporate communications, books, publications and video content; and (b) commercial music, which consists of high-quality music tracks and sound effects, and is often used to complement digital imagery. The Company licenses creative content to its customers. Contributors upload their creative content to the Company's websites in exchange for royalty payments based on customer download activity. The Company also offers digital asset management services through its cloud-based digital asset management platform. This service provides tools for customers to better manage creative content and brand management assets.The Company is headquartered in New York City with offices in Amsterdam, Berlin, Chicago, Dallas, Denver, London, Los Angeles, Montreal, Paris, San Francisco and Silicon Valley.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consolidated financial statements and accompanying notes have been prepared in accordance with accounting principles generally accepted in the United States of America ("US GAAP") and include the accounts of the Company and its wholly owned subsidiaries. All intercompany balances and transactions have been eliminated in consolidation.</w:t>
      </w:r>
    </w:p>
    <w:p>
      <w:pPr>
        <w:spacing w:after="0" w:line="181" w:lineRule="exact"/>
        <w:rPr>
          <w:sz w:val="20"/>
          <w:szCs w:val="20"/>
          <w:color w:val="auto"/>
        </w:rPr>
      </w:pPr>
    </w:p>
    <w:p>
      <w:pPr>
        <w:ind w:right="1720" w:firstLine="405"/>
        <w:spacing w:after="0" w:line="434" w:lineRule="auto"/>
        <w:rPr>
          <w:sz w:val="20"/>
          <w:szCs w:val="20"/>
          <w:color w:val="auto"/>
        </w:rPr>
      </w:pPr>
      <w:r>
        <w:rPr>
          <w:rFonts w:ascii="Arial" w:cs="Arial" w:eastAsia="Arial" w:hAnsi="Arial"/>
          <w:sz w:val="18"/>
          <w:szCs w:val="18"/>
          <w:color w:val="auto"/>
        </w:rPr>
        <w:t xml:space="preserve">Certain immaterial changes in presentation have been made to conform the prior period presentation to current period reporting. </w:t>
      </w:r>
      <w:r>
        <w:rPr>
          <w:rFonts w:ascii="Arial" w:cs="Arial" w:eastAsia="Arial" w:hAnsi="Arial"/>
          <w:sz w:val="18"/>
          <w:szCs w:val="18"/>
          <w:b w:val="1"/>
          <w:bCs w:val="1"/>
          <w:i w:val="1"/>
          <w:iCs w:val="1"/>
          <w:color w:val="auto"/>
        </w:rPr>
        <w:t>Follow-On Offering</w:t>
      </w:r>
    </w:p>
    <w:p>
      <w:pPr>
        <w:spacing w:after="0" w:line="8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September 25, 2013, the Company completed a follow-on offering of 5,290,000 shares of its common stock, which included 690,000 shares of common stock sold by the Company and certain stockholders as a result of the underwriters' exercise of their option to purchase additional shares, at a price of $60.00 per share. The Company sold 1,150,000 shares of common stock in the offering and the selling stockholders sold 4,140,000 shares of common stock in the offering. The aggregate offering price for shares sold by the Company in the offering resulted in net proceeds to the Company of $65.9 million after deducting underwriting discounts and commissions, and before deducting total expenses incurred in connection with the offering of approximately $0.9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Activity in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Rex Features (Holdings) Limited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January 19, 2015, the Company acquired all of the shares of Rex Features (Holdings) Limited (“Rex Features”) pursuant to a stock purchase agreement. The transaction was accounted for using the acquisition method and, accordingly, the results of the acquired business have been included in the Company’s results of operations from the acquisition date.</w:t>
      </w:r>
    </w:p>
    <w:p>
      <w:pPr>
        <w:spacing w:after="0" w:line="18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Rex Features is a photographic press agency in Europe that offers media companies and advertisers images and videos, including a live feed of edited celebrity, entertainment, sports and news images and videos, along with access to a multi-decade archive of iconic images. The Company believes with Rex Features’ editorial expertise and Shutterstock’s technical capabilities and position in the marketplace, that this acquisition will strengthen its strategic position and bring a comprehensive offering to market across both editorial and commercial content.</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fair value of consideration transferred in this business combination was allocated to the intangible and tangible assets acquired and liabilities assumed at the acquisition date, with the remaining unallocated amount recorded as goodwill.</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total purchase price consisted of a cash payment of $32.7 million subject to certain working capital adjustments. The aggregate purchase price was allocated to the assets acquired and liabilities assumed as follows (in thousands):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260"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Cash</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13,768</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4,993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Photo library</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14,918</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42,070</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Contributor payable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(9,343)</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identifiable intangible assets have a weighted average life of approximately eight years and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The fair values of the developed technology and photo library were both determined using the replacement cost method. The goodwill arising from the transaction is primarily attributable to expected operational synergies and is not deductible for income tax purposes. As a result of the acquisition, the Company recorded approximately $0.1 million and $0.4 million of professional fees in the years ended December 31, 2015 and 2014, respectively. The professional fees are included in general and administrative expense.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Arbour Interactive Inc.</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January 22, 2015, the Company acquired substantially all of the assets and certain liabilities of Arbour Interactive Inc. (“PremiumBeat”) pursuant to an asset purchase agreement. The transaction was accounted for using the acquisition method and, accordingly, the results of the acquired business have been included in the Company’s results of operations from the acquisition date.</w:t>
      </w:r>
    </w:p>
    <w:p>
      <w:pPr>
        <w:spacing w:after="0" w:line="181"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PremiumBeat is a leading provider of exclusive, high-quality music and sound effects for use in videos, films, television, applications, games, and other creative projects. PremiumBeat works with composers to offer a high-quality library of exclusive music primarily to businesses, including advertising and media agencies, as well as Fortune 500 companies. The Company plans to continue to operate the acquired assets under the PremiumBeat brand but also intends to combine PremiumBeat with the existing Shutterstock music business in order to leverage PremiumBeat’s experience in the music market.</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fair value of consideration transferred in this business combination was allocated to the intangible and tangible assets acquired and liabilities assumed at the acquisition date, with the remaining unallocated amount recorded as goodwill.</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total purchase price of $35.4 million consisted of a cash payment of $31.7 million and $3.7 million in contingent consideration based on certain performance criteria of post-acquisition revenue related to the Company’s music business. The fair value of the contingent consideration was determined using a Monte Carlo model with subsequent changes in the fair value expensed in earnings. The Company is obligated to pay a cash payment of up to $10.0 million in early 2017 contingent upon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6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achievement of the performance criteria. As of December 31, 2015, the Company's contingent consideration balance is $7.1 million and is included in other non-current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purchase price was allocated to the assets acquired and liabilities assumed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99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963</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r>
      <w:tr>
        <w:trPr>
          <w:trHeight w:val="243"/>
        </w:trPr>
        <w:tc>
          <w:tcPr>
            <w:tcW w:w="992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1,400</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Music catalog</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r>
      <w:tr>
        <w:trPr>
          <w:trHeight w:val="243"/>
        </w:trPr>
        <w:tc>
          <w:tcPr>
            <w:tcW w:w="992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178</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29,849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229</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36,408</w:t>
            </w:r>
          </w:p>
        </w:tc>
      </w:tr>
      <w:tr>
        <w:trPr>
          <w:trHeight w:val="223"/>
        </w:trPr>
        <w:tc>
          <w:tcPr>
            <w:tcW w:w="99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Contributor payable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43"/>
        </w:trPr>
        <w:tc>
          <w:tcPr>
            <w:tcW w:w="99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35,445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identifiable intangible assets have a weighted average life of approximately six years and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The fair values of the music catalog and developed technology were both determined using the replacement cost method. The goodwill arising from the transaction is primarily attributable to expected operational synergies and is deductible for income tax purposes. As a result of the acquisition, the Company recorded approximately $0.2 million and $0.4 million of professional fees in the years ended December 31, 2015 and 2014, respectively. The professional fees are included in general and administrative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Consolidated Financial Information</w:t>
      </w:r>
    </w:p>
    <w:p>
      <w:pPr>
        <w:spacing w:after="0" w:line="225"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The following unaudited pro forma consolidated financial information reflects the results of operations of the Company for the years ended December 31, 2015 and 2014, as if the Rex Features and PremiumBeat acquisitions completed during fiscal 2015 had closed on January 1, 2014, after giving effect to certain purchase accounting adjustments. These pro forma results are not necessarily indicative of what the Company’s operating results would have been had the acquisitions actually taken place at the beginning of the period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Pr>
          <w:p>
            <w:pPr>
              <w:spacing w:after="0"/>
              <w:rPr>
                <w:sz w:val="16"/>
                <w:szCs w:val="16"/>
                <w:color w:val="auto"/>
              </w:rPr>
            </w:pPr>
          </w:p>
        </w:tc>
      </w:tr>
      <w:tr>
        <w:trPr>
          <w:trHeight w:val="276"/>
        </w:trPr>
        <w:tc>
          <w:tcPr>
            <w:tcW w:w="3200" w:type="dxa"/>
            <w:vAlign w:val="bottom"/>
            <w:tcBorders>
              <w:bottom w:val="single" w:sz="8" w:color="CCEEFF"/>
            </w:tcBorders>
          </w:tcPr>
          <w:p>
            <w:pPr>
              <w:spacing w:after="0"/>
              <w:rPr>
                <w:sz w:val="24"/>
                <w:szCs w:val="24"/>
                <w:color w:val="auto"/>
              </w:rPr>
            </w:pPr>
          </w:p>
        </w:tc>
        <w:tc>
          <w:tcPr>
            <w:tcW w:w="446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54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5"/>
              </w:rPr>
              <w:t>426,420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353,636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5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19,558</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21,285</w:t>
            </w:r>
          </w:p>
        </w:tc>
      </w:tr>
      <w:tr>
        <w:trPr>
          <w:trHeight w:val="486"/>
        </w:trPr>
        <w:tc>
          <w:tcPr>
            <w:tcW w:w="3200" w:type="dxa"/>
            <w:vAlign w:val="bottom"/>
          </w:tcPr>
          <w:p>
            <w:pPr>
              <w:spacing w:after="0"/>
              <w:rPr>
                <w:sz w:val="24"/>
                <w:szCs w:val="24"/>
                <w:color w:val="auto"/>
              </w:rPr>
            </w:pPr>
          </w:p>
        </w:tc>
        <w:tc>
          <w:tcPr>
            <w:tcW w:w="5540" w:type="dxa"/>
            <w:vAlign w:val="bottom"/>
            <w:gridSpan w:val="2"/>
          </w:tcPr>
          <w:p>
            <w:pPr>
              <w:jc w:val="right"/>
              <w:ind w:right="2788"/>
              <w:spacing w:after="0"/>
              <w:rPr>
                <w:sz w:val="20"/>
                <w:szCs w:val="20"/>
                <w:color w:val="auto"/>
              </w:rPr>
            </w:pPr>
            <w:r>
              <w:rPr>
                <w:rFonts w:ascii="Arial" w:cs="Arial" w:eastAsia="Arial" w:hAnsi="Arial"/>
                <w:sz w:val="18"/>
                <w:szCs w:val="18"/>
                <w:color w:val="auto"/>
              </w:rPr>
              <w:t>F-10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Activity in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Virtual Moment, LLC</w:t>
      </w:r>
    </w:p>
    <w:p>
      <w:pPr>
        <w:spacing w:after="0" w:line="27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On March 14, 2014, the Company acquired certain assets and certain liabilities of Virtual Moment, LLC (dba WebDAM) ("WebDAM") pursuant to an asset purchase arrangement. The transaction was accounted for using the acquisition method and, accordingly, the results of the acquired business have been included in the Company's results of operations from the acquisition date.</w:t>
      </w:r>
    </w:p>
    <w:p>
      <w:pPr>
        <w:spacing w:after="0" w:line="23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WebDAM sells digital asset management software services through its cloud-based platform to marketing and creative enterprise organizations. WebDAM's products help organizations manage, search, distribute and collaborate on creative digital files in order to grow its brands and reach new audiences. WebDAM's offerings are particularly attractive to large enterprises, which make up a significant portion of its client base. The Company believes that this acquisition will strengthen its strategic position with its enterprise customers as well as broaden its product offerings and services to larger companies.</w:t>
      </w:r>
    </w:p>
    <w:p>
      <w:pPr>
        <w:spacing w:after="0" w:line="24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fair value of consideration transferred in this business combination was allocated to the intangible assets acquired and liabilities assumed at the acquisition date, with the remaining unallocated amount recorded as goodwill.</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purchase price of approximately $12.4 million consists of an initial cash payment of approximately $10.0 million and approximately</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$2.4 million in contingent consideration based on certain performance criteria of post-acquisition revenue. The fair value of the contingent consideration was determined using a Monte-Carlo simulation approach. The aggregate purchase price was allocated to the assets acquired and liabilities assumed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43"/>
        </w:trPr>
        <w:tc>
          <w:tcPr>
            <w:tcW w:w="968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968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assets acquired</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836</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57"/>
        </w:trPr>
        <w:tc>
          <w:tcPr>
            <w:tcW w:w="9680" w:type="dxa"/>
            <w:vAlign w:val="bottom"/>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12,416</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identifiable intangible assets have a weighted average life of approximately seven years and are being amortized on a straight-line basis which approximates the pattern of use. The fair value of the customer relationships was determined using a variation of the income approach known as excess earnings method. The fair values of the trade name and developed technology were both determined using the relief-from-royalty method. The goodwill arising from the transaction is primarily attributable to expected operational synergies and is deductible for income tax purposes. Related to of the acquisition, the Company recorded approximately $0.3 million of professional fees for the year ended December 31, 2014 which is included in general and administrative expense.</w:t>
      </w:r>
    </w:p>
    <w:p>
      <w:pPr>
        <w:spacing w:after="0" w:line="2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contingent consideration is required to be paid no later than July 2016 and is based on post-acquisition revenue from February 2015 through January 2016. The minimum payment is $1.0 million with escalating payments based on achievement of various revenue amounts. As of December 31, 2015, the Company's contingent consideration balance is $4.0 million, which represents the full amount of the contingency, and is included in other current liabilities.</w:t>
      </w:r>
    </w:p>
    <w:p>
      <w:pPr>
        <w:spacing w:after="0" w:line="24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Pro forma results of operations have not been presented because the effect of this business combination was not material to the Company's consolidated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contingent consideration, sales refund reserve, goodwill, intangibles, non-cash equity-based compensation, income tax provision and for certain non-income tax accruals. The Company bases its estimates on</w:t>
      </w:r>
    </w:p>
    <w:p>
      <w:pPr>
        <w:sectPr>
          <w:pgSz w:w="11900" w:h="16838" w:orient="portrait"/>
          <w:cols w:equalWidth="0" w:num="1">
            <w:col w:w="11400"/>
          </w:cols>
          <w:pgMar w:left="240" w:top="260" w:right="259" w:bottom="919"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00"/>
          </w:cols>
          <w:pgMar w:left="240" w:top="260" w:right="259" w:bottom="919"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Contributor Risk</w:t>
      </w:r>
    </w:p>
    <w:p>
      <w:pPr>
        <w:spacing w:after="0" w:line="279"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At certain times, the Company's cash balances with any one financial institution may exceed Federal Deposit Insurance Corporation insurance limits and cash held in non-U.S. banks may be significant. The Company believes it mitigates its risk by depositing its cash balances with financial institutions of high quality.</w:t>
      </w:r>
    </w:p>
    <w:p>
      <w:pPr>
        <w:spacing w:after="0" w:line="23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Company's customers and contributors are located worldwide. The majority of the Company's customers purchase products by making electronic payments at the time of a transaction. The Company's credit risk is limited to its enterprise customers and further mitigated due to the Company's large number of diversified customers. The Company's credit review for certain new customers involves consideration of the customers' financial information, the location of the customer, and other factors to assess the customers ability to pay. The Company also performs ongoing financial condition evaluations for its existing customers. No single customer accounted for or exceeded 10% of revenue for the years ended December 31, 2015, 2014 or 2013. As of December 31, 2015 and 2014, no single customer accounted for or exceeded 10% of credit card receivable or 10% of accounts receivable.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contributor accounted for or exceeded 10% of contributor royalties for the years ended December 31, 2015, 2014 and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Company records its financial assets and liabilities at fair value. The accounting standard for fair value provides a framework for measuring fair value, and defines fair value as the price that would be received to sell an asset or paid to transfer a liability in an orderly transaction between market participants at the reporting date. The accounting standard establishes a three-tier hierarchy as follows: Level 1—quoted prices (unadjusted) in active markets for identical assets or liabilities; Level 2—inputs other than quoted prices included within Level 1 that are either directly or indirectly observable; and Level 3 —unobservable inputs in which little or no market activity exists, therefore requiring an entity to develop its own assumptions about the assumptions that market participants would use in pricing.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ind w:right="700" w:firstLine="432"/>
        <w:spacing w:after="0" w:line="308" w:lineRule="auto"/>
        <w:rPr>
          <w:sz w:val="20"/>
          <w:szCs w:val="20"/>
          <w:color w:val="auto"/>
        </w:rPr>
      </w:pPr>
      <w:r>
        <w:rPr>
          <w:rFonts w:ascii="Arial" w:cs="Arial" w:eastAsia="Arial" w:hAnsi="Arial"/>
          <w:sz w:val="17"/>
          <w:szCs w:val="17"/>
          <w:color w:val="auto"/>
        </w:rPr>
        <w:t>The Company considers all highly liquid securities with original maturities of three months or less when acquired to be cash equivalents. Cash primarily consists of balances in checking, savings and money market accounts, which are recorded at cost and approximate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7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Short-term investments consist of commercial paper and are classified as available-for-sale securities. As these securities mature in 90 days or less and are available to support current operations, the Company has classified all available-for-sale securities as short-term. Available-for-sale securities are carried at fair value with unrealized gains and losses reported as a component of other accumulated comprehensive (loss)/income in stockholders' equity and in the consolidated statements of comprehensive income, while realized gains and losses, and other-than-temporary impairments, if any, are reported as a component of net income. For the periods presented, realized and unrealized gains and losses on investments were not material. An impairment charge, if any, is recorded in the consolidated statements of operations for declines in fair value below the cost of an individual investment that are deemed to be other than temporary. The Company assesses whether a decline in value is temporary based on the length of time that the fair market value has been below cost, the severity of the decline, as well as the intent and ability to hold, or plans to sell, the investment. No impairment of value of our short-term investments was considered to be other-than-temporary as of December 31, 2015 and 2014.</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260"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restricted cash relates to amounts held by the Company's bank to collateralize letters of credit which are pledged as security deposits for leased office locations. As of December 31, 2015 and 2014, the Company had $1.8 million of restricted cash recorded in other assets that relates to the lease for its corporate headquarters in New York City. As of December 31, 2014, the Company also had $0.2 million of restricted cash recorded in prepaid expenses and other current assets that related to a leased office location that was released by the landlord during the year ended December 31, 2015. The carrying value of restricted cash approximates fair value.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Receivables</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Company's credit card receivables represent amounts due from third party credit card processors. Such amounts generally convert to cash within three to five days with minimal risk of default.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79"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The Company's accounts receivable consist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 The following table presents the changes in the Company's allowance for doubtful accounts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 bad debt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519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write-offs, net of recoveries and other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7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is calculated using the straight-line method over the estimated useful lives of the related assets. The useful lives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72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 years</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280" w:type="dxa"/>
            <w:vAlign w:val="bottom"/>
          </w:tcPr>
          <w:p>
            <w:pPr>
              <w:ind w:left="1600"/>
              <w:spacing w:after="0"/>
              <w:rPr>
                <w:sz w:val="20"/>
                <w:szCs w:val="20"/>
                <w:color w:val="auto"/>
              </w:rPr>
            </w:pPr>
            <w:r>
              <w:rPr>
                <w:rFonts w:ascii="Arial" w:cs="Arial" w:eastAsia="Arial" w:hAnsi="Arial"/>
                <w:sz w:val="18"/>
                <w:szCs w:val="18"/>
                <w:color w:val="auto"/>
              </w:rPr>
              <w:t>7 years</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72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3 years</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7280" w:type="dxa"/>
            <w:vAlign w:val="bottom"/>
          </w:tcPr>
          <w:p>
            <w:pPr>
              <w:ind w:left="1600"/>
              <w:spacing w:after="0"/>
              <w:rPr>
                <w:sz w:val="20"/>
                <w:szCs w:val="20"/>
                <w:color w:val="auto"/>
              </w:rPr>
            </w:pPr>
            <w:r>
              <w:rPr>
                <w:rFonts w:ascii="Arial" w:cs="Arial" w:eastAsia="Arial" w:hAnsi="Arial"/>
                <w:sz w:val="18"/>
                <w:szCs w:val="18"/>
                <w:color w:val="auto"/>
              </w:rPr>
              <w:t>Shorter of expected useful life or lease term</w:t>
            </w:r>
          </w:p>
        </w:tc>
      </w:tr>
      <w:tr>
        <w:trPr>
          <w:trHeight w:val="378"/>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Capitalized Internal Use Software</w:t>
            </w:r>
          </w:p>
        </w:tc>
        <w:tc>
          <w:tcPr>
            <w:tcW w:w="7280" w:type="dxa"/>
            <w:vAlign w:val="bottom"/>
          </w:tcPr>
          <w:p>
            <w:pPr>
              <w:spacing w:after="0"/>
              <w:rPr>
                <w:sz w:val="24"/>
                <w:szCs w:val="24"/>
                <w:color w:val="auto"/>
              </w:rPr>
            </w:pPr>
          </w:p>
        </w:tc>
      </w:tr>
    </w:tbl>
    <w:p>
      <w:pPr>
        <w:spacing w:after="0" w:line="25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2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the years ended December 31, 2015, 2014 and 2013, the Company capitalized $3.3 million, $1.0 million and $0.2 million, respectively, which is included in total capitalized software costs included in property and equipment. Amortization expense related to capitalized internal use software for the years ended December 31, 2015, 2014 and 2013 was $0.6 million, $0.3 million and $0.2 million, respectively, which is included in general and administrative expense. As of</w:t>
      </w:r>
    </w:p>
    <w:p>
      <w:pPr>
        <w:sectPr>
          <w:pgSz w:w="11900" w:h="16838" w:orient="portrait"/>
          <w:cols w:equalWidth="0" w:num="1">
            <w:col w:w="11420"/>
          </w:cols>
          <w:pgMar w:left="240" w:top="260" w:right="239" w:bottom="1027"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260" w:right="239" w:bottom="1027"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31, 2015 and 2014, the Company has internal use software of $3.9 million and $0.6 million, respectively, net of accumulated depreciation which is included in property and equipment, net.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79"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Long-lived assets, inclusive of definite useful life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2015, 2014 or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 Goodwill has been allocated to the Company's reporting units, for the purposes of preparing our impairment analyses, based on a specific identification basis. Since inception through December 31, 2015, the Company did not have any goodwill or indefinite lived intangible asset impairment.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majority of the Company's revenue, net of chargebacks and refunds, is generated from the license of digital content through subscription or usage based plans. The Company's three primary plans are: subscription plans, On Demand plans, and credit pack plans. The Company recognizes revenue when all of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the ratable passage of time for subscription plans, the download of digital content or the expiration of a contract period for which there are unused downloads or credits. Collectability is reasonably assured since the majority of the Company's customers purchase products by making electronic payments at the time of a transaction with a credit card. The Company establishes a chargeback allowance and sales refund reserve allowance based on factors surrounding historical credit card chargeback trends, historical sales refund trends and other economic information. As of December 31, 2015 and 2014, the Company has recorded an allowance for chargebacks and sales refunds of $0.7 million and $0.7 million, respectively, which is included in other liabilities. Any cash received in advance of revenue recognition is recorded as deferred revenue.</w:t>
      </w:r>
    </w:p>
    <w:p>
      <w:pPr>
        <w:spacing w:after="0" w:line="23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Revenue from subscription plans with monthly limits is recognized on a per usage basis or when the right to download expires. On Demand plans are typically for a one year term and permit the customer to download up to a fixed amount of digital content. On Demand revenues are recognized at the time the customer downloads the digital content on a per unit basis. Revenue related to unused digital content, if any, is recognized in full at the end of the plan term assuming no further Company obligation remains. Credit pack plans are generally for a one year term and enable the customer to purchase a fixed number of credits which can then be utilized to pay for downloaded digital content. The number of credits utilized for each download depends on the digital content size and format. Credit pack revenue is recognized based on customer usage on a per credit basis as digital content is downloaded. Revenue related to unused credits, if any, is recognized in full at the end of the plan term assuming no further Company obligation remains. Most plans automatically renew at the end of the plan term unless the customer elects not to renew. The Company recognizes revenue from its three types of plans on a gross basis in accordance with the authoritative guidance on principal-agent considerations as the Company is the primary obligor in the arrangement, has control in establishing the product's price, performs a detailed review of the digital content before accepting it to its collection to ensure it is of high quality before it may be purchased by the customers, can reject contributor's images in its sole discretion, and has credit risk.</w:t>
      </w:r>
    </w:p>
    <w:p>
      <w:pPr>
        <w:sectPr>
          <w:pgSz w:w="11900" w:h="16838" w:orient="portrait"/>
          <w:cols w:equalWidth="0" w:num="1">
            <w:col w:w="11400"/>
          </w:cols>
          <w:pgMar w:left="240" w:top="260" w:right="25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00"/>
          </w:cols>
          <w:pgMar w:left="240" w:top="260" w:right="2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but the determination is made on a case-by-case basis.</w:t>
      </w:r>
    </w:p>
    <w:p>
      <w:pPr>
        <w:spacing w:after="0" w:line="24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Company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"Principal Agent Considerations." The Company recognizes revenue net of reseller commission in accordance with the type of plan sold, consistent with the plan descriptions above. The Company generally does not offer refunds or the right of return to resellers.</w:t>
      </w:r>
    </w:p>
    <w:p>
      <w:pPr>
        <w:spacing w:after="0" w:line="232"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Company also generates revenue related to WebDAM from licensing its hosted software services through its cloud-based platform and related implementation, on-boarding and professional services. The Company enters into multiple element revenue arrangements in which a customer purchases a combination of hosted software, implementation, on-boarding and optional value added professional services. The Company recognizes revenue for the hosted services monthly provided that there is persuasive evidence of an arrangement, the service has been delivered, the fees are fixed and determinable, and collection is reasonably assured. ASC 605-25 establishes a selling price hierarchy for determining the selling price of a deliverable in multiple-element arrangements, which is based on: (a) vendor-specific objective evidence; (b) third-party evidence; or (c) best estimated selling price. The hosted software services are recognized ratably over the contractual period as this service is on-going over the hosting period which is generally a one-year term. The Company recognizes any setup or implementation revenue ratably over the longer of the contractual term or the estimated customer relationship period which is currently three years. Any value added on-boarding and professional services are recognized upon completion.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Company's cost of revenue includes contributor royalties, credit card processing fees, content reviewer expenses, hosting and bandwidth expenses, content personnel salaries, non-cash equity-based compensation, amortization of content and technology intangible assets, and depreciation of network equipment, which are the direct costs related to providing content and service to customers. Additionally, the Company includes an allocation of overhead costs primarily related to payroll, insurance, and facilities expenses based on headcount.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Contributor Royalties and Internal Sales Commissions</w:t>
      </w:r>
    </w:p>
    <w:p>
      <w:pPr>
        <w:spacing w:after="0" w:line="279" w:lineRule="exact"/>
        <w:rPr>
          <w:sz w:val="20"/>
          <w:szCs w:val="20"/>
          <w:color w:val="auto"/>
        </w:rPr>
      </w:pPr>
    </w:p>
    <w:p>
      <w:pPr>
        <w:ind w:right="180" w:firstLine="432"/>
        <w:spacing w:after="0" w:line="285" w:lineRule="auto"/>
        <w:rPr>
          <w:sz w:val="20"/>
          <w:szCs w:val="20"/>
          <w:color w:val="auto"/>
        </w:rPr>
      </w:pPr>
      <w:r>
        <w:rPr>
          <w:rFonts w:ascii="Arial" w:cs="Arial" w:eastAsia="Arial" w:hAnsi="Arial"/>
          <w:sz w:val="16"/>
          <w:szCs w:val="16"/>
          <w:color w:val="auto"/>
        </w:rPr>
        <w:t>The Company expenses contributor royalties in the period a customer download occurs and includes the corresponding contributor royalties in cost of revenue. Contributor royalties are generally paid weekly or monthly. The Company advances certain contributor royalties which are initially deferred and expensed based on the contractual royalty rate at the time of customer download or when the Company determines future recovery is not probable. For the years ended December 31, 2015, 2014 and 2013, the Company deferred $3.9 million, $1.6 million and $3.4 million, respectively, in royalty advances and amortized $2.7 million, $3.1 million and $0.5 million, respectively, in royalty advance expense which is included in cost of revenue. As of December 31,</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2015 and 2014, the Company has deferred contributor royalties of $3.2 million and $2.0 million, respectively, which is included in prepaid expenses and other current assets.</w:t>
      </w:r>
    </w:p>
    <w:p>
      <w:pPr>
        <w:spacing w:after="0" w:line="23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 generally up to 12 months. For the years ended December 31, 2015, 2014 and 2013, the Company deferred $5.5 million, $3.0 million and $2.0 million, respectively, and amortized $4.5 million, $2.7 million and $2.1 million, respectively, in internal sales commission expense which is included in sales and marketing expense. As of December 31, 2015 and 2014, the Company has deferred internal sales commission of $1.7 million and $0.8 million, respectively, which is included in prepaid expenses and other current assets.</w:t>
      </w:r>
    </w:p>
    <w:p>
      <w:pPr>
        <w:sectPr>
          <w:pgSz w:w="11900" w:h="16838" w:orient="portrait"/>
          <w:cols w:equalWidth="0" w:num="1">
            <w:col w:w="11420"/>
          </w:cols>
          <w:pgMar w:left="240" w:top="26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260"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equipment costs as well as allocated occupancy costs and related overhead.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expenses the cost of advertising and promoting its products as incurred. Such costs totaled $53.0 million, $43.7 million and $34.1 million for the years ended December 31, 2015, 2014 and 2013, respectively, which are included in sales and marketing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records rent expense on a straight-line basis over the term of the related lease. The difference between the rent expense recognized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actual payments made in accordance with the lease agreement is recognized as a deferred rent liability on the Company's balance sheet.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Company had deferred rent of $8.0 million, of which $0.7 million is included in other liabilities and $7.3 million is included in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non-current liabilities. As of December 31, 2014, the Company had deferred rent of $8.0 million, of which $0.7 million is included in other liabilities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$7.3 million is included in other non-current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7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measures and recognizes non-cash equity-based compensation expense for all stock-based awards granted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 Compensation expense related to awards with a market condition is recognized ratably over the requisite service period regardless of the achievement of the market condition.</w:t>
      </w:r>
    </w:p>
    <w:p>
      <w:pPr>
        <w:spacing w:after="0" w:line="21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uses the Black Scholes option pricing model, the closing price of the Company's common stock on the date of grant, and the Monte Carlo simulation model, if the award has a market condition, to determine the fair value of stock options and restricted stock units ("RSUs"), respectively, granted pursuant to the Value Appreciation Rights Plan ("VAR Plan"), or the 2012 Omnibus Equity Incentive Plan (the "2012 Plan") and stock purchased pursuant to the 2012 Employee Stock Purchase Plan ("2012 ESPP"), which are discussed further in Note 10, Equity-Based Compensation.</w:t>
      </w:r>
    </w:p>
    <w:p>
      <w:pPr>
        <w:spacing w:after="0" w:line="20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determination of the grant date fair value using an option-pricing model and simulation model requires judgment as well as assumptions regarding a number of other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225" w:lineRule="exact"/>
        <w:rPr>
          <w:sz w:val="20"/>
          <w:szCs w:val="20"/>
          <w:color w:val="auto"/>
        </w:rPr>
      </w:pPr>
    </w:p>
    <w:p>
      <w:pPr>
        <w:ind w:left="980" w:right="60" w:hanging="324"/>
        <w:spacing w:after="0" w:line="287"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Stock/Membership Unit. </w:t>
      </w:r>
      <w:r>
        <w:rPr>
          <w:rFonts w:ascii="Arial" w:cs="Arial" w:eastAsia="Arial" w:hAnsi="Arial"/>
          <w:sz w:val="16"/>
          <w:szCs w:val="16"/>
          <w:color w:val="auto"/>
        </w:rPr>
        <w:t>Prior to completion of the IPO, the Company's fair value of common ownership interest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internally and approved by the Board of Managers ("BOM") because the Company was not publicly traded. The Company's intention upon granting VAR Plan awards was for the granted award to have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 Business,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Interest, Security, or Intangible Asset</w:t>
      </w:r>
      <w:r>
        <w:rPr>
          <w:rFonts w:ascii="Arial" w:cs="Arial" w:eastAsia="Arial" w:hAnsi="Arial"/>
          <w:sz w:val="16"/>
          <w:szCs w:val="16"/>
          <w:color w:val="auto"/>
        </w:rPr>
        <w:t>. The assumptions used in the valuation model were based on future expectations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the common</w:t>
      </w:r>
    </w:p>
    <w:p>
      <w:pPr>
        <w:sectPr>
          <w:pgSz w:w="11900" w:h="16838" w:orient="portrait"/>
          <w:cols w:equalWidth="0" w:num="1">
            <w:col w:w="11420"/>
          </w:cols>
          <w:pgMar w:left="240" w:top="26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260"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right="200"/>
        <w:spacing w:after="0" w:line="304" w:lineRule="auto"/>
        <w:rPr>
          <w:sz w:val="20"/>
          <w:szCs w:val="20"/>
          <w:color w:val="auto"/>
        </w:rPr>
      </w:pPr>
      <w:r>
        <w:rPr>
          <w:rFonts w:ascii="Arial" w:cs="Arial" w:eastAsia="Arial" w:hAnsi="Arial"/>
          <w:sz w:val="18"/>
          <w:szCs w:val="18"/>
          <w:color w:val="auto"/>
        </w:rPr>
        <w:t>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215" w:lineRule="exact"/>
        <w:rPr>
          <w:sz w:val="20"/>
          <w:szCs w:val="20"/>
          <w:color w:val="auto"/>
        </w:rPr>
      </w:pPr>
    </w:p>
    <w:p>
      <w:pPr>
        <w:ind w:left="980" w:right="16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is estimated using the simplified method allowed under Securities and Exchange Commission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In certain cases for market based awards, the Company's expected term is based on a combination of historical data and estimates of the period of time the award will be outstanding.</w:t>
      </w:r>
    </w:p>
    <w:p>
      <w:pPr>
        <w:spacing w:after="0" w:line="235" w:lineRule="exact"/>
        <w:rPr>
          <w:rFonts w:ascii="Arial" w:cs="Arial" w:eastAsia="Arial" w:hAnsi="Arial"/>
          <w:sz w:val="18"/>
          <w:szCs w:val="18"/>
          <w:color w:val="auto"/>
        </w:rPr>
      </w:pPr>
    </w:p>
    <w:p>
      <w:pPr>
        <w:ind w:left="980" w:right="20" w:hanging="324"/>
        <w:spacing w:after="0" w:line="29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did not have a trading history for its common ownership interest pre-IPO or a significant range of its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post-IPO, the expected price volatility for the common ownership interest and common stock was estimated by taking the average historic price volatility for industry peers based on daily price observations over a period equivalent to the expected term of the VAR Plan awards and stock options granted post-IPO. Industry peers consisted of several public companies similar in size, stage of life cycle and financial leverage. The Company did not rely on implied volatilities of traded options in the industry peers' common stock because the volume of activity was relatively low. The Company applied this process using the same or similar public companies until the fourth quarter of 2014, at which time the Company determined it had a sufficient amount of historical information regarding the volatility of its own common stock.</w:t>
      </w:r>
    </w:p>
    <w:p>
      <w:pPr>
        <w:spacing w:after="0" w:line="221"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each award group.</w:t>
      </w:r>
    </w:p>
    <w:p>
      <w:pPr>
        <w:spacing w:after="0" w:line="224"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Before the Reorganization, the Company historically paid cash dividends or distributions to its members.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the Company has not paid cash distributions to its stockholders and it does not intend to do so for the foreseeable future. As a result, the Company used an expected dividend yield of zero.</w:t>
      </w:r>
    </w:p>
    <w:p>
      <w:pPr>
        <w:spacing w:after="0" w:line="23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If any of the assumptions used in the Black-Scholes pricing model or Monte Carlo simulation model changes significantly, the fair value for future awards may differ materially compared with the awards granted previously. The awards granted pursuant to the VAR Plan or the 2012 Plan, and stock purchased pursuant to the 2012 ESPP are subject to a time-based vesting requirement and for certain award grants are also based on a market condition. The majority of stock option awards granted under the 2012 Plan vest over four years while the majority of the restricted stock units granted under the 2012 Plan vest over three years. The 2012 ESPP provides for purchase periods approximately every six months and a participant must be employed on the purchase date to participate.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As a result of the completion of the IPO in October 2012, the Company began recording equity-based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Company's income tax expense includes U.S. (federal and state) and foreign income taxes. Except as required under U.S. tax laws, the Company does not provide for U.S. taxes on its undistributed earnings of foreign subsidiaries that have not been previously taxed since the Company intends to invest such undistributed earnings indefinitely outside of the U.S. If the Company's intention changes or if these funds are needed for U.S. operations, the Company would be required to accrue or pay U.S. taxes on some or all of these undistributed earnings and the Company's effective tax rate would be adversely affected.</w:t>
      </w:r>
    </w:p>
    <w:p>
      <w:pPr>
        <w:spacing w:after="0" w:line="20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2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w:t>
      </w:r>
    </w:p>
    <w:p>
      <w:pPr>
        <w:sectPr>
          <w:pgSz w:w="11900" w:h="16838" w:orient="portrait"/>
          <w:cols w:equalWidth="0" w:num="1">
            <w:col w:w="11400"/>
          </w:cols>
          <w:pgMar w:left="240" w:top="260"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260" w:right="25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and related penalties and interest is included in the income tax provision.</w:t>
      </w:r>
    </w:p>
    <w:p>
      <w:pPr>
        <w:spacing w:after="0" w:line="20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Taxes</w:t>
      </w:r>
    </w:p>
    <w:p>
      <w:pPr>
        <w:spacing w:after="0" w:line="27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 is subject to compliance requirements for certain non-income taxes, including value added taxes, sales taxes and royalty withholding taxes. Amounts charged to customers or paid on behalf of customers related to sales taxes, value-added taxes and other non-income taxes are classified net of revenue. Where appropriate, the Company has made accruals for these taxes, which are reflected in the Company's consolidated financial statements. These accruals are subject to statute of limitations requirements and review by governmental authorities.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accounts for treasury stock under the cost method and is included as a component of stockholders' equity. Treasury stock held by the Company may be reissued in the future. The Company’s policy is to account for these shares as a reduction of Treasury stock on a first-in, first-out basis.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7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Basic net income per share is computed by dividing the net income attributable to common stockholders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if any,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stockholders based on the weighted average number of shares for each class of securities outstanding during the applicable period as a percentage of the combined weighted average number of these securities outstanding during the period. Income available to common stockholders is computed by deducting dividends paid to preferred stockholders, accretion to redemption value on preferred members shares, less income allocated to participating securities including unvested shares for the restricted award holder since these unvested shares have participating rights.</w:t>
      </w:r>
    </w:p>
    <w:p>
      <w:pPr>
        <w:spacing w:after="0" w:line="23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260"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 reconciliation of assumed exercised shares used in calculating basic and diluted net income per common share available to common stockholders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35,880</w:t>
            </w:r>
          </w:p>
        </w:tc>
        <w:tc>
          <w:tcPr>
            <w:tcW w:w="14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35,235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33,878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Stock options and employee stock purchase plan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1440" w:type="dxa"/>
            <w:vAlign w:val="bottom"/>
            <w:gridSpan w:val="3"/>
          </w:tcPr>
          <w:p>
            <w:pPr>
              <w:jc w:val="right"/>
              <w:ind w:right="19"/>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509</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restricted stock awards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35,913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34,426</w:t>
            </w:r>
          </w:p>
        </w:tc>
      </w:tr>
      <w:tr>
        <w:trPr>
          <w:trHeight w:val="311"/>
        </w:trPr>
        <w:tc>
          <w:tcPr>
            <w:tcW w:w="7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Potentially dilutive shares included in the calculation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1,624</w:t>
            </w:r>
          </w:p>
        </w:tc>
        <w:tc>
          <w:tcPr>
            <w:tcW w:w="1440" w:type="dxa"/>
            <w:vAlign w:val="bottom"/>
            <w:gridSpan w:val="3"/>
          </w:tcPr>
          <w:p>
            <w:pPr>
              <w:jc w:val="right"/>
              <w:ind w:right="19"/>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1,788</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shares excluded from the calculation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r>
      <w:tr>
        <w:trPr>
          <w:trHeight w:val="27"/>
        </w:trPr>
        <w:tc>
          <w:tcPr>
            <w:tcW w:w="7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For the year ended December 31, 2015, the Company has identified eight operating segments and has aggregated them into one primary reportable business segment based on the aggregation criteria within the authoritative guidance on segment reporting. The Company considered the similarity of the product sold, the distribution processes involved, targeted customers and economic characteristics among the operating segments in its aggregation criteria evaluation. Operating segments are defined as components of an enterprise for which separate financial information is available and is evaluated regularly by the Company's chief operating decision maker ("CODM"), or decision-making group, in deciding how to allocate resources and in assessing performance. The non-reportable segments classified in the Other Category include several business units, none of which meet the quantitative or qualitative thresholds for separate segment reporting. The Other Category currently includes the Company's digital asset management and on-line learning video business units.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segment information for the years ended December 31, 2015 and 2014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Content Segment: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Segment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417,310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324,533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172,026</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Segment operating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182,826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152,507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Category: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3,438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7,675</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Other operating loss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and Other Category: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Segment and other revenue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425,149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327,971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and other 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179,701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Segment and other operating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178,295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148,270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Less: Unallocated corporate expenses</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(109,234)</w:t>
            </w:r>
          </w:p>
        </w:tc>
      </w:tr>
      <w:tr>
        <w:trPr>
          <w:trHeight w:val="257"/>
        </w:trPr>
        <w:tc>
          <w:tcPr>
            <w:tcW w:w="8120" w:type="dxa"/>
            <w:vAlign w:val="bottom"/>
          </w:tcPr>
          <w:p>
            <w:pPr>
              <w:ind w:left="60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39,036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right="20" w:hanging="332"/>
        <w:spacing w:after="0" w:line="273"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Unallocated corporate expenses primarily relate to shared operational support functions such as sales, marketing, public relations, product development and engineering support not allocated to specific operating segments and general and administrative functions of human resources, legal, finance and information technology.</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Asset information on a segment basis is not disclosed as this information is not separately identified or internally reported to the Company's CODM.</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260"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Prior to the year ended December 31, 2014, the Company had identified three operating segments and aggregated them into one reportable segment based on the aggregation criteria within the authoritative guidance on segment reporting. There was no financial information classified as Other Category as these business units were not yet in existence or were inconsequential.</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our geographic revenue based on customer location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166,225</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84,754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144,103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115,245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84,644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the world</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114,821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90,830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66,117</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425,149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327,971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235,515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Included in North America is the United States which comprises 34%, 33%, and 32% of total revenue for years ended December 31, 2015, 2014, and 2013, respectively. The United Kingdom accounts for 11% of total revenue for the year ended December 31, 2015 and less than 10% of total revenue for all other years presented. No other country accounts for more than 10% of the Company's revenue in any period.</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31,699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32,094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26,744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79" w:lineRule="exact"/>
        <w:rPr>
          <w:sz w:val="20"/>
          <w:szCs w:val="20"/>
          <w:color w:val="auto"/>
        </w:rPr>
      </w:pPr>
    </w:p>
    <w:p>
      <w:pPr>
        <w:ind w:right="300" w:firstLine="432"/>
        <w:spacing w:after="0" w:line="316" w:lineRule="auto"/>
        <w:rPr>
          <w:sz w:val="20"/>
          <w:szCs w:val="20"/>
          <w:color w:val="auto"/>
        </w:rPr>
      </w:pPr>
      <w:r>
        <w:rPr>
          <w:rFonts w:ascii="Arial" w:cs="Arial" w:eastAsia="Arial" w:hAnsi="Arial"/>
          <w:sz w:val="15"/>
          <w:szCs w:val="15"/>
          <w:color w:val="auto"/>
        </w:rPr>
        <w:t>The Company has established foreign subsidiaries in various countries around the world and as a result the financial statements of these foreign subsidiaries are reported in the applicable foreign currencies (functional currencies). For those entities where the functional currency is the local currency, adjustments resulting from translating the financial statements into U.S. dollars are recorded as a component of accumulated other comprehensive income (loss) in stockholders' equity. Monetary assets and liabilities denominated in a foreign currency are translated into U.S. dollars at the exchange rate on the balance sheet date. Revenue and expenses are translated at the average exchange rates during the period. Equity transactions are translated using historical exchange rates. Foreign currency transaction gains and losses are included in other income (expense), net 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(Loss)/Income</w:t>
      </w:r>
    </w:p>
    <w:p>
      <w:pPr>
        <w:spacing w:after="0" w:line="27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Comprehensive (loss)/income includes certain changes in stockholders' equity that are excluded from net income such as foreign currency translation adjustments and unrealized gains or losses on marketable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144"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In May 2014, the Financial Accounting Standards Board ("FASB") issued new accounting guidance related to revenue recognition (“ASU 2014-09”). This new standard will replace all current GAAP guidance on this topic and will eliminate all industry-specific guidance.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On July 9, 2015, the FASB approved the deferral of the effective date of ASU 2014-09 by one year. As a result, ASU 2014-09 will be effective for the Company’s fiscal year beginning January 1, 2018. The Company may choose to adopt the standard as of the original effective date for annual reporting periods beginning after December 15, 2016; if it does so, the Company is required to apply the standard beginning in the first interim period within the year of adoption. The Company is evaluating the impact, if any, of adopting this new accounting standard on its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6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June 2014, the FASB issued new guidance related to stock compensation. The new standard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periods for which the requisite service has already been rendered. The new standard is effective for fiscal years, and interim periods within those fiscal years, beginning after December 15, 2015 and can be applied either prospectively or retrospectively to all awards outstanding as of the beginning of the earliest annual period presented as an adjustment to opening retained earnings. Early adoption is permitted. The Company is evaluating the impact, if any, of adopting this new accounting standard on its financial statements.</w:t>
      </w:r>
    </w:p>
    <w:p>
      <w:pPr>
        <w:spacing w:after="0" w:line="24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November 2015, the FASB issued new guidance related to income taxes. The new standard requires that all deferred tax assets and liabilities, and any related valuation allowance, be classified as non-current on the balance sheet. The classification change for all deferred taxes as non-current simplifies entities’ processes as it eliminates the need to separately identify the net current and net non-current deferred tax asset or liability in each jurisdiction and allocate valuation allowances, if any. The guidance is effective for fiscal years beginning after December 15, 2016, although early adoption is permitted and can be applied either prospectively or retrospectively to all periods presented. The Company is evaluating the impact of adopting this new accounting standard on its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6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Short-Term Investments and Fair Value Measurements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investments are summarized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right="33"/>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Amortized Cost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47,084</w:t>
            </w:r>
          </w:p>
        </w:tc>
        <w:tc>
          <w:tcPr>
            <w:tcW w:w="2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54,848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losses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short-term investments measured at fair value</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47,078</w:t>
            </w: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54,844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7"/>
            <w:vMerge w:val="restart"/>
          </w:tcPr>
          <w:p>
            <w:pPr>
              <w:ind w:left="440"/>
              <w:spacing w:after="0"/>
              <w:rPr>
                <w:sz w:val="20"/>
                <w:szCs w:val="20"/>
                <w:color w:val="auto"/>
              </w:rPr>
            </w:pPr>
            <w:r>
              <w:rPr>
                <w:rFonts w:ascii="Arial" w:cs="Arial" w:eastAsia="Arial" w:hAnsi="Arial"/>
                <w:sz w:val="18"/>
                <w:szCs w:val="18"/>
                <w:color w:val="auto"/>
                <w:w w:val="98"/>
              </w:rPr>
              <w:t>The following tables present the Company's fair value hierarchy for its assets and liabilities (in thousands):</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800" w:type="dxa"/>
            <w:vAlign w:val="bottom"/>
            <w:gridSpan w:val="7"/>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As of December 31, 2015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Money market 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89,153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89,153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47,078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136,231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89,153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47,078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Acquisition related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measured at fair value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11,075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Money market accounts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81,244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81,244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54,844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136,088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81,244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54,844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Acquisition related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 measured at fair value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Company's investments classified as level 2 are priced using quoted market prices for identical assets which are subject to infrequent transactions. In addition to cash held in banks, cash equivalents consist of balances in money market accounts which are classified as a level 1 measurement based on quoted prices in active markets for identical assets that the reporting entity can access at the measurement date. The Company reassesses the fair value of contingent consideration to be settled in cash related to the WebDAM and PremiumBeat acquisitions using the Black-Scholes model until the settlement amount of the cash flow determinable. These contingencies are considered level 3 measurements. Significant assumptions used in the measuring the fair value include probabilities of achieving certain revenue milestones based on the Company's expectations, and a discount rate which is based on an unobservable input that is supported by little or no market activity. As the result of a change in the time value of money, the Company recorded a change in the fair value of the contingent consideration in the amount of $4.8 million and $0.2 million during the year ended December 31, 2015 and 2014, respectively, which is included in other (expense) income, net.</w:t>
      </w:r>
    </w:p>
    <w:p>
      <w:pPr>
        <w:sectPr>
          <w:pgSz w:w="11900" w:h="16838" w:orient="portrait"/>
          <w:cols w:equalWidth="0" w:num="1">
            <w:col w:w="11420"/>
          </w:cols>
          <w:pgMar w:left="240" w:top="26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20"/>
          </w:cols>
          <w:pgMar w:left="240" w:top="260"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fair value of contingent consideration through December 31, 2015 are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WebDAM</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PremiumBeat</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fair value</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Included as a component of accrued expenses and other current liabilities as of December 31, 2015 and other long-term liabilities as of December 31, 2014.</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Included as a component of other long-term liabilities as of December 31, 2015.</w:t>
      </w:r>
    </w:p>
    <w:p>
      <w:pPr>
        <w:spacing w:after="0" w:line="1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Cash, accounts receivable, restricted cash, accounts payable, accrued expenses and deferred revenue carrying amounts approximate fair value because of the short-term maturity of these instruments. The Company's non-financial assets, which include property and equipment,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6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83" w:lineRule="exact"/>
        <w:rPr>
          <w:sz w:val="20"/>
          <w:szCs w:val="20"/>
          <w:color w:val="auto"/>
        </w:rPr>
      </w:pPr>
    </w:p>
    <w:p>
      <w:pPr>
        <w:jc w:val="both"/>
        <w:ind w:right="260" w:firstLine="432"/>
        <w:spacing w:after="0" w:line="279" w:lineRule="auto"/>
        <w:rPr>
          <w:sz w:val="20"/>
          <w:szCs w:val="20"/>
          <w:color w:val="auto"/>
        </w:rPr>
      </w:pPr>
      <w:r>
        <w:rPr>
          <w:rFonts w:ascii="Arial" w:cs="Arial" w:eastAsia="Arial" w:hAnsi="Arial"/>
          <w:sz w:val="17"/>
          <w:szCs w:val="17"/>
          <w:color w:val="auto"/>
        </w:rPr>
        <w:t>The Company's goodwill balance is attributable to its Bigstock, WebDAM, Music and Editorial reporting units and is tested for impairment at least annually on October 1 or upon a triggering event. Bigstock, Music and Editorial are included in the Company's Content Business reporting segment while WebDAM is included in the non-reportable Other Category. The following table summarizes the changes in the Company's goodwill balance by reportable and non-reportable segments for the periods ended December 31, 2015 and 2014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Content</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Category</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Acquired goodwill</w:t>
            </w: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44,767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44,767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42,171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8,763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50,934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all of which are subject to amortization, consist of the following as of December 31, 2015 and 2014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As of December 31, 2015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00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16,434</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5,923</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2,605</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Contributor content</w:t>
            </w: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5,138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4,571</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95</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35,819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0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3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3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Contributor content</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3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7"/>
              </w:rPr>
              <w:t>_______________________________________________________________________________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140" w:hanging="332"/>
        <w:spacing w:after="0" w:line="255"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During the year ended December 31, 2014, the Company acquired certain non-exclusive licensing rights to distribute certain digital content in perpetuity in the amount of $0.7 million, which the Company placed into service during the year ended December 31, 2015 and therefore is excluded from the table.</w:t>
      </w:r>
    </w:p>
    <w:p>
      <w:pPr>
        <w:spacing w:after="0" w:line="10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Amortization expense related to the intangible assets was $4.7 million, $0.6 million and $0.2 million for the years ended December 31, 2015, 2014 and 2013, respectively. The Company also determined that there was no indication of impairment for the intangible assets for all periods presented. Estimated amortization expense for the next five years is: $5.1 million in 2016, $5.1 million in 2017, $4.1 million in 2018, $3.8 million in 2019, $3.3 million in 2020 and $8.5 million thereafter.</w:t>
      </w:r>
    </w:p>
    <w:p>
      <w:pPr>
        <w:sectPr>
          <w:pgSz w:w="11900" w:h="16838" w:orient="portrait"/>
          <w:cols w:equalWidth="0" w:num="1">
            <w:col w:w="11420"/>
          </w:cols>
          <w:pgMar w:left="240" w:top="26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260"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Company performed its annual goodwill assessment as October 1, 2015 and concluded that the fair value of its reporting units were greater than their carrying amounts, and therefore no adjustment to the carrying value of goodwill was necessary. The Company utilized a qualitative assessment on its Bigstock and Music reporting unit to determine whether a quantitative assessment was necessary and determined there were no indicators of potential impairment. For its WebDAM and Editorial reporting units, the Company performed a quantitative assessment utilizing the income and market approach. The assessments performed concluded that the fair value of both reporting units were in excess of their carrying values. The key assumption that impacts the quantitative assessment is the expected future cash flows. The Company's discounted cash flow analysis factors in assumptions on revenue and expense growth rates. These estimates are based on the Company's historical experience and projections of future activity, factoring in customer demand and a cost structure necessary to achieve related revenue. Additionally, the discounted cash flow analysis factors in expected amounts of working capital and weighted cost of capital. Changes to the Company's critical assumptions could have an effect on the estimated fair value of the WebDAM and Editorial reporting units. A hypothetical decrease of 10% in the expected annual cash flows, with all other assumptions unchanged, would have decreased the fair value of the reporting units by approximately 6%, but would not have resulted in the fair value being lower than the carrying amount.</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impairments of goodwill in any of the periods presented in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264"/>
        </w:trPr>
        <w:tc>
          <w:tcPr>
            <w:tcW w:w="8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24,179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2,336</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13,954</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54,906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40,469</w:t>
            </w:r>
          </w:p>
        </w:tc>
      </w:tr>
      <w:tr>
        <w:trPr>
          <w:trHeight w:val="27"/>
        </w:trPr>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(13,725)</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32,094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26,744</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Depreciation and amortization expense related to property and equipment amounted to $10.1 million, $7.4 million and $3.7 million, for the years ended December 31, 2015, 2014 and 2013, respectively. Depreciation and amortization expense is included in cost of revenue and general and administrative expense based on the nature of the asset. In connection with its move to its new headquarters, the Company recorded a loss on disposal of certain fixed assets in the amount of $0.4 million for the year ended December 31, 2014. There was no loss on disposal for the years ended December 31, 2015 and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5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Non-income taxes</w:t>
            </w:r>
          </w:p>
        </w:tc>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4,670</w:t>
            </w:r>
          </w:p>
        </w:tc>
      </w:tr>
      <w:tr>
        <w:trPr>
          <w:trHeight w:val="27"/>
        </w:trPr>
        <w:tc>
          <w:tcPr>
            <w:tcW w:w="3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tax withholdings</w:t>
            </w:r>
          </w:p>
        </w:tc>
        <w:tc>
          <w:tcPr>
            <w:tcW w:w="5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1,708</w:t>
            </w:r>
          </w:p>
        </w:tc>
      </w:tr>
      <w:tr>
        <w:trPr>
          <w:trHeight w:val="27"/>
        </w:trPr>
        <w:tc>
          <w:tcPr>
            <w:tcW w:w="3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tax withholdings</w:t>
            </w:r>
          </w:p>
        </w:tc>
        <w:tc>
          <w:tcPr>
            <w:tcW w:w="5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Marketing expenses</w:t>
            </w:r>
          </w:p>
        </w:tc>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794</w:t>
            </w:r>
          </w:p>
        </w:tc>
      </w:tr>
      <w:tr>
        <w:trPr>
          <w:trHeight w:val="27"/>
        </w:trPr>
        <w:tc>
          <w:tcPr>
            <w:tcW w:w="37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5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w:t>
            </w: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Total accrued expenses</w:t>
            </w:r>
          </w:p>
        </w:tc>
        <w:tc>
          <w:tcPr>
            <w:tcW w:w="5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30,696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24,982</w:t>
            </w:r>
          </w:p>
        </w:tc>
      </w:tr>
      <w:tr>
        <w:trPr>
          <w:trHeight w:val="20"/>
        </w:trPr>
        <w:tc>
          <w:tcPr>
            <w:tcW w:w="3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5400" w:type="dxa"/>
            <w:vAlign w:val="bottom"/>
            <w:gridSpan w:val="2"/>
          </w:tcPr>
          <w:p>
            <w:pPr>
              <w:jc w:val="right"/>
              <w:ind w:right="3130"/>
              <w:spacing w:after="0"/>
              <w:rPr>
                <w:sz w:val="20"/>
                <w:szCs w:val="20"/>
                <w:color w:val="auto"/>
              </w:rPr>
            </w:pPr>
            <w:r>
              <w:rPr>
                <w:rFonts w:ascii="Arial" w:cs="Arial" w:eastAsia="Arial" w:hAnsi="Arial"/>
                <w:sz w:val="18"/>
                <w:szCs w:val="18"/>
                <w:color w:val="auto"/>
              </w:rPr>
              <w:t>F-25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geographical breakdown of its income before income taxes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43,375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34,272</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38,177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43,375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w w:val="96"/>
              </w:rPr>
              <w:t>The following table summarizes the consolidated provision for income taxes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Federal provision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16,551</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19,362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provision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Federal benefit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 provision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benefit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differs from statutory income tax rate as follows:</w:t>
      </w:r>
    </w:p>
    <w:p>
      <w:pPr>
        <w:spacing w:after="0" w:line="365"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23495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income tax at federal statutory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State and local taxes, net of federal benefit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2.3</w:t>
            </w:r>
          </w:p>
        </w:tc>
      </w:tr>
      <w:tr>
        <w:trPr>
          <w:trHeight w:val="27"/>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Non-deductible equity-based compensation</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7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other</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r>
      <w:tr>
        <w:trPr>
          <w:trHeight w:val="257"/>
        </w:trPr>
        <w:tc>
          <w:tcPr>
            <w:tcW w:w="7240" w:type="dxa"/>
            <w:vAlign w:val="bottom"/>
          </w:tcPr>
          <w:p>
            <w:pPr>
              <w:ind w:left="180"/>
              <w:spacing w:after="0"/>
              <w:rPr>
                <w:sz w:val="20"/>
                <w:szCs w:val="20"/>
                <w:color w:val="auto"/>
              </w:rPr>
            </w:pPr>
            <w:r>
              <w:rPr>
                <w:rFonts w:ascii="Arial" w:cs="Arial" w:eastAsia="Arial" w:hAnsi="Arial"/>
                <w:sz w:val="18"/>
                <w:szCs w:val="18"/>
                <w:color w:val="auto"/>
              </w:rPr>
              <w:t>Total provision for income taxes</w:t>
            </w:r>
          </w:p>
        </w:tc>
        <w:tc>
          <w:tcPr>
            <w:tcW w:w="8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43.0%</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42.1 %</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7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6"/>
        </w:trPr>
        <w:tc>
          <w:tcPr>
            <w:tcW w:w="8040" w:type="dxa"/>
            <w:vAlign w:val="bottom"/>
            <w:gridSpan w:val="2"/>
          </w:tcPr>
          <w:p>
            <w:pPr>
              <w:ind w:left="5540"/>
              <w:spacing w:after="0"/>
              <w:rPr>
                <w:sz w:val="20"/>
                <w:szCs w:val="20"/>
                <w:color w:val="auto"/>
              </w:rPr>
            </w:pPr>
            <w:r>
              <w:rPr>
                <w:rFonts w:ascii="Arial" w:cs="Arial" w:eastAsia="Arial" w:hAnsi="Arial"/>
                <w:sz w:val="18"/>
                <w:szCs w:val="18"/>
                <w:color w:val="auto"/>
              </w:rPr>
              <w:t>F-26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tax effect of the Company's temporary differences that give rise to deferred tax assets and liabilities are presented below (in thousands):</w:t>
      </w:r>
    </w:p>
    <w:p>
      <w:pPr>
        <w:spacing w:after="0" w:line="30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Non-cash equity-based compensation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10,407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8,284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Non-income tax accruals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2,679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21,874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As of December 31, 2015, the Company had approximately $4.5 million of undistributed earnings attributable to its foreign subsidiaries. It is the Company's practice and intention to indefinitely reinvest the earnings of its foreign subsidiaries in those operations. The Company has not provided deferred U.S. income taxes or foreign withholding taxes on temporary differences resulting from the earnings indefinitely reinvested outside the U.S. It is currently not practicable to calculate the associated unrecognized deferred tax liability.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to the Company's unrecognized tax benefits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unrecognized tax benefits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Gross additions for tax positions for prior years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1,056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additions for tax positions for 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Gross reductions for tax positions of prior years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expirations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of unrecognized tax benefits at December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1,500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7"/>
          <w:szCs w:val="17"/>
          <w:color w:val="auto"/>
        </w:rPr>
        <w:t>During the years ended December 31, 2015, 2014 and 2013, the Company recorded reserves for uncertain tax benefits in the amount of $0.3 million, $0 and $1.1 million, respectively, a portion of which was established through purchase accounting. The Company recognized a tax benefit in the amount of $0.4 million during the year ended December 31, 2015 related to the release of a prior year uncertain tax position due to a lapse in the statute of limitations. To the extent the remaining unrecognized tax benefits are ultimately recognized, the Company's effective tax rate may be impacted in future periods in the amount of $1.3 million. The liability for unrecognized tax benefits is included in other non-current liabilities.</w:t>
      </w:r>
    </w:p>
    <w:p>
      <w:pPr>
        <w:spacing w:after="0" w:line="2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and its subsidiaries file income tax returns in the U.S. and various foreign jurisdictions. The Company completed a U.S .Federal income tax audit for year ended December 31, 2012. The settlement resulted in no change to the filed tax return. The Company is no longer subject to U.S. federal or state and local tax examinations by tax authorities for years before 2009. The Company anticipates that the total unrecognized tax benefits will decrease by $1.1 million in the next fiscal year.</w:t>
      </w:r>
    </w:p>
    <w:p>
      <w:pPr>
        <w:spacing w:after="0" w:line="241"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Company recognizes interest expense and tax penalties related to unrecognized tax benefits as a component of income tax expense in the consolidated statements of operations. The Company's accrual for interest and penalties related to unrecognized tax benefits and its recognized tax benefits associated with the release of prior years' uncertain tax positions due to lapses in the statutes of limitations have not been material for the years ended December 31, 2015, 2014 and 2013.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Facility</w:t>
      </w:r>
    </w:p>
    <w:p>
      <w:pPr>
        <w:spacing w:after="0" w:line="283" w:lineRule="exact"/>
        <w:rPr>
          <w:sz w:val="20"/>
          <w:szCs w:val="20"/>
          <w:color w:val="auto"/>
        </w:rPr>
      </w:pPr>
    </w:p>
    <w:p>
      <w:pPr>
        <w:ind w:right="520" w:firstLine="432"/>
        <w:spacing w:after="0" w:line="312" w:lineRule="auto"/>
        <w:rPr>
          <w:sz w:val="20"/>
          <w:szCs w:val="20"/>
          <w:color w:val="auto"/>
        </w:rPr>
      </w:pPr>
      <w:r>
        <w:rPr>
          <w:rFonts w:ascii="Arial" w:cs="Arial" w:eastAsia="Arial" w:hAnsi="Arial"/>
          <w:sz w:val="16"/>
          <w:szCs w:val="16"/>
          <w:color w:val="auto"/>
        </w:rPr>
        <w:t>On September 21, 2012, the Company entered into a Loan and Security Agreement that provided for a $12.0 million term loan facility, which the Company refers to as the term loan facility. During the year ended December 31, 2013, the Company paid off the remaining outstanding balance of $6.0 million and terminated the loan facility. Subsequent to December 31, 2013, the Company has taken on no additional indebtedness.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83"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The Company leases facilities under agreements accounted for as operating leases. Rental expense for operating leases for the years ended December 31, 2015, 2014 and 2013 was approximately $4.8 million, $4.2 million and $3.0 million,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taxes and operating expense increases.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March 21, 2013, the Company entered into an operating lease agreement to lease its new office facility in New York, New York. The Company took possession of the premises during the third quarter of 2013, and as a result, the lease commenced. The Company also entered into a letter of credit in the amount of $1.8 million as a security deposit for the leased facilities. The letter of credit was collateralized by $1.8 million of cash and as such, is deemed to be restricted cash and is included in other assets on the consolidated balance sheets as of December 31, 2015 and 2014. In January 2016, the lease was amended to, among other things, provide for the lease of additional office space and extend the term of the lease. As amended, the lease is scheduled to expire in 2029 and aggregate future minimum lease payments are approximately $86.6 million.</w:t>
      </w:r>
    </w:p>
    <w:p>
      <w:pPr>
        <w:spacing w:after="0" w:line="233"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December 31, 2015, including the effect of the January 2016 amendment to the Company's headquarters lease,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14"/>
                <w:szCs w:val="14"/>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92"/>
        </w:trPr>
        <w:tc>
          <w:tcPr>
            <w:tcW w:w="101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61,324</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90,548</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December 31, 2015, the Company had committed to purchase approximately $1.2 million of data server equipment related to expansion of the existing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79" w:lineRule="exact"/>
        <w:rPr>
          <w:sz w:val="20"/>
          <w:szCs w:val="20"/>
          <w:color w:val="auto"/>
        </w:rPr>
      </w:pPr>
    </w:p>
    <w:p>
      <w:pPr>
        <w:jc w:val="both"/>
        <w:ind w:right="760" w:firstLine="432"/>
        <w:spacing w:after="0" w:line="264" w:lineRule="auto"/>
        <w:rPr>
          <w:sz w:val="20"/>
          <w:szCs w:val="20"/>
          <w:color w:val="auto"/>
        </w:rPr>
      </w:pPr>
      <w:r>
        <w:rPr>
          <w:rFonts w:ascii="Arial" w:cs="Arial" w:eastAsia="Arial" w:hAnsi="Arial"/>
          <w:sz w:val="18"/>
          <w:szCs w:val="18"/>
          <w:color w:val="auto"/>
        </w:rPr>
        <w:t>As of December 31, 2015, the Company had other obligations of approximately $21.8 million, which consisted primarily of minimum royalty guarantees and unconditional purchase obligations related to contracts for infrastructure and other business services. As of December 31, 2015, the Company's other obligations are as follows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Other Obligations</w:t>
            </w: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5,118</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obligations</w:t>
            </w: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21,782</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7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as such, no material reserves related to litigation.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7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2015,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Indemnification Agreements</w:t>
      </w:r>
    </w:p>
    <w:p>
      <w:pPr>
        <w:spacing w:after="0" w:line="279"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83"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The Company has a 401(k) defined contribution plan ("401(k) Plan") and provides for annual discretionary employer matching contributions not to exceed 3% of employees' compensation per year. Matching contributions are fully vested and non-forfeitable at all times.</w:t>
      </w:r>
    </w:p>
    <w:p>
      <w:pPr>
        <w:spacing w:after="0" w:line="20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recorded employer matching contributions of $1.2 million, $0.9 million and $0.6 million for the years ended December 31, 2015, 2014 and 2013,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pacing w:after="0" w:line="14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recognizes stock-based compensation expense for all share-based payment awards including employee stock options, restricted stock awards and RSUs granted under the 2012 Plan (and formerly under the VAR Plan) and sales of shares of common stock under the 2012 ESPP based on each award's fair value on the grant date.</w:t>
      </w:r>
    </w:p>
    <w:p>
      <w:pPr>
        <w:spacing w:after="0" w:line="10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non-cash equity-based compensation expense, net of forfeitures, by line item included in the Company's statements of operations for the years ended December 31, 2015, 2014 and 2013 (in thousands):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1,296</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2,982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28,860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6,208</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980" w:firstLine="405"/>
        <w:spacing w:after="0" w:line="308" w:lineRule="auto"/>
        <w:rPr>
          <w:sz w:val="20"/>
          <w:szCs w:val="20"/>
          <w:color w:val="auto"/>
        </w:rPr>
      </w:pPr>
      <w:r>
        <w:rPr>
          <w:rFonts w:ascii="Arial" w:cs="Arial" w:eastAsia="Arial" w:hAnsi="Arial"/>
          <w:sz w:val="17"/>
          <w:szCs w:val="17"/>
          <w:color w:val="auto"/>
        </w:rPr>
        <w:t>The following table summarizes non-cash equity-based compensation expense, net of forfeitures, by award type included in the Company's accompanying consolidated statements of operations for the years ended December 31, 2015, 2014 and 2013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4,507</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7"/>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w:t>
            </w:r>
          </w:p>
        </w:tc>
      </w:tr>
      <w:tr>
        <w:trPr>
          <w:trHeight w:val="270"/>
        </w:trPr>
        <w:tc>
          <w:tcPr>
            <w:tcW w:w="7520" w:type="dxa"/>
            <w:vAlign w:val="bottom"/>
          </w:tcPr>
          <w:p>
            <w:pPr>
              <w:ind w:left="40"/>
              <w:spacing w:after="0" w:line="270" w:lineRule="exact"/>
              <w:rPr>
                <w:sz w:val="20"/>
                <w:szCs w:val="20"/>
                <w:color w:val="auto"/>
              </w:rPr>
            </w:pPr>
            <w:r>
              <w:rPr>
                <w:rFonts w:ascii="Arial" w:cs="Arial" w:eastAsia="Arial" w:hAnsi="Arial"/>
                <w:sz w:val="18"/>
                <w:szCs w:val="18"/>
                <w:color w:val="auto"/>
              </w:rPr>
              <w:t>WebDAM</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r>
      <w:tr>
        <w:trPr>
          <w:trHeight w:val="257"/>
        </w:trPr>
        <w:tc>
          <w:tcPr>
            <w:tcW w:w="75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28,860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6,208</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w:t>
      </w:r>
    </w:p>
    <w:p>
      <w:pPr>
        <w:spacing w:after="0" w:line="4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expense related to a portion of the equity awards issued to former owners of WebDAM that are classified as a liability.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Omnibus Equity Incentive Plan</w:t>
      </w:r>
    </w:p>
    <w:p>
      <w:pPr>
        <w:spacing w:after="0" w:line="279"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In connection with the Company's reorganization to a corporation, the VAR Plan awards were exchanged for options to purchase shares of common stock of Shutterstock, Inc. granted pursuant to the Company's 2012 Plan. The number of shares of common stock available under the 2012 Plan was automatically increased by approximately 1,068,000 and 1,052,000 shares, respectively, on January 1, 2015 and 2014, pursuant to the automatic increase provisions of the 2012 Plan.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awards and weighted average exercise price per option: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4"/>
                <w:szCs w:val="14"/>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812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2014</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1,771,440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271,250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30.43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Options cancelled or 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(173,489)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48.00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2015</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57.59</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exercisable at December 31, 2015</w:t>
            </w: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624,051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26.22</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 at December 31, 2015</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1,505,504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44.62</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Intrinsic value of stock options is calculated as the market price of the Company's common stock multiplied by the number of stock options. The intrinsic value of the Company's stock options is as follows (in thousands):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80" w:type="dxa"/>
            <w:vAlign w:val="bottom"/>
          </w:tcPr>
          <w:p>
            <w:pPr>
              <w:spacing w:after="0"/>
              <w:rPr>
                <w:sz w:val="16"/>
                <w:szCs w:val="16"/>
                <w:color w:val="auto"/>
              </w:rPr>
            </w:pPr>
          </w:p>
        </w:tc>
      </w:tr>
      <w:tr>
        <w:trPr>
          <w:trHeight w:val="276"/>
        </w:trPr>
        <w:tc>
          <w:tcPr>
            <w:tcW w:w="79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 Options Exercisable</w:t>
            </w:r>
          </w:p>
        </w:tc>
        <w:tc>
          <w:tcPr>
            <w:tcW w:w="10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29,800</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Vested and Expected to Vest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50,600</w:t>
            </w:r>
          </w:p>
        </w:tc>
      </w:tr>
      <w:tr>
        <w:trPr>
          <w:trHeight w:val="27"/>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intrinsic value of stock options exercised for the years ended December 31, 2015, 2014 and 2013 was approximately $12.7 million and $30.5 million and $12.4 million, respectively.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weighted average assumptions were used in the fair value calculation for the years ended December 31, 2015, 2014 and 2013:</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Year Ended Year Ended December 31,</w:t>
            </w:r>
          </w:p>
        </w:tc>
        <w:tc>
          <w:tcPr>
            <w:tcW w:w="1540" w:type="dxa"/>
            <w:vAlign w:val="bottom"/>
            <w:tcBorders>
              <w:bottom w:val="single" w:sz="8" w:color="auto"/>
            </w:tcBorders>
          </w:tcPr>
          <w:p>
            <w:pPr>
              <w:spacing w:after="0"/>
              <w:rPr>
                <w:sz w:val="16"/>
                <w:szCs w:val="16"/>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2013</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6.3</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50%</w:t>
            </w:r>
          </w:p>
        </w:tc>
      </w:tr>
      <w:tr>
        <w:trPr>
          <w:trHeight w:val="27"/>
        </w:trPr>
        <w:tc>
          <w:tcPr>
            <w:tcW w:w="5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2.1% - 2.8%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1.0% - 2.3%</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18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4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Valuation Data:</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Weighted average fair value per share granted</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15.90</w:t>
            </w: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3"/>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233"/>
              <w:spacing w:after="0"/>
              <w:rPr>
                <w:sz w:val="20"/>
                <w:szCs w:val="20"/>
                <w:color w:val="auto"/>
              </w:rPr>
            </w:pPr>
            <w:r>
              <w:rPr>
                <w:rFonts w:ascii="Arial" w:cs="Arial" w:eastAsia="Arial" w:hAnsi="Arial"/>
                <w:sz w:val="18"/>
                <w:szCs w:val="18"/>
                <w:color w:val="auto"/>
              </w:rPr>
              <w:t>24.73</w:t>
            </w:r>
          </w:p>
        </w:tc>
      </w:tr>
    </w:tbl>
    <w:p>
      <w:pPr>
        <w:spacing w:after="0" w:line="14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April 24, 2014, the Company granted 500,000 stock options with a market-based condition to its Chief Executive Officer ("CEO"). The stock options have an exercise price of $80.94 per share and will not vest or become exercisable unless (i) the CEO remains continuously employed by the Company until the fifth anniversary of the date of grant and (ii) 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CEO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w:t>
      </w:r>
    </w:p>
    <w:p>
      <w:pPr>
        <w:spacing w:after="0" w:line="24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December 31, 2015, the total unrecognized compensation charge related to 2012 Plan non-vested options is approximately $22.5 million, which is expected to be recognized through fiscal year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79"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On August 17, 2010, the Company entered into a Profits Interest Agreement with an executive whereby the Company issued a membership interest in the Company's predecessor in consideration of future services to be rendered. The Profits Interest Grant was to vest over a six year period. Upon consummation of the Company's reorganization to a corporation, the vested portion of the profits interest was exchanged for shares of common stock of Shutterstock, Inc. and the unvested portion was exchanged for shares of restricted stock having the same vesting terms as the profits interest. An Amended and Restated Restricted Stock Agreement entered into by the Company with the executive governs the terms of the restricted stock received in exchange for the unvested portion of the profits interest. Pursuant to the terms of the Amended and Restated Restricted Stock Agreement, 50% of the then-outstanding shares of restricted stock held by the executive vested and were released from the Company's right to acquire such shares upon the effectiveness of the Company's Registration Statement on October 10, 2012.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Awards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the Company's RSUs activity for the year ended December 31, 2015: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Weighted Average</w:t>
            </w:r>
          </w:p>
        </w:tc>
      </w:tr>
      <w:tr>
        <w:trPr>
          <w:trHeight w:val="192"/>
        </w:trPr>
        <w:tc>
          <w:tcPr>
            <w:tcW w:w="87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RSUs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2014</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652,897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81.45</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Units granted</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973,364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51.77</w:t>
            </w:r>
          </w:p>
        </w:tc>
      </w:tr>
      <w:tr>
        <w:trPr>
          <w:trHeight w:val="27"/>
        </w:trPr>
        <w:tc>
          <w:tcPr>
            <w:tcW w:w="8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 vested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77.96</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Units cancelled or 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(368,548)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74.23</w:t>
            </w:r>
          </w:p>
        </w:tc>
      </w:tr>
      <w:tr>
        <w:trPr>
          <w:trHeight w:val="27"/>
        </w:trPr>
        <w:tc>
          <w:tcPr>
            <w:tcW w:w="8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1,054,473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57.25</w:t>
            </w:r>
          </w:p>
        </w:tc>
      </w:tr>
      <w:tr>
        <w:trPr>
          <w:trHeight w:val="20"/>
        </w:trPr>
        <w:tc>
          <w:tcPr>
            <w:tcW w:w="8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In connection with the WebDAM acquisition, in order to retain the services of certain former WebDAM employees, the Company granted non-vested RSUs that will vest over two years from the date of acquisition. As these equity awards are subject to post-acquisition employment, the Company accounts for them as compensation expense. A portion of these equity awards are accounted for as liability-classified awards, because the obligations are based on fixed monetary amounts that are known at the inception of the obligation, to be settled with a variable number of shares of the Company's common stock when the equity awards vest.</w:t>
      </w:r>
    </w:p>
    <w:p>
      <w:pPr>
        <w:spacing w:after="0" w:line="24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December 31, 2015, the total unrecognized compensation charge related to the restricted stock units is approximately $45.8 million, which is expected to be recognized through fiscal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79"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On October 10, 2012, the Company's 2012 ESPP became effective. The 2012 ESPP provides participating employees with the option to purchase common stock through payroll deductions of up to 15% of eligible compensation and a maximum purchase of 1,000 shares during each offering period. The common stock is purchased at 85% of the lower of the fair market value of common stock on (1) the first trading day of the offering period, or (2) the last day of the offering period. The offering periods generally start on the first trading day on or after June 1 and December 1 of each year; however, the first such offering period commenced on October 10, 2012, the date the Company's Registration Statement was declared effective. An employee will not be granted rights to purchase common stock if an employee immediately after the grant would own stock possessing 5% or more of the total combined voting power or value of all classes of the Company's capital stock or holds rights to purchase stock under all of the Company's employee stock purchase plans that would accrue at a rate that exceeds $25,000 worth of stock for each calendar year. The Company has initially reserved 2,000,000 shares for issuance under the 2012 ESPP. The number of shares available for issuance under the 2012 ESPP provides for an annual increase commencing January 1, 2013 by an amount equal to the lesser of 1,000,000 shares of common stock, 3% of the outstanding shares of our common stock as of the last day of the immediately preceding fiscal year, or such other amount as determined by the Company's board of directors. As of December 31, 2015, approximately 179,000 shares have been issued under the 2012 ESPP. The number of shares of common stock available under the 2012 ESPP was automatically increased by 1,000,000 shares for each period on January 1, 2015 and 2014, pursuant to the automatic increase provisions of the 2012 ESPP.</w:t>
      </w:r>
    </w:p>
    <w:p>
      <w:pPr>
        <w:spacing w:after="0" w:line="229"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The Company estimates the fair value of purchase rights under the 2012 ESPP using the Black-Scholes valuation model. The fair value of each purchase right under the 2012 ESPP was estimated on the date of grant using the Black-Scholes option valuation model and the straight-line attribution approach with the following weighted-average assumptions: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Year Ended Year Ended December 31,</w:t>
            </w:r>
          </w:p>
        </w:tc>
        <w:tc>
          <w:tcPr>
            <w:tcW w:w="2160" w:type="dxa"/>
            <w:vAlign w:val="bottom"/>
            <w:tcBorders>
              <w:bottom w:val="single" w:sz="8" w:color="auto"/>
            </w:tcBorders>
          </w:tcPr>
          <w:p>
            <w:pPr>
              <w:spacing w:after="0"/>
              <w:rPr>
                <w:sz w:val="16"/>
                <w:szCs w:val="16"/>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2013</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0.50</w:t>
            </w:r>
          </w:p>
        </w:tc>
        <w:tc>
          <w:tcPr>
            <w:tcW w:w="23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c>
          <w:tcPr>
            <w:tcW w:w="2300" w:type="dxa"/>
            <w:vAlign w:val="bottom"/>
            <w:gridSpan w:val="3"/>
          </w:tcPr>
          <w:p>
            <w:pPr>
              <w:jc w:val="right"/>
              <w:ind w:right="39"/>
              <w:spacing w:after="0"/>
              <w:rPr>
                <w:sz w:val="20"/>
                <w:szCs w:val="20"/>
                <w:color w:val="auto"/>
              </w:rPr>
            </w:pPr>
            <w:r>
              <w:rPr>
                <w:rFonts w:ascii="Arial" w:cs="Arial" w:eastAsia="Arial" w:hAnsi="Arial"/>
                <w:sz w:val="18"/>
                <w:szCs w:val="18"/>
                <w:color w:val="auto"/>
              </w:rPr>
              <w:t>49% - 52%</w:t>
            </w:r>
          </w:p>
        </w:tc>
        <w:tc>
          <w:tcPr>
            <w:tcW w:w="10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49% - 50%</w:t>
            </w:r>
          </w:p>
        </w:tc>
      </w:tr>
      <w:tr>
        <w:trPr>
          <w:trHeight w:val="27"/>
        </w:trPr>
        <w:tc>
          <w:tcPr>
            <w:tcW w:w="4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0.07% - 0.42%</w:t>
            </w:r>
          </w:p>
        </w:tc>
        <w:tc>
          <w:tcPr>
            <w:tcW w:w="23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0.08% - 0.60%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0.08% - 0.10%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2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79"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79"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20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2015, the Company has not issued and has no plans to issue any shares of preferred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4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October 2015, the Company's Board of Directors approved a share repurchase program, pursuant to which the Company is authorized to purchase up to $100 million of its common stock. The Company expects to fund repurchases through a combination of cash on hand, cash generated by operations and future financing transactions, if needed. Accordingly, the share repurchase program is subject to the Company having available cash to fund repurchases. Under the share repurchase program, management is authorized to purchase shares from time to time through open market purchases or privately negotiated transactions at prevailing prices as permitted by securities laws and other legal requirements, and subject to market conditions and other factors.</w:t>
      </w:r>
    </w:p>
    <w:p>
      <w:pPr>
        <w:spacing w:after="0" w:line="77"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As of December 31, 2015, the Company has repurchased approximately 460,000 shares of its common stock under the share repurchase program at an average per-share cost of approximately $34.01, of which $0.8 million has not been paid and is included in accrued expenses as of December 31, 2015. As of December 31, 2015, the Company has $84.4 million remaining for purchases under the share repurchase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(Expense)/Income, net</w:t>
      </w:r>
    </w:p>
    <w:p>
      <w:pPr>
        <w:spacing w:after="0" w:line="22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presents a summary of the Company’s other (expense)/income activity included in the accompanying consolidated statements of operations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Change in contingent consideration fair value</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(4,770)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r>
      <w:tr>
        <w:trPr>
          <w:trHeight w:val="257"/>
        </w:trPr>
        <w:tc>
          <w:tcPr>
            <w:tcW w:w="6520" w:type="dxa"/>
            <w:vAlign w:val="bottom"/>
          </w:tcPr>
          <w:p>
            <w:pPr>
              <w:ind w:left="180"/>
              <w:spacing w:after="0"/>
              <w:rPr>
                <w:sz w:val="20"/>
                <w:szCs w:val="20"/>
                <w:color w:val="auto"/>
              </w:rPr>
            </w:pPr>
            <w:r>
              <w:rPr>
                <w:rFonts w:ascii="Arial" w:cs="Arial" w:eastAsia="Arial" w:hAnsi="Arial"/>
                <w:sz w:val="18"/>
                <w:szCs w:val="18"/>
                <w:color w:val="auto"/>
              </w:rPr>
              <w:t>Other (expense)/income, net</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28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connection with the follow-on offering in September 2013, Pixel Holdings Inc. ("Pixel Holdings"), an entity of which Jonathan Oringer, the Company's Founder, Chief Executive Officer and Chairman of the Board of Directors, was the sole stockholder, merged with and into the Company on September 18, 2013. In this merger, Mr. Oringer received an equivalent number of shares of common stock of the Company as the number that was previously owned by Pixel Holdings such that, following the merger, Mr. Oringer owns his interest in the Company directly rather than through Pixel Holdings. As a result of the merger, the Company assumed $0.2 million in liabilities primarily related to Pixel Holdings' normal operating activities. The Company paid these liabilities during the year ended December 31, 2013 and was fully indemnified by Mr. Oringer, as provided for in the merger agreement. The merger agreement also provided for certain customary representations and warranties.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Unaudited Quarterly Financial Data</w:t>
      </w:r>
    </w:p>
    <w:p>
      <w:pPr>
        <w:spacing w:after="0" w:line="283"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The following table sets forth, for the periods indicated, the Company's financial information for the eight most recent quarters ended December 31, 2015.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13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 2015</w:t>
            </w:r>
          </w:p>
        </w:tc>
        <w:tc>
          <w:tcPr>
            <w:tcW w:w="14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 2015</w:t>
            </w:r>
          </w:p>
        </w:tc>
        <w:tc>
          <w:tcPr>
            <w:tcW w:w="14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 2015</w:t>
            </w:r>
          </w:p>
        </w:tc>
        <w:tc>
          <w:tcPr>
            <w:tcW w:w="12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 2015</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 2014</w:t>
            </w:r>
          </w:p>
        </w:tc>
        <w:tc>
          <w:tcPr>
            <w:tcW w:w="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 2014</w:t>
            </w:r>
          </w:p>
        </w:tc>
        <w:tc>
          <w:tcPr>
            <w:tcW w:w="14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 2014</w:t>
            </w:r>
          </w:p>
        </w:tc>
        <w:tc>
          <w:tcPr>
            <w:tcW w:w="120" w:type="dxa"/>
            <w:vAlign w:val="bottom"/>
          </w:tcPr>
          <w:p>
            <w:pPr>
              <w:spacing w:after="0"/>
              <w:rPr>
                <w:sz w:val="12"/>
                <w:szCs w:val="12"/>
                <w:color w:val="auto"/>
              </w:rPr>
            </w:pPr>
          </w:p>
        </w:tc>
        <w:tc>
          <w:tcPr>
            <w:tcW w:w="780" w:type="dxa"/>
            <w:vAlign w:val="bottom"/>
          </w:tcPr>
          <w:p>
            <w:pPr>
              <w:jc w:val="right"/>
              <w:ind w:right="69"/>
              <w:spacing w:after="0"/>
              <w:rPr>
                <w:sz w:val="20"/>
                <w:szCs w:val="20"/>
                <w:color w:val="auto"/>
              </w:rPr>
            </w:pPr>
            <w:r>
              <w:rPr>
                <w:rFonts w:ascii="Arial" w:cs="Arial" w:eastAsia="Arial" w:hAnsi="Arial"/>
                <w:sz w:val="11"/>
                <w:szCs w:val="11"/>
                <w:b w:val="1"/>
                <w:bCs w:val="1"/>
                <w:color w:val="auto"/>
                <w:w w:val="94"/>
              </w:rPr>
              <w:t>Mar 31, 2014</w:t>
            </w:r>
          </w:p>
        </w:tc>
      </w:tr>
      <w:tr>
        <w:trPr>
          <w:trHeight w:val="22"/>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6"/>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63"/>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(in thousands, except per share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116,002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107,260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104,365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97,522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91,226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83,730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80,238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72,777</w:t>
            </w:r>
          </w:p>
        </w:tc>
      </w:tr>
      <w:tr>
        <w:trPr>
          <w:trHeight w:val="244"/>
        </w:trPr>
        <w:tc>
          <w:tcPr>
            <w:tcW w:w="3340" w:type="dxa"/>
            <w:vAlign w:val="bottom"/>
          </w:tcPr>
          <w:p>
            <w:pPr>
              <w:ind w:left="180"/>
              <w:spacing w:after="0"/>
              <w:rPr>
                <w:sz w:val="20"/>
                <w:szCs w:val="20"/>
                <w:color w:val="auto"/>
              </w:rPr>
            </w:pPr>
            <w:r>
              <w:rPr>
                <w:rFonts w:ascii="Arial" w:cs="Arial" w:eastAsia="Arial" w:hAnsi="Arial"/>
                <w:sz w:val="14"/>
                <w:szCs w:val="14"/>
                <w:color w:val="auto"/>
              </w:rPr>
              <w:t>Operating expenses</w:t>
            </w:r>
            <w:r>
              <w:rPr>
                <w:rFonts w:ascii="Arial" w:cs="Arial" w:eastAsia="Arial" w:hAnsi="Arial"/>
                <w:sz w:val="8"/>
                <w:szCs w:val="8"/>
                <w:color w:val="auto"/>
              </w:rPr>
              <w:t>(1)</w:t>
            </w: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47,944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44,512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42,545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39,525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33,260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32,047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29,112</w:t>
            </w: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Sales &amp; marketing</w:t>
            </w: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26,709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27,393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27,429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25,105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21,235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21,122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20,492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19,276</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development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10,189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7,777</w:t>
            </w:r>
          </w:p>
        </w:tc>
      </w:tr>
      <w:tr>
        <w:trPr>
          <w:trHeight w:val="264"/>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16,698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16,441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14,536</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13,972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10,671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10,265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7,538</w:t>
            </w:r>
          </w:p>
        </w:tc>
      </w:tr>
      <w:tr>
        <w:trPr>
          <w:trHeight w:val="25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100,973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99,173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94,699</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89,286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78,888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74,517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71,827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63,703</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8,087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9,666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8,236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8,411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9,074</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(expense)/ income, net</w:t>
            </w:r>
            <w:r>
              <w:rPr>
                <w:rFonts w:ascii="Arial" w:cs="Arial" w:eastAsia="Arial" w:hAnsi="Arial"/>
                <w:sz w:val="8"/>
                <w:szCs w:val="8"/>
                <w:color w:val="auto"/>
              </w:rPr>
              <w:t>(2)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11,669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7,320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9,609</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5,674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11,806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8,840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8,411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9,120</w:t>
            </w: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income tax</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3,217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4,272</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2,431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4,773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3,562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3,550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4,203</w:t>
            </w: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5,337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4,917</w:t>
            </w: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Undistributed earnings to participating</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6,869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4,103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5,337</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3,241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7,021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5,269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4,851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4,906</w:t>
            </w:r>
          </w:p>
        </w:tc>
      </w:tr>
      <w:tr>
        <w:trPr>
          <w:trHeight w:val="110"/>
        </w:trPr>
        <w:tc>
          <w:tcPr>
            <w:tcW w:w="33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Net income per common share available to common</w:t>
            </w: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0.15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0.14</w:t>
            </w: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35,975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36,040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35,864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35,452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35,304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35,027</w:t>
            </w:r>
          </w:p>
        </w:tc>
      </w:tr>
      <w:tr>
        <w:trPr>
          <w:trHeight w:val="258"/>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36,468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36,270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36,340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36,193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36,001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35,931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35,839</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71" w:lineRule="exact"/>
        <w:rPr>
          <w:sz w:val="20"/>
          <w:szCs w:val="20"/>
          <w:color w:val="auto"/>
        </w:rPr>
      </w:pPr>
    </w:p>
    <w:p>
      <w:pPr>
        <w:ind w:left="340" w:right="140" w:hanging="332"/>
        <w:spacing w:after="0" w:line="257"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the year ended December 31, 2014, the Company acquired certain non-exclusive licensing rights to distribute certain digital content in perpetuity in the amount of $0.7 million, which the Company placed into service during the year ended DecembeIncludes non-cash equity-based compensation of $28,860 and $23,768 for the years ended December 31, 2015 and 2014, respectively.</w:t>
      </w:r>
    </w:p>
    <w:p>
      <w:pPr>
        <w:spacing w:after="0" w:line="239" w:lineRule="exact"/>
        <w:rPr>
          <w:rFonts w:ascii="Arial" w:cs="Arial" w:eastAsia="Arial" w:hAnsi="Arial"/>
          <w:sz w:val="14"/>
          <w:szCs w:val="14"/>
          <w:color w:val="auto"/>
        </w:rPr>
      </w:pPr>
    </w:p>
    <w:p>
      <w:pPr>
        <w:ind w:left="340" w:right="20" w:hanging="332"/>
        <w:spacing w:after="0" w:line="312"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changes in fair value of contingent consideration related to the WebDAM (2015 and 2014) and PremiumBeat (2015) acquisitions; transaction gains and losses primarily related to cash balances of subsidiaries denominated in a currency other than the subsidiaries' functional currencies; and interest income and expense, which is not material in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SHUTTERSTOCK, INC.</w:t>
      </w:r>
    </w:p>
    <w:p>
      <w:pPr>
        <w:spacing w:after="0" w:line="67" w:lineRule="exact"/>
        <w:rPr>
          <w:sz w:val="20"/>
          <w:szCs w:val="20"/>
          <w:color w:val="auto"/>
        </w:rPr>
      </w:pPr>
    </w:p>
    <w:p>
      <w:pPr>
        <w:ind w:left="40"/>
        <w:spacing w:after="0"/>
        <w:tabs>
          <w:tab w:leader="none" w:pos="5040" w:val="left"/>
          <w:tab w:leader="none" w:pos="7720" w:val="left"/>
        </w:tabs>
        <w:rPr>
          <w:sz w:val="20"/>
          <w:szCs w:val="20"/>
          <w:color w:val="auto"/>
        </w:rPr>
      </w:pPr>
      <w:r>
        <w:rPr>
          <w:rFonts w:ascii="Arial" w:cs="Arial" w:eastAsia="Arial" w:hAnsi="Arial"/>
          <w:sz w:val="18"/>
          <w:szCs w:val="18"/>
          <w:color w:val="auto"/>
        </w:rPr>
        <w:t>Dated: February 24,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169545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7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Jonathan Oringer</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31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Jonathan Oringer, Steven Berns and Laurie Harrison,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4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9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2"/>
              </w:rPr>
              <w:t>Signature</w:t>
            </w:r>
          </w:p>
        </w:tc>
        <w:tc>
          <w:tcPr>
            <w:tcW w:w="6440" w:type="dxa"/>
            <w:vAlign w:val="bottom"/>
            <w:gridSpan w:val="3"/>
          </w:tcPr>
          <w:p>
            <w:pPr>
              <w:ind w:left="3120"/>
              <w:spacing w:after="0"/>
              <w:rPr>
                <w:sz w:val="20"/>
                <w:szCs w:val="20"/>
                <w:color w:val="auto"/>
              </w:rPr>
            </w:pPr>
            <w:r>
              <w:rPr>
                <w:rFonts w:ascii="Arial" w:cs="Arial" w:eastAsia="Arial" w:hAnsi="Arial"/>
                <w:sz w:val="14"/>
                <w:szCs w:val="14"/>
                <w:b w:val="1"/>
                <w:bCs w:val="1"/>
                <w:color w:val="auto"/>
              </w:rPr>
              <w:t>Title</w:t>
            </w:r>
          </w:p>
        </w:tc>
        <w:tc>
          <w:tcPr>
            <w:tcW w:w="152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19"/>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w w:val="97"/>
              </w:rPr>
              <w:t>Chairman of the Board, Chief Executive Officer and Director (Principal Executive</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5"/>
              </w:rPr>
              <w:t>/s/ JONATHAN ORINGER</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Officer)</w:t>
            </w:r>
          </w:p>
        </w:tc>
        <w:tc>
          <w:tcPr>
            <w:tcW w:w="1520" w:type="dxa"/>
            <w:vAlign w:val="bottom"/>
            <w:gridSpan w:val="3"/>
          </w:tcPr>
          <w:p>
            <w:pPr>
              <w:jc w:val="center"/>
              <w:ind w:left="260"/>
              <w:spacing w:after="0"/>
              <w:rPr>
                <w:sz w:val="20"/>
                <w:szCs w:val="20"/>
                <w:color w:val="auto"/>
              </w:rPr>
            </w:pPr>
            <w:r>
              <w:rPr>
                <w:rFonts w:ascii="Arial" w:cs="Arial" w:eastAsia="Arial" w:hAnsi="Arial"/>
                <w:sz w:val="16"/>
                <w:szCs w:val="16"/>
                <w:color w:val="auto"/>
                <w:w w:val="90"/>
              </w:rPr>
              <w:t>February 24, 2016</w:t>
            </w:r>
          </w:p>
        </w:tc>
      </w:tr>
      <w:tr>
        <w:trPr>
          <w:trHeight w:val="27"/>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0"/>
              </w:rPr>
              <w:t>Jonathan Oringer</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4"/>
              </w:rPr>
              <w:t>/s/ STEVEN BERNS</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520" w:type="dxa"/>
            <w:vAlign w:val="bottom"/>
            <w:gridSpan w:val="3"/>
          </w:tcPr>
          <w:p>
            <w:pPr>
              <w:jc w:val="center"/>
              <w:ind w:left="260"/>
              <w:spacing w:after="0"/>
              <w:rPr>
                <w:sz w:val="20"/>
                <w:szCs w:val="20"/>
                <w:color w:val="auto"/>
              </w:rPr>
            </w:pPr>
            <w:r>
              <w:rPr>
                <w:rFonts w:ascii="Arial" w:cs="Arial" w:eastAsia="Arial" w:hAnsi="Arial"/>
                <w:sz w:val="16"/>
                <w:szCs w:val="16"/>
                <w:color w:val="auto"/>
                <w:w w:val="90"/>
              </w:rPr>
              <w:t>February 24, 2016</w:t>
            </w:r>
          </w:p>
        </w:tc>
      </w:tr>
      <w:tr>
        <w:trPr>
          <w:trHeight w:val="27"/>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86"/>
              </w:rPr>
              <w:t>Steven Berns</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1"/>
              </w:rPr>
              <w:t>/s/ JEFF EPSTEIN</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260"/>
              <w:spacing w:after="0"/>
              <w:rPr>
                <w:sz w:val="20"/>
                <w:szCs w:val="20"/>
                <w:color w:val="auto"/>
              </w:rPr>
            </w:pPr>
            <w:r>
              <w:rPr>
                <w:rFonts w:ascii="Arial" w:cs="Arial" w:eastAsia="Arial" w:hAnsi="Arial"/>
                <w:sz w:val="16"/>
                <w:szCs w:val="16"/>
                <w:color w:val="auto"/>
                <w:w w:val="90"/>
              </w:rPr>
              <w:t>February 24, 2016</w:t>
            </w:r>
          </w:p>
        </w:tc>
      </w:tr>
      <w:tr>
        <w:trPr>
          <w:trHeight w:val="27"/>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1"/>
              </w:rPr>
              <w:t>Jeff Epstein</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3"/>
              </w:rPr>
              <w:t>/s/ PAUL J. HENNESSY</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260"/>
              <w:spacing w:after="0"/>
              <w:rPr>
                <w:sz w:val="20"/>
                <w:szCs w:val="20"/>
                <w:color w:val="auto"/>
              </w:rPr>
            </w:pPr>
            <w:r>
              <w:rPr>
                <w:rFonts w:ascii="Arial" w:cs="Arial" w:eastAsia="Arial" w:hAnsi="Arial"/>
                <w:sz w:val="16"/>
                <w:szCs w:val="16"/>
                <w:color w:val="auto"/>
                <w:w w:val="90"/>
              </w:rPr>
              <w:t>February 24, 2016</w:t>
            </w:r>
          </w:p>
        </w:tc>
      </w:tr>
      <w:tr>
        <w:trPr>
          <w:trHeight w:val="27"/>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87"/>
              </w:rPr>
              <w:t>Paul J. Hennessy</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5"/>
              </w:rPr>
              <w:t>/s/ THOMAS R. EVANS</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260"/>
              <w:spacing w:after="0"/>
              <w:rPr>
                <w:sz w:val="20"/>
                <w:szCs w:val="20"/>
                <w:color w:val="auto"/>
              </w:rPr>
            </w:pPr>
            <w:r>
              <w:rPr>
                <w:rFonts w:ascii="Arial" w:cs="Arial" w:eastAsia="Arial" w:hAnsi="Arial"/>
                <w:sz w:val="16"/>
                <w:szCs w:val="16"/>
                <w:color w:val="auto"/>
                <w:w w:val="90"/>
              </w:rPr>
              <w:t>February 24, 2016</w:t>
            </w:r>
          </w:p>
        </w:tc>
      </w:tr>
      <w:tr>
        <w:trPr>
          <w:trHeight w:val="27"/>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88"/>
              </w:rPr>
              <w:t>Thomas R. Evans</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6"/>
              </w:rPr>
              <w:t>/s/ JEFFREY LIEBERMAN</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jc w:val="center"/>
              <w:ind w:left="260"/>
              <w:spacing w:after="0"/>
              <w:rPr>
                <w:sz w:val="20"/>
                <w:szCs w:val="20"/>
                <w:color w:val="auto"/>
              </w:rPr>
            </w:pPr>
            <w:r>
              <w:rPr>
                <w:rFonts w:ascii="Arial" w:cs="Arial" w:eastAsia="Arial" w:hAnsi="Arial"/>
                <w:sz w:val="16"/>
                <w:szCs w:val="16"/>
                <w:color w:val="auto"/>
                <w:w w:val="90"/>
              </w:rPr>
              <w:t>February 24, 2016</w:t>
            </w:r>
          </w:p>
        </w:tc>
      </w:tr>
      <w:tr>
        <w:trPr>
          <w:trHeight w:val="27"/>
        </w:trPr>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1"/>
              </w:rPr>
              <w:t>Jeffrey Lieberman</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71"/>
        </w:trPr>
        <w:tc>
          <w:tcPr>
            <w:tcW w:w="9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34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6"/>
                <w:szCs w:val="6"/>
                <w:color w:val="auto"/>
              </w:rPr>
            </w:pP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6"/>
                <w:szCs w:val="6"/>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6"/>
                <w:szCs w:val="6"/>
                <w:color w:val="auto"/>
              </w:rPr>
            </w:pPr>
          </w:p>
        </w:tc>
        <w:tc>
          <w:tcPr>
            <w:tcW w:w="20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2.1</w:t>
            </w:r>
          </w:p>
        </w:tc>
        <w:tc>
          <w:tcPr>
            <w:tcW w:w="460" w:type="dxa"/>
            <w:vAlign w:val="bottom"/>
          </w:tcPr>
          <w:p>
            <w:pPr>
              <w:spacing w:after="0"/>
              <w:rPr>
                <w:sz w:val="13"/>
                <w:szCs w:val="13"/>
                <w:color w:val="auto"/>
              </w:rPr>
            </w:pPr>
          </w:p>
        </w:tc>
        <w:tc>
          <w:tcPr>
            <w:tcW w:w="446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96"/>
              </w:rPr>
              <w:t>Agreement and Plan of Merger, dated as of October 5, 2012, between the</w:t>
            </w:r>
          </w:p>
        </w:tc>
        <w:tc>
          <w:tcPr>
            <w:tcW w:w="10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S-1/A</w:t>
            </w:r>
          </w:p>
        </w:tc>
        <w:tc>
          <w:tcPr>
            <w:tcW w:w="1240" w:type="dxa"/>
            <w:vAlign w:val="bottom"/>
          </w:tcPr>
          <w:p>
            <w:pPr>
              <w:jc w:val="right"/>
              <w:spacing w:after="0" w:line="157" w:lineRule="exact"/>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3"/>
                <w:szCs w:val="13"/>
                <w:color w:val="auto"/>
              </w:rPr>
            </w:pPr>
          </w:p>
        </w:tc>
        <w:tc>
          <w:tcPr>
            <w:tcW w:w="10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2060" w:type="dxa"/>
            <w:vAlign w:val="bottom"/>
          </w:tcPr>
          <w:p>
            <w:pPr>
              <w:ind w:left="40"/>
              <w:spacing w:after="0" w:line="157" w:lineRule="exact"/>
              <w:rPr>
                <w:sz w:val="20"/>
                <w:szCs w:val="20"/>
                <w:color w:val="auto"/>
              </w:rPr>
            </w:pPr>
            <w:r>
              <w:rPr>
                <w:rFonts w:ascii="Arial" w:cs="Arial" w:eastAsia="Arial" w:hAnsi="Arial"/>
                <w:sz w:val="14"/>
                <w:szCs w:val="14"/>
                <w:color w:val="auto"/>
              </w:rPr>
              <w:t>October 5,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Registrant and Shutterstock Images LLC.</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460" w:type="dxa"/>
            <w:vAlign w:val="bottom"/>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8"/>
              </w:rPr>
              <w:t>Agreement and Plan of Merger, dated as of October 5, 2012, among the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October 5, 2012</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Registrant, Shutterstock Investors II, Inc., Insight Venture Partners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(Cayman) V, L.P., Shutterstock Investors III, Inc. and Insight Venture</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Partners V Coinvestment Fund, L.P.</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9"/>
              </w:rPr>
              <w:t>Amended and Restated Certificate of Incorporation of the Registrant, as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June 29,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currently in effect.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460" w:type="dxa"/>
            <w:vAlign w:val="bottom"/>
          </w:tcPr>
          <w:p>
            <w:pPr>
              <w:spacing w:after="0"/>
              <w:rPr>
                <w:sz w:val="17"/>
                <w:szCs w:val="17"/>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Amended and Restated Bylaws of the Registrant, as currently in effect.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236"/>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460" w:type="dxa"/>
            <w:vAlign w:val="bottom"/>
          </w:tcPr>
          <w:p>
            <w:pPr>
              <w:spacing w:after="0"/>
              <w:rPr>
                <w:sz w:val="20"/>
                <w:szCs w:val="20"/>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6"/>
              </w:rPr>
              <w:t>Registration Rights Agreement, dated as of October 5, 2012, between the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October 5,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Registrant and the investors listed on Schedule 1 thereto.</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9"/>
              </w:rPr>
              <w:t>Form of Indemnification Agreement between the Registrant and each of</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August 30,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its Officers and Directors.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2012 Omnibus Equity Incentive Plan and Form of Award Agreements.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February 27, 2015</w:t>
            </w:r>
          </w:p>
        </w:tc>
        <w:tc>
          <w:tcPr>
            <w:tcW w:w="0" w:type="dxa"/>
            <w:vAlign w:val="bottom"/>
          </w:tcPr>
          <w:p>
            <w:pPr>
              <w:spacing w:after="0"/>
              <w:rPr>
                <w:sz w:val="1"/>
                <w:szCs w:val="1"/>
                <w:color w:val="auto"/>
              </w:rPr>
            </w:pPr>
          </w:p>
        </w:tc>
      </w:tr>
      <w:tr>
        <w:trPr>
          <w:trHeight w:val="236"/>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2012 Employee Stock Purchase Plan and Form of Subscription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June 29,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Agreement.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Shutterstock, Inc. Short-Term Incentive Plan.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August 30, 2012</w:t>
            </w:r>
          </w:p>
        </w:tc>
        <w:tc>
          <w:tcPr>
            <w:tcW w:w="0" w:type="dxa"/>
            <w:vAlign w:val="bottom"/>
          </w:tcPr>
          <w:p>
            <w:pPr>
              <w:spacing w:after="0"/>
              <w:rPr>
                <w:sz w:val="1"/>
                <w:szCs w:val="1"/>
                <w:color w:val="auto"/>
              </w:rPr>
            </w:pPr>
          </w:p>
        </w:tc>
      </w:tr>
      <w:tr>
        <w:trPr>
          <w:trHeight w:val="236"/>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10.5(a)</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6"/>
              </w:rPr>
              <w:t>Employment Agreement between Shutterstock Images LLC and Jonathan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10.8(a)</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Oringer dated September 24,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10.5(b)</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Severance and Change in Control Agreement between Shutterstock</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10.8(b)</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Images LLC and Jonathan Oringer dated September 24,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10.5(c)</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9"/>
              </w:rPr>
              <w:t>Summary of Compensatory Arrangements with Jonathan Oringer, dated</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8-K</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12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2060" w:type="dxa"/>
            <w:vAlign w:val="bottom"/>
          </w:tcPr>
          <w:p>
            <w:pPr>
              <w:ind w:left="40"/>
              <w:spacing w:after="0"/>
              <w:rPr>
                <w:sz w:val="20"/>
                <w:szCs w:val="20"/>
                <w:color w:val="auto"/>
              </w:rPr>
            </w:pPr>
            <w:r>
              <w:rPr>
                <w:rFonts w:ascii="Arial" w:cs="Arial" w:eastAsia="Arial" w:hAnsi="Arial"/>
                <w:sz w:val="14"/>
                <w:szCs w:val="14"/>
                <w:color w:val="auto"/>
              </w:rPr>
              <w:t>April 28, 2014</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April 24, 2014.</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10.6(a)</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Employment Agreement between Shutterstock Images LLC and Thilo</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10.9(a)</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Semmelbauer dated March 21, 2010.</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10.6(b)</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Severance and Change in Control Agreement between Shutterstock</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10.9(b)</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Images LLC and Thilo Semmelbauer dated September 24,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10.6(c)</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Amended and Restated Restricted Stock Agreement between the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10-Q/A</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10.6(c)</w:t>
            </w:r>
          </w:p>
        </w:tc>
        <w:tc>
          <w:tcPr>
            <w:tcW w:w="2060" w:type="dxa"/>
            <w:vAlign w:val="bottom"/>
          </w:tcPr>
          <w:p>
            <w:pPr>
              <w:ind w:left="40"/>
              <w:spacing w:after="0"/>
              <w:rPr>
                <w:sz w:val="20"/>
                <w:szCs w:val="20"/>
                <w:color w:val="auto"/>
              </w:rPr>
            </w:pPr>
            <w:r>
              <w:rPr>
                <w:rFonts w:ascii="Arial" w:cs="Arial" w:eastAsia="Arial" w:hAnsi="Arial"/>
                <w:sz w:val="14"/>
                <w:szCs w:val="14"/>
                <w:color w:val="auto"/>
              </w:rPr>
              <w:t>December 19,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Registrant and Thilo Semmelbauer effective as of October 5,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10.6(d)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Amendment and Release Agreement dated December 26, 2014, and</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8-K</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January 9, 2015</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executed on January 5, 2015, between the Registrant and Thilo</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Semmelbauer.</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10.7(a)</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8"/>
              </w:rPr>
              <w:t>Employment Agreement between Shutterstock Images LLC and Timothy</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10.10(a)</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E. Bixby dated May 16, 2011.</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10.7(b)</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Severance and Change in Control Agreement between Shutterstock</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10.10(b)</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Images LLC and Timothy E. Bixby dated September 24,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10.7(c)</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5"/>
              </w:rPr>
              <w:t>Severance and Release Agreement by and between Shutterstock, Inc. and</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8-K</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October 8, 2015</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Timothy E. Bixby dated October 5, 2015.</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10.8(a)</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Employment Agreement between Shutterstock Images LLC and James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10.11(a)</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Chou dated September 24,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10.8(b)</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Severance and Change in Control Agreement between Shutterstock</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S-1/A</w:t>
            </w:r>
          </w:p>
        </w:tc>
        <w:tc>
          <w:tcPr>
            <w:tcW w:w="1240" w:type="dxa"/>
            <w:vAlign w:val="bottom"/>
          </w:tcPr>
          <w:p>
            <w:pPr>
              <w:jc w:val="right"/>
              <w:spacing w:after="0"/>
              <w:rPr>
                <w:sz w:val="20"/>
                <w:szCs w:val="20"/>
                <w:color w:val="auto"/>
              </w:rPr>
            </w:pPr>
            <w:r>
              <w:rPr>
                <w:rFonts w:ascii="Arial" w:cs="Arial" w:eastAsia="Arial" w:hAnsi="Arial"/>
                <w:sz w:val="14"/>
                <w:szCs w:val="14"/>
                <w:color w:val="auto"/>
              </w:rPr>
              <w:t>333-181376</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10.11(b)</w:t>
            </w:r>
          </w:p>
        </w:tc>
        <w:tc>
          <w:tcPr>
            <w:tcW w:w="2060" w:type="dxa"/>
            <w:vAlign w:val="bottom"/>
          </w:tcPr>
          <w:p>
            <w:pPr>
              <w:ind w:left="40"/>
              <w:spacing w:after="0"/>
              <w:rPr>
                <w:sz w:val="20"/>
                <w:szCs w:val="20"/>
                <w:color w:val="auto"/>
              </w:rPr>
            </w:pPr>
            <w:r>
              <w:rPr>
                <w:rFonts w:ascii="Arial" w:cs="Arial" w:eastAsia="Arial" w:hAnsi="Arial"/>
                <w:sz w:val="14"/>
                <w:szCs w:val="14"/>
                <w:color w:val="auto"/>
              </w:rPr>
              <w:t>September 27, 2012</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Images LLC and James Chou dated September 24, 2012.</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Employment Agreement by and between Shutterstock, Inc. and Steven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8-K</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August 6, 2015</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Berns dated August 5, 2015.</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10.10</w:t>
            </w:r>
          </w:p>
        </w:tc>
        <w:tc>
          <w:tcPr>
            <w:tcW w:w="460" w:type="dxa"/>
            <w:vAlign w:val="bottom"/>
          </w:tcPr>
          <w:p>
            <w:pPr>
              <w:spacing w:after="0"/>
              <w:rPr>
                <w:sz w:val="14"/>
                <w:szCs w:val="14"/>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w w:val="98"/>
              </w:rPr>
              <w:t>Lease Agreement, between Shutterstock, Inc. and Empire State Building</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May 10, 2013</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color w:val="auto"/>
              </w:rPr>
              <w:t>Company LLC, dated March 21, 2013.</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71"/>
        </w:trPr>
        <w:tc>
          <w:tcPr>
            <w:tcW w:w="7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46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6"/>
                <w:szCs w:val="6"/>
                <w:color w:val="auto"/>
              </w:rPr>
            </w:pPr>
          </w:p>
        </w:tc>
        <w:tc>
          <w:tcPr>
            <w:tcW w:w="13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6"/>
                <w:szCs w:val="6"/>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6"/>
                <w:szCs w:val="6"/>
                <w:color w:val="auto"/>
              </w:rPr>
            </w:pPr>
          </w:p>
        </w:tc>
        <w:tc>
          <w:tcPr>
            <w:tcW w:w="20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10.11</w:t>
            </w:r>
          </w:p>
        </w:tc>
        <w:tc>
          <w:tcPr>
            <w:tcW w:w="440" w:type="dxa"/>
            <w:vAlign w:val="bottom"/>
          </w:tcPr>
          <w:p>
            <w:pPr>
              <w:spacing w:after="0"/>
              <w:rPr>
                <w:sz w:val="13"/>
                <w:szCs w:val="13"/>
                <w:color w:val="auto"/>
              </w:rPr>
            </w:pPr>
          </w:p>
        </w:tc>
        <w:tc>
          <w:tcPr>
            <w:tcW w:w="4460" w:type="dxa"/>
            <w:vAlign w:val="bottom"/>
          </w:tcPr>
          <w:p>
            <w:pPr>
              <w:ind w:left="40"/>
              <w:spacing w:after="0" w:line="157" w:lineRule="exact"/>
              <w:rPr>
                <w:sz w:val="20"/>
                <w:szCs w:val="20"/>
                <w:color w:val="auto"/>
              </w:rPr>
            </w:pPr>
            <w:r>
              <w:rPr>
                <w:rFonts w:ascii="Arial" w:cs="Arial" w:eastAsia="Arial" w:hAnsi="Arial"/>
                <w:sz w:val="14"/>
                <w:szCs w:val="14"/>
                <w:color w:val="auto"/>
                <w:w w:val="94"/>
              </w:rPr>
              <w:t>First Lease Modification Agreement, by and between Shutterstock, Inc. and</w:t>
            </w:r>
          </w:p>
        </w:tc>
        <w:tc>
          <w:tcPr>
            <w:tcW w:w="11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10-Q</w:t>
            </w:r>
          </w:p>
        </w:tc>
        <w:tc>
          <w:tcPr>
            <w:tcW w:w="1360" w:type="dxa"/>
            <w:vAlign w:val="bottom"/>
          </w:tcPr>
          <w:p>
            <w:pPr>
              <w:jc w:val="right"/>
              <w:spacing w:after="0" w:line="157" w:lineRule="exact"/>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3"/>
                <w:szCs w:val="13"/>
                <w:color w:val="auto"/>
              </w:rPr>
            </w:pPr>
          </w:p>
        </w:tc>
        <w:tc>
          <w:tcPr>
            <w:tcW w:w="10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3"/>
                <w:szCs w:val="13"/>
                <w:color w:val="auto"/>
              </w:rPr>
            </w:pPr>
          </w:p>
        </w:tc>
        <w:tc>
          <w:tcPr>
            <w:tcW w:w="2060" w:type="dxa"/>
            <w:vAlign w:val="bottom"/>
          </w:tcPr>
          <w:p>
            <w:pPr>
              <w:ind w:left="40"/>
              <w:spacing w:after="0" w:line="157" w:lineRule="exact"/>
              <w:rPr>
                <w:sz w:val="20"/>
                <w:szCs w:val="20"/>
                <w:color w:val="auto"/>
              </w:rPr>
            </w:pPr>
            <w:r>
              <w:rPr>
                <w:rFonts w:ascii="Arial" w:cs="Arial" w:eastAsia="Arial" w:hAnsi="Arial"/>
                <w:sz w:val="14"/>
                <w:szCs w:val="14"/>
                <w:color w:val="auto"/>
              </w:rPr>
              <w:t>November 6, 2015</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ESRT Empire State Building, L.L.C., dated August 31, 2015.</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10.12</w:t>
            </w:r>
          </w:p>
        </w:tc>
        <w:tc>
          <w:tcPr>
            <w:tcW w:w="440" w:type="dxa"/>
            <w:vAlign w:val="bottom"/>
          </w:tcPr>
          <w:p>
            <w:pPr>
              <w:spacing w:after="0"/>
              <w:rPr>
                <w:sz w:val="14"/>
                <w:szCs w:val="14"/>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Second Lease Modification and Extension Agreement, by and between</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8-K</w:t>
            </w:r>
          </w:p>
        </w:tc>
        <w:tc>
          <w:tcPr>
            <w:tcW w:w="136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January 13, 2016</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60" w:type="dxa"/>
            <w:vAlign w:val="bottom"/>
          </w:tcPr>
          <w:p>
            <w:pPr>
              <w:ind w:left="40"/>
              <w:spacing w:after="0" w:line="149" w:lineRule="exact"/>
              <w:rPr>
                <w:sz w:val="20"/>
                <w:szCs w:val="20"/>
                <w:color w:val="auto"/>
              </w:rPr>
            </w:pPr>
            <w:r>
              <w:rPr>
                <w:rFonts w:ascii="Arial" w:cs="Arial" w:eastAsia="Arial" w:hAnsi="Arial"/>
                <w:sz w:val="14"/>
                <w:szCs w:val="14"/>
                <w:color w:val="auto"/>
                <w:w w:val="96"/>
              </w:rPr>
              <w:t>Shutterstock, Inc. and ESRT Empire State Building, L.L.C., dated January</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8, 2016.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10.13</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Shutterstock, Inc. Director Compensation Policy.</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10-Q</w:t>
            </w:r>
          </w:p>
        </w:tc>
        <w:tc>
          <w:tcPr>
            <w:tcW w:w="1360" w:type="dxa"/>
            <w:vAlign w:val="bottom"/>
          </w:tcPr>
          <w:p>
            <w:pPr>
              <w:jc w:val="right"/>
              <w:spacing w:after="0"/>
              <w:rPr>
                <w:sz w:val="20"/>
                <w:szCs w:val="20"/>
                <w:color w:val="auto"/>
              </w:rPr>
            </w:pPr>
            <w:r>
              <w:rPr>
                <w:rFonts w:ascii="Arial" w:cs="Arial" w:eastAsia="Arial" w:hAnsi="Arial"/>
                <w:sz w:val="14"/>
                <w:szCs w:val="14"/>
                <w:color w:val="auto"/>
              </w:rPr>
              <w:t>001-35669</w:t>
            </w:r>
          </w:p>
        </w:tc>
        <w:tc>
          <w:tcPr>
            <w:tcW w:w="1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May 11, 2015</w:t>
            </w:r>
          </w:p>
        </w:tc>
        <w:tc>
          <w:tcPr>
            <w:tcW w:w="0" w:type="dxa"/>
            <w:vAlign w:val="bottom"/>
          </w:tcPr>
          <w:p>
            <w:pPr>
              <w:spacing w:after="0"/>
              <w:rPr>
                <w:sz w:val="1"/>
                <w:szCs w:val="1"/>
                <w:color w:val="auto"/>
              </w:rPr>
            </w:pPr>
          </w:p>
        </w:tc>
      </w:tr>
      <w:tr>
        <w:trPr>
          <w:trHeight w:val="270"/>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List of Subsidiaries.</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23.1</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w w:val="96"/>
              </w:rPr>
              <w:t>Consent of PricewaterhouseCoopers LLP, Independent Registered Public</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Accounting Firm.</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w w:val="99"/>
              </w:rPr>
              <w:t>Power of Attorney (included on signature page of this Annual Report on</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Form 10-K).</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Exchange Act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60" w:type="dxa"/>
            <w:vAlign w:val="bottom"/>
          </w:tcPr>
          <w:p>
            <w:pPr>
              <w:ind w:left="40"/>
              <w:spacing w:after="0" w:line="149" w:lineRule="exact"/>
              <w:rPr>
                <w:sz w:val="20"/>
                <w:szCs w:val="20"/>
                <w:color w:val="auto"/>
              </w:rPr>
            </w:pPr>
            <w:r>
              <w:rPr>
                <w:rFonts w:ascii="Arial" w:cs="Arial" w:eastAsia="Arial" w:hAnsi="Arial"/>
                <w:sz w:val="14"/>
                <w:szCs w:val="14"/>
                <w:color w:val="auto"/>
                <w:w w:val="95"/>
              </w:rPr>
              <w:t>Rules 13a-14(a) and 15d-14(a), as adopted pursuant to Section 302 of the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31.2</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Exchange Act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60" w:type="dxa"/>
            <w:vAlign w:val="bottom"/>
          </w:tcPr>
          <w:p>
            <w:pPr>
              <w:ind w:left="40"/>
              <w:spacing w:after="0" w:line="149" w:lineRule="exact"/>
              <w:rPr>
                <w:sz w:val="20"/>
                <w:szCs w:val="20"/>
                <w:color w:val="auto"/>
              </w:rPr>
            </w:pPr>
            <w:r>
              <w:rPr>
                <w:rFonts w:ascii="Arial" w:cs="Arial" w:eastAsia="Arial" w:hAnsi="Arial"/>
                <w:sz w:val="14"/>
                <w:szCs w:val="14"/>
                <w:color w:val="auto"/>
                <w:w w:val="95"/>
              </w:rPr>
              <w:t>Rules 13a-14(a) and 15d-14(a), as adopted pursuant to Section 302 of the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32.1</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Certifications of Chief Executive Officer and Chief Financial Officer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60" w:type="dxa"/>
            <w:vAlign w:val="bottom"/>
          </w:tcPr>
          <w:p>
            <w:pPr>
              <w:ind w:left="40"/>
              <w:spacing w:after="0" w:line="149" w:lineRule="exact"/>
              <w:rPr>
                <w:sz w:val="20"/>
                <w:szCs w:val="20"/>
                <w:color w:val="auto"/>
              </w:rPr>
            </w:pPr>
            <w:r>
              <w:rPr>
                <w:rFonts w:ascii="Arial" w:cs="Arial" w:eastAsia="Arial" w:hAnsi="Arial"/>
                <w:sz w:val="14"/>
                <w:szCs w:val="14"/>
                <w:color w:val="auto"/>
                <w:w w:val="94"/>
              </w:rPr>
              <w:t>pursuant to 18 U.S.C. Section 1350, as adopted pursuant to Section 906 of</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Pr>
          <w:p>
            <w:pPr>
              <w:ind w:left="40"/>
              <w:spacing w:after="0"/>
              <w:rPr>
                <w:sz w:val="20"/>
                <w:szCs w:val="20"/>
                <w:color w:val="auto"/>
              </w:rPr>
            </w:pPr>
            <w:r>
              <w:rPr>
                <w:rFonts w:ascii="Arial" w:cs="Arial" w:eastAsia="Arial" w:hAnsi="Arial"/>
                <w:sz w:val="14"/>
                <w:szCs w:val="14"/>
                <w:color w:val="auto"/>
              </w:rPr>
              <w:t>the Sarbanes-Oxley Act of 2002.</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101.INS</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0" w:type="dxa"/>
            <w:vAlign w:val="bottom"/>
          </w:tcPr>
          <w:p>
            <w:pPr>
              <w:jc w:val="right"/>
              <w:ind w:right="68"/>
              <w:spacing w:after="0"/>
              <w:rPr>
                <w:sz w:val="20"/>
                <w:szCs w:val="20"/>
                <w:color w:val="auto"/>
              </w:rPr>
            </w:pPr>
            <w:r>
              <w:rPr>
                <w:rFonts w:ascii="Arial" w:cs="Arial" w:eastAsia="Arial" w:hAnsi="Arial"/>
                <w:sz w:val="14"/>
                <w:szCs w:val="14"/>
                <w:color w:val="auto"/>
                <w:w w:val="98"/>
              </w:rPr>
              <w:t>101.SCH</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101.CAL</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101.DEF</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20" w:type="dxa"/>
            <w:vAlign w:val="bottom"/>
          </w:tcPr>
          <w:p>
            <w:pPr>
              <w:jc w:val="right"/>
              <w:ind w:right="68"/>
              <w:spacing w:after="0"/>
              <w:rPr>
                <w:sz w:val="20"/>
                <w:szCs w:val="20"/>
                <w:color w:val="auto"/>
              </w:rPr>
            </w:pPr>
            <w:r>
              <w:rPr>
                <w:rFonts w:ascii="Arial" w:cs="Arial" w:eastAsia="Arial" w:hAnsi="Arial"/>
                <w:sz w:val="14"/>
                <w:szCs w:val="14"/>
                <w:color w:val="auto"/>
              </w:rPr>
              <w:t>101.LAB</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jc w:val="right"/>
              <w:ind w:right="68"/>
              <w:spacing w:after="0"/>
              <w:rPr>
                <w:sz w:val="20"/>
                <w:szCs w:val="20"/>
                <w:color w:val="auto"/>
              </w:rPr>
            </w:pPr>
            <w:r>
              <w:rPr>
                <w:rFonts w:ascii="Arial" w:cs="Arial" w:eastAsia="Arial" w:hAnsi="Arial"/>
                <w:sz w:val="14"/>
                <w:szCs w:val="14"/>
                <w:color w:val="auto"/>
                <w:w w:val="99"/>
              </w:rPr>
              <w:t>101.PRE</w:t>
            </w: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446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6" w:lineRule="exact"/>
        <w:rPr>
          <w:sz w:val="20"/>
          <w:szCs w:val="20"/>
          <w:color w:val="auto"/>
        </w:rPr>
      </w:pPr>
    </w:p>
    <w:p>
      <w:pPr>
        <w:ind w:left="660" w:right="60" w:hanging="652"/>
        <w:spacing w:after="0" w:line="257"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0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36" w:lineRule="exact"/>
        <w:rPr>
          <w:sz w:val="20"/>
          <w:szCs w:val="20"/>
          <w:color w:val="auto"/>
        </w:rPr>
      </w:pPr>
    </w:p>
    <w:p>
      <w:pPr>
        <w:ind w:left="660" w:right="320" w:hanging="652"/>
        <w:spacing w:after="0" w:line="273"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9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21.1</w:t>
      </w:r>
    </w:p>
    <w:p>
      <w:pPr>
        <w:spacing w:after="0" w:line="26" w:lineRule="exact"/>
        <w:rPr>
          <w:sz w:val="20"/>
          <w:szCs w:val="20"/>
          <w:color w:val="auto"/>
        </w:rPr>
      </w:pPr>
    </w:p>
    <w:tbl>
      <w:tblPr>
        <w:tblLayout w:type="fixed"/>
        <w:tblInd w:w="110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900" w:type="dxa"/>
            <w:vAlign w:val="bottom"/>
            <w:gridSpan w:val="3"/>
          </w:tcPr>
          <w:p>
            <w:pPr>
              <w:ind w:left="300"/>
              <w:spacing w:after="0"/>
              <w:rPr>
                <w:sz w:val="20"/>
                <w:szCs w:val="20"/>
                <w:color w:val="auto"/>
              </w:rPr>
            </w:pPr>
            <w:r>
              <w:rPr>
                <w:rFonts w:ascii="Arial" w:cs="Arial" w:eastAsia="Arial" w:hAnsi="Arial"/>
                <w:sz w:val="16"/>
                <w:szCs w:val="16"/>
                <w:b w:val="1"/>
                <w:bCs w:val="1"/>
                <w:color w:val="auto"/>
              </w:rPr>
              <w:t>LIST OF SUBSIDIARIES</w:t>
            </w:r>
            <w:r>
              <w:rPr>
                <w:rFonts w:ascii="Arial" w:cs="Arial" w:eastAsia="Arial" w:hAnsi="Arial"/>
                <w:sz w:val="21"/>
                <w:szCs w:val="21"/>
                <w:b w:val="1"/>
                <w:bCs w:val="1"/>
                <w:color w:val="auto"/>
                <w:vertAlign w:val="superscript"/>
              </w:rPr>
              <w:t>(1)</w:t>
            </w:r>
          </w:p>
        </w:tc>
      </w:tr>
      <w:tr>
        <w:trPr>
          <w:trHeight w:val="275"/>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418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Images C.V.</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The Netherlands</w:t>
            </w:r>
          </w:p>
        </w:tc>
      </w:tr>
      <w:tr>
        <w:trPr>
          <w:trHeight w:val="224"/>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SSTK Holdings C.V.</w:t>
            </w:r>
          </w:p>
        </w:tc>
        <w:tc>
          <w:tcPr>
            <w:tcW w:w="418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The Netherlands</w:t>
            </w:r>
          </w:p>
        </w:tc>
      </w:tr>
      <w:tr>
        <w:trPr>
          <w:trHeight w:val="3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Netherlands B.V.</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The Netherlands</w:t>
            </w:r>
          </w:p>
        </w:tc>
      </w:tr>
      <w:tr>
        <w:trPr>
          <w:trHeight w:val="224"/>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Shutterstock GmbH</w:t>
            </w:r>
          </w:p>
        </w:tc>
        <w:tc>
          <w:tcPr>
            <w:tcW w:w="418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3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(UK) Ltd.</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England</w:t>
            </w:r>
          </w:p>
        </w:tc>
      </w:tr>
      <w:tr>
        <w:trPr>
          <w:trHeight w:val="224"/>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Rex Features (Holdings) Ltd.</w:t>
            </w:r>
          </w:p>
        </w:tc>
        <w:tc>
          <w:tcPr>
            <w:tcW w:w="418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England</w:t>
            </w:r>
          </w:p>
        </w:tc>
      </w:tr>
      <w:tr>
        <w:trPr>
          <w:trHeight w:val="3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Rex Features Ltd.</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England</w:t>
            </w:r>
          </w:p>
        </w:tc>
      </w:tr>
      <w:tr>
        <w:trPr>
          <w:trHeight w:val="224"/>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Shutterstock (France) SAS</w:t>
            </w:r>
          </w:p>
        </w:tc>
        <w:tc>
          <w:tcPr>
            <w:tcW w:w="418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France</w:t>
            </w:r>
          </w:p>
        </w:tc>
      </w:tr>
      <w:tr>
        <w:trPr>
          <w:trHeight w:val="3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Italy Srl</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Italy</w:t>
            </w:r>
          </w:p>
        </w:tc>
      </w:tr>
      <w:tr>
        <w:trPr>
          <w:trHeight w:val="224"/>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Shutterstock Japan GK</w:t>
            </w:r>
          </w:p>
        </w:tc>
        <w:tc>
          <w:tcPr>
            <w:tcW w:w="418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3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Brazil Servicos de Imagem Ltda.</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Brazil</w:t>
            </w:r>
          </w:p>
        </w:tc>
      </w:tr>
      <w:tr>
        <w:trPr>
          <w:trHeight w:val="224"/>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Shutterstock Music Canada ULC</w:t>
            </w:r>
          </w:p>
        </w:tc>
        <w:tc>
          <w:tcPr>
            <w:tcW w:w="418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British Columbia</w:t>
            </w:r>
          </w:p>
        </w:tc>
      </w:tr>
      <w:tr>
        <w:trPr>
          <w:trHeight w:val="3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Shutterstock Images Canada ULC</w:t>
            </w:r>
          </w:p>
        </w:tc>
        <w:tc>
          <w:tcPr>
            <w:tcW w:w="4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British Columbia</w:t>
            </w:r>
          </w:p>
        </w:tc>
      </w:tr>
      <w:tr>
        <w:trPr>
          <w:trHeight w:val="237"/>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Shutterstock Singapore Pte. Ltd.</w:t>
            </w:r>
          </w:p>
        </w:tc>
        <w:tc>
          <w:tcPr>
            <w:tcW w:w="418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6"/>
                <w:szCs w:val="16"/>
                <w:color w:val="auto"/>
              </w:rPr>
              <w:t>Singapore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7"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Certain other subsidiaries of Shutterstock, Inc. have been omitted because, in the aggregate, they would not constitute a significant subsidiary.</w:t>
      </w:r>
    </w:p>
    <w:p>
      <w:pPr>
        <w:sectPr>
          <w:pgSz w:w="11900" w:h="16838" w:orient="portrait"/>
          <w:cols w:equalWidth="0" w:num="1">
            <w:col w:w="11380"/>
          </w:cols>
          <w:pgMar w:left="240" w:top="598" w:right="2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333-184371, 333-184544 and 333-202395) of Shutterstock Inc. of our report dated February 24, 2016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31.1</w:t>
      </w:r>
    </w:p>
    <w:p>
      <w:pPr>
        <w:spacing w:after="0" w:line="32" w:lineRule="exact"/>
        <w:rPr>
          <w:sz w:val="20"/>
          <w:szCs w:val="20"/>
          <w:color w:val="auto"/>
        </w:rPr>
      </w:pPr>
    </w:p>
    <w:p>
      <w:pPr>
        <w:jc w:val="center"/>
        <w:ind w:left="300" w:right="2300"/>
        <w:spacing w:after="0" w:line="279"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 Jonathan Oringer, certify that:</w:t>
      </w:r>
    </w:p>
    <w:p>
      <w:pPr>
        <w:spacing w:after="0" w:line="190"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Shutterstock, Inc.;</w:t>
      </w:r>
    </w:p>
    <w:p>
      <w:pPr>
        <w:spacing w:after="0" w:line="194" w:lineRule="exact"/>
        <w:rPr>
          <w:rFonts w:ascii="Arial" w:cs="Arial" w:eastAsia="Arial" w:hAnsi="Arial"/>
          <w:sz w:val="16"/>
          <w:szCs w:val="16"/>
          <w:color w:val="auto"/>
        </w:rPr>
      </w:pPr>
    </w:p>
    <w:p>
      <w:pPr>
        <w:ind w:left="420" w:right="220" w:hanging="412"/>
        <w:spacing w:after="0" w:line="310" w:lineRule="auto"/>
        <w:tabs>
          <w:tab w:leader="none" w:pos="4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420" w:right="200" w:hanging="412"/>
        <w:spacing w:after="0" w:line="275"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420" w:right="40" w:hanging="412"/>
        <w:spacing w:after="0" w:line="310" w:lineRule="auto"/>
        <w:tabs>
          <w:tab w:leader="none" w:pos="4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5"/>
          <w:szCs w:val="15"/>
          <w:color w:val="auto"/>
        </w:rPr>
      </w:pPr>
    </w:p>
    <w:p>
      <w:pPr>
        <w:jc w:val="both"/>
        <w:ind w:left="820" w:right="40" w:hanging="407"/>
        <w:spacing w:after="0" w:line="261"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820" w:right="100" w:hanging="407"/>
        <w:spacing w:after="0" w:line="261"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820" w:right="540" w:hanging="407"/>
        <w:spacing w:after="0" w:line="275"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820" w:right="200" w:hanging="407"/>
        <w:spacing w:after="0" w:line="261"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420" w:right="140" w:hanging="412"/>
        <w:spacing w:after="0" w:line="275"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3" w:lineRule="exact"/>
        <w:rPr>
          <w:rFonts w:ascii="Arial" w:cs="Arial" w:eastAsia="Arial" w:hAnsi="Arial"/>
          <w:sz w:val="16"/>
          <w:szCs w:val="16"/>
          <w:color w:val="auto"/>
        </w:rPr>
      </w:pPr>
    </w:p>
    <w:p>
      <w:pPr>
        <w:ind w:left="820" w:right="40" w:hanging="407"/>
        <w:spacing w:after="0" w:line="275"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820" w:right="320" w:hanging="407"/>
        <w:spacing w:after="0" w:line="275"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February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380"/>
          </w:cols>
          <w:pgMar w:left="240" w:top="598" w:right="279" w:bottom="1440" w:gutter="0" w:footer="0" w:header="0"/>
        </w:sectPr>
      </w:pPr>
    </w:p>
    <w:bookmarkStart w:id="95" w:name="page96"/>
    <w:bookmarkEnd w:id="95"/>
    <w:p>
      <w:pPr>
        <w:ind w:left="10360"/>
        <w:spacing w:after="0"/>
        <w:rPr>
          <w:sz w:val="20"/>
          <w:szCs w:val="20"/>
          <w:color w:val="auto"/>
        </w:rPr>
      </w:pPr>
      <w:r>
        <w:rPr>
          <w:rFonts w:ascii="Arial" w:cs="Arial" w:eastAsia="Arial" w:hAnsi="Arial"/>
          <w:sz w:val="16"/>
          <w:szCs w:val="16"/>
          <w:b w:val="1"/>
          <w:bCs w:val="1"/>
          <w:color w:val="auto"/>
        </w:rPr>
        <w:t>EXHIBIT 31.2</w:t>
      </w:r>
    </w:p>
    <w:p>
      <w:pPr>
        <w:spacing w:after="0" w:line="32" w:lineRule="exact"/>
        <w:rPr>
          <w:sz w:val="20"/>
          <w:szCs w:val="20"/>
          <w:color w:val="auto"/>
        </w:rPr>
      </w:pPr>
    </w:p>
    <w:p>
      <w:pPr>
        <w:jc w:val="center"/>
        <w:ind w:left="260" w:right="2340"/>
        <w:spacing w:after="0" w:line="279"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 Steven Berns, certify that:</w:t>
      </w:r>
    </w:p>
    <w:p>
      <w:pPr>
        <w:spacing w:after="0" w:line="190"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Shutterstock, Inc.;</w:t>
      </w:r>
    </w:p>
    <w:p>
      <w:pPr>
        <w:spacing w:after="0" w:line="194" w:lineRule="exact"/>
        <w:rPr>
          <w:rFonts w:ascii="Arial" w:cs="Arial" w:eastAsia="Arial" w:hAnsi="Arial"/>
          <w:sz w:val="16"/>
          <w:szCs w:val="16"/>
          <w:color w:val="auto"/>
        </w:rPr>
      </w:pPr>
    </w:p>
    <w:p>
      <w:pPr>
        <w:ind w:left="500" w:right="180" w:hanging="492"/>
        <w:spacing w:after="0" w:line="310" w:lineRule="auto"/>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500" w:right="160" w:hanging="492"/>
        <w:spacing w:after="0" w:line="275"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500" w:right="280" w:hanging="492"/>
        <w:spacing w:after="0" w:line="349"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7" w:lineRule="exact"/>
        <w:rPr>
          <w:rFonts w:ascii="Arial" w:cs="Arial" w:eastAsia="Arial" w:hAnsi="Arial"/>
          <w:sz w:val="14"/>
          <w:szCs w:val="14"/>
          <w:color w:val="auto"/>
        </w:rPr>
      </w:pPr>
    </w:p>
    <w:p>
      <w:pPr>
        <w:jc w:val="both"/>
        <w:ind w:left="900" w:hanging="406"/>
        <w:spacing w:after="0" w:line="261"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900" w:right="60" w:hanging="406"/>
        <w:spacing w:after="0" w:line="261"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00" w:right="500" w:hanging="406"/>
        <w:spacing w:after="0" w:line="275"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00" w:right="160" w:hanging="406"/>
        <w:spacing w:after="0" w:line="261"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500" w:right="100" w:hanging="492"/>
        <w:spacing w:after="0" w:line="275"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3" w:lineRule="exact"/>
        <w:rPr>
          <w:rFonts w:ascii="Arial" w:cs="Arial" w:eastAsia="Arial" w:hAnsi="Arial"/>
          <w:sz w:val="16"/>
          <w:szCs w:val="16"/>
          <w:color w:val="auto"/>
        </w:rPr>
      </w:pPr>
    </w:p>
    <w:p>
      <w:pPr>
        <w:ind w:left="900" w:right="660" w:hanging="406"/>
        <w:spacing w:after="0" w:line="275"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00" w:right="280" w:hanging="406"/>
        <w:spacing w:after="0" w:line="275"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60"/>
        <w:spacing w:after="0"/>
        <w:tabs>
          <w:tab w:leader="none" w:pos="5840" w:val="left"/>
          <w:tab w:leader="none" w:pos="6300" w:val="left"/>
        </w:tabs>
        <w:rPr>
          <w:sz w:val="20"/>
          <w:szCs w:val="20"/>
          <w:color w:val="auto"/>
        </w:rPr>
      </w:pPr>
      <w:r>
        <w:rPr>
          <w:rFonts w:ascii="Arial" w:cs="Arial" w:eastAsia="Arial" w:hAnsi="Arial"/>
          <w:sz w:val="16"/>
          <w:szCs w:val="16"/>
          <w:color w:val="auto"/>
        </w:rPr>
        <w:t>Date: February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34925</wp:posOffset>
            </wp:positionV>
            <wp:extent cx="3241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420"/>
          </w:cols>
          <w:pgMar w:left="240" w:top="598" w:right="239" w:bottom="1440" w:gutter="0" w:footer="0" w:header="0"/>
        </w:sectPr>
      </w:pPr>
    </w:p>
    <w:bookmarkStart w:id="96" w:name="page97"/>
    <w:bookmarkEnd w:id="96"/>
    <w:p>
      <w:pPr>
        <w:ind w:left="10360"/>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18 U.S.C. SECTION 1350,</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39" w:lineRule="exact"/>
        <w:rPr>
          <w:sz w:val="20"/>
          <w:szCs w:val="20"/>
          <w:color w:val="auto"/>
        </w:rPr>
      </w:pPr>
    </w:p>
    <w:p>
      <w:pPr>
        <w:ind w:firstLine="324"/>
        <w:spacing w:after="0" w:line="304" w:lineRule="auto"/>
        <w:rPr>
          <w:sz w:val="20"/>
          <w:szCs w:val="20"/>
          <w:color w:val="auto"/>
        </w:rPr>
      </w:pPr>
      <w:r>
        <w:rPr>
          <w:rFonts w:ascii="Arial" w:cs="Arial" w:eastAsia="Arial" w:hAnsi="Arial"/>
          <w:sz w:val="14"/>
          <w:szCs w:val="14"/>
          <w:color w:val="auto"/>
        </w:rPr>
        <w:t>In connection with the Annual Report on Form 10-K of Shutterstock, Inc. for the year ended December 31, 2015 as filed with the Securities and Exchange Commission on the date hereof (the "Report"), I, Jonathan Oringer,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19"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6"/>
          <w:szCs w:val="16"/>
          <w:color w:val="auto"/>
        </w:rPr>
        <w:t>Date: February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34925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Jonathan Oringer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73"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pacing w:after="0" w:line="262" w:lineRule="exact"/>
        <w:rPr>
          <w:sz w:val="20"/>
          <w:szCs w:val="20"/>
          <w:color w:val="auto"/>
        </w:rPr>
      </w:pPr>
    </w:p>
    <w:p>
      <w:pPr>
        <w:ind w:firstLine="324"/>
        <w:spacing w:after="0" w:line="304" w:lineRule="auto"/>
        <w:rPr>
          <w:sz w:val="20"/>
          <w:szCs w:val="20"/>
          <w:color w:val="auto"/>
        </w:rPr>
      </w:pPr>
      <w:r>
        <w:rPr>
          <w:rFonts w:ascii="Arial" w:cs="Arial" w:eastAsia="Arial" w:hAnsi="Arial"/>
          <w:sz w:val="14"/>
          <w:szCs w:val="14"/>
          <w:color w:val="auto"/>
        </w:rPr>
        <w:t>In connection with the Annual Report on Form 10-K of Shutterstock, Inc. for the year ended December 31, 2015 as filed with the Securities and Exchange Commission on the date hereof (the "Report"), I, Steven Berns,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319" w:lineRule="exact"/>
        <w:rPr>
          <w:sz w:val="20"/>
          <w:szCs w:val="20"/>
          <w:color w:val="auto"/>
        </w:rPr>
      </w:pPr>
    </w:p>
    <w:p>
      <w:pPr>
        <w:ind w:left="60"/>
        <w:spacing w:after="0"/>
        <w:tabs>
          <w:tab w:leader="none" w:pos="5840" w:val="left"/>
          <w:tab w:leader="none" w:pos="6300" w:val="left"/>
        </w:tabs>
        <w:rPr>
          <w:sz w:val="20"/>
          <w:szCs w:val="20"/>
          <w:color w:val="auto"/>
        </w:rPr>
      </w:pPr>
      <w:r>
        <w:rPr>
          <w:rFonts w:ascii="Arial" w:cs="Arial" w:eastAsia="Arial" w:hAnsi="Arial"/>
          <w:sz w:val="16"/>
          <w:szCs w:val="16"/>
          <w:color w:val="auto"/>
        </w:rPr>
        <w:t>Date: February 24,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34925</wp:posOffset>
            </wp:positionV>
            <wp:extent cx="3241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6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Steven Berns</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646"/>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2019-12-29T14:23:53Z</dcterms:created>
  <dcterms:modified xsi:type="dcterms:W3CDTF">2019-12-29T14:23:53Z</dcterms:modified>
</cp:coreProperties>
</file>