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11"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825690 100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8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80" w:hanging="302"/>
        <w:spacing w:after="0"/>
        <w:tabs>
          <w:tab w:leader="none" w:pos="1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5" w:lineRule="exact"/>
        <w:rPr>
          <w:rFonts w:ascii="MS PGothic" w:cs="MS PGothic" w:eastAsia="MS PGothic" w:hAnsi="MS PGothic"/>
          <w:sz w:val="18"/>
          <w:szCs w:val="18"/>
          <w:color w:val="auto"/>
        </w:rPr>
      </w:pPr>
    </w:p>
    <w:p>
      <w:pPr>
        <w:jc w:val="both"/>
        <w:ind w:left="1280" w:right="8860" w:hanging="2"/>
        <w:spacing w:after="0" w:line="225" w:lineRule="exact"/>
        <w:tabs>
          <w:tab w:leader="none" w:pos="15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13d-l(c)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13d-l(d)</w:t>
      </w:r>
    </w:p>
    <w:p>
      <w:pPr>
        <w:spacing w:after="0" w:line="183"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CUSIP No.</w:t>
            </w:r>
          </w:p>
        </w:tc>
        <w:tc>
          <w:tcPr>
            <w:tcW w:w="10040" w:type="dxa"/>
            <w:vAlign w:val="bottom"/>
            <w:tcBorders>
              <w:bottom w:val="single" w:sz="8" w:color="auto"/>
            </w:tcBorders>
          </w:tcPr>
          <w:p>
            <w:pPr>
              <w:jc w:val="right"/>
              <w:ind w:right="8570"/>
              <w:spacing w:after="0"/>
              <w:rPr>
                <w:sz w:val="20"/>
                <w:szCs w:val="20"/>
                <w:color w:val="auto"/>
              </w:rPr>
            </w:pPr>
            <w:r>
              <w:rPr>
                <w:rFonts w:ascii="Arial" w:cs="Arial" w:eastAsia="Arial" w:hAnsi="Arial"/>
                <w:sz w:val="18"/>
                <w:szCs w:val="18"/>
                <w:color w:val="auto"/>
              </w:rPr>
              <w:t>825690 100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-16510</wp:posOffset>
            </wp:positionV>
            <wp:extent cx="6449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398" w:lineRule="exact"/>
        <w:rPr>
          <w:sz w:val="20"/>
          <w:szCs w:val="20"/>
          <w:color w:val="auto"/>
        </w:rPr>
      </w:pPr>
    </w:p>
    <w:p>
      <w:pPr>
        <w:jc w:val="center"/>
        <w:ind w:left="660" w:right="9160" w:hanging="652"/>
        <w:spacing w:after="0" w:line="624" w:lineRule="auto"/>
        <w:tabs>
          <w:tab w:leader="none" w:pos="336"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Jonathan Oringer</w:t>
      </w:r>
    </w:p>
    <w:p>
      <w:pPr>
        <w:spacing w:after="0" w:line="42"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(a)</w:t>
      </w:r>
    </w:p>
    <w:p>
      <w:pPr>
        <w:spacing w:after="0" w:line="25" w:lineRule="exact"/>
        <w:rPr>
          <w:rFonts w:ascii="MS PGothic" w:cs="MS PGothic" w:eastAsia="MS PGothic" w:hAnsi="MS PGothic"/>
          <w:sz w:val="18"/>
          <w:szCs w:val="18"/>
          <w:color w:val="auto"/>
        </w:rPr>
      </w:pPr>
    </w:p>
    <w:p>
      <w:pPr>
        <w:ind w:left="860" w:hanging="204"/>
        <w:spacing w:after="0"/>
        <w:tabs>
          <w:tab w:leader="none" w:pos="8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(b)</w:t>
      </w:r>
    </w:p>
    <w:p>
      <w:pPr>
        <w:spacing w:after="0" w:line="3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ind w:left="60"/>
              <w:spacing w:after="0"/>
              <w:rPr>
                <w:sz w:val="20"/>
                <w:szCs w:val="20"/>
                <w:color w:val="auto"/>
              </w:rPr>
            </w:pPr>
            <w:r>
              <w:rPr>
                <w:rFonts w:ascii="Arial" w:cs="Arial" w:eastAsia="Arial" w:hAnsi="Arial"/>
                <w:sz w:val="18"/>
                <w:szCs w:val="18"/>
                <w:color w:val="auto"/>
              </w:rPr>
              <w:t>Number of</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5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7320" w:type="dxa"/>
            <w:vAlign w:val="bottom"/>
            <w:gridSpan w:val="2"/>
          </w:tcPr>
          <w:p>
            <w:pPr>
              <w:jc w:val="right"/>
              <w:ind w:right="6170"/>
              <w:spacing w:after="0"/>
              <w:rPr>
                <w:sz w:val="20"/>
                <w:szCs w:val="20"/>
                <w:color w:val="auto"/>
              </w:rPr>
            </w:pPr>
            <w:r>
              <w:rPr>
                <w:rFonts w:ascii="Arial" w:cs="Arial" w:eastAsia="Arial" w:hAnsi="Arial"/>
                <w:sz w:val="18"/>
                <w:szCs w:val="18"/>
                <w:color w:val="auto"/>
                <w:w w:val="88"/>
              </w:rPr>
              <w:t>18,486,327 (1)</w:t>
            </w:r>
          </w:p>
        </w:tc>
        <w:tc>
          <w:tcPr>
            <w:tcW w:w="0" w:type="dxa"/>
            <w:vAlign w:val="bottom"/>
          </w:tcPr>
          <w:p>
            <w:pPr>
              <w:spacing w:after="0"/>
              <w:rPr>
                <w:sz w:val="1"/>
                <w:szCs w:val="1"/>
                <w:color w:val="auto"/>
              </w:rPr>
            </w:pPr>
          </w:p>
        </w:tc>
      </w:tr>
      <w:tr>
        <w:trPr>
          <w:trHeight w:val="230"/>
        </w:trPr>
        <w:tc>
          <w:tcPr>
            <w:tcW w:w="1460" w:type="dxa"/>
            <w:vAlign w:val="bottom"/>
          </w:tcPr>
          <w:p>
            <w:pPr>
              <w:ind w:left="60"/>
              <w:spacing w:after="0"/>
              <w:rPr>
                <w:sz w:val="20"/>
                <w:szCs w:val="20"/>
                <w:color w:val="auto"/>
              </w:rPr>
            </w:pPr>
            <w:r>
              <w:rPr>
                <w:rFonts w:ascii="Arial" w:cs="Arial" w:eastAsia="Arial" w:hAnsi="Arial"/>
                <w:sz w:val="18"/>
                <w:szCs w:val="18"/>
                <w:color w:val="auto"/>
              </w:rPr>
              <w:t>Shares</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Beneficially</w:t>
            </w:r>
          </w:p>
        </w:tc>
        <w:tc>
          <w:tcPr>
            <w:tcW w:w="10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4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60"/>
              <w:spacing w:after="0"/>
              <w:rPr>
                <w:sz w:val="20"/>
                <w:szCs w:val="20"/>
                <w:color w:val="auto"/>
              </w:rPr>
            </w:pPr>
            <w:r>
              <w:rPr>
                <w:rFonts w:ascii="Arial" w:cs="Arial" w:eastAsia="Arial" w:hAnsi="Arial"/>
                <w:sz w:val="18"/>
                <w:szCs w:val="18"/>
                <w:color w:val="auto"/>
              </w:rPr>
              <w:t>Owned by</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1580" w:type="dxa"/>
            <w:vAlign w:val="bottom"/>
          </w:tcPr>
          <w:p>
            <w:pPr>
              <w:ind w:left="40"/>
              <w:spacing w:after="0"/>
              <w:rPr>
                <w:sz w:val="20"/>
                <w:szCs w:val="20"/>
                <w:color w:val="auto"/>
              </w:rPr>
            </w:pPr>
            <w:r>
              <w:rPr>
                <w:rFonts w:ascii="Arial" w:cs="Arial" w:eastAsia="Arial" w:hAnsi="Arial"/>
                <w:sz w:val="18"/>
                <w:szCs w:val="18"/>
                <w:color w:val="auto"/>
                <w:w w:val="89"/>
              </w:rPr>
              <w:t>Shared Voting Power</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60"/>
              <w:spacing w:after="0"/>
              <w:rPr>
                <w:sz w:val="20"/>
                <w:szCs w:val="20"/>
                <w:color w:val="auto"/>
              </w:rPr>
            </w:pPr>
            <w:r>
              <w:rPr>
                <w:rFonts w:ascii="Arial" w:cs="Arial" w:eastAsia="Arial" w:hAnsi="Arial"/>
                <w:sz w:val="18"/>
                <w:szCs w:val="18"/>
                <w:color w:val="auto"/>
              </w:rPr>
              <w:t>Each</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vMerge w:val="restart"/>
          </w:tcPr>
          <w:p>
            <w:pPr>
              <w:ind w:left="60"/>
              <w:spacing w:after="0"/>
              <w:rPr>
                <w:sz w:val="20"/>
                <w:szCs w:val="20"/>
                <w:color w:val="auto"/>
              </w:rPr>
            </w:pPr>
            <w:r>
              <w:rPr>
                <w:rFonts w:ascii="Arial" w:cs="Arial" w:eastAsia="Arial" w:hAnsi="Arial"/>
                <w:sz w:val="18"/>
                <w:szCs w:val="18"/>
                <w:color w:val="auto"/>
              </w:rPr>
              <w:t>Reporting</w:t>
            </w:r>
          </w:p>
        </w:tc>
        <w:tc>
          <w:tcPr>
            <w:tcW w:w="10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4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60"/>
              <w:spacing w:after="0"/>
              <w:rPr>
                <w:sz w:val="20"/>
                <w:szCs w:val="20"/>
                <w:color w:val="auto"/>
              </w:rPr>
            </w:pPr>
            <w:r>
              <w:rPr>
                <w:rFonts w:ascii="Arial" w:cs="Arial" w:eastAsia="Arial" w:hAnsi="Arial"/>
                <w:sz w:val="18"/>
                <w:szCs w:val="18"/>
                <w:color w:val="auto"/>
              </w:rPr>
              <w:t>Person</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Sole Dispositive Power</w:t>
            </w:r>
          </w:p>
        </w:tc>
        <w:tc>
          <w:tcPr>
            <w:tcW w:w="6980" w:type="dxa"/>
            <w:vAlign w:val="bottom"/>
          </w:tcPr>
          <w:p>
            <w:pPr>
              <w:jc w:val="right"/>
              <w:ind w:right="5830"/>
              <w:spacing w:after="0"/>
              <w:rPr>
                <w:sz w:val="20"/>
                <w:szCs w:val="20"/>
                <w:color w:val="auto"/>
              </w:rPr>
            </w:pPr>
            <w:r>
              <w:rPr>
                <w:rFonts w:ascii="Arial" w:cs="Arial" w:eastAsia="Arial" w:hAnsi="Arial"/>
                <w:sz w:val="18"/>
                <w:szCs w:val="18"/>
                <w:color w:val="auto"/>
                <w:w w:val="88"/>
              </w:rPr>
              <w:t>18,486,327 (1)</w:t>
            </w:r>
          </w:p>
        </w:tc>
        <w:tc>
          <w:tcPr>
            <w:tcW w:w="0" w:type="dxa"/>
            <w:vAlign w:val="bottom"/>
          </w:tcPr>
          <w:p>
            <w:pPr>
              <w:spacing w:after="0"/>
              <w:rPr>
                <w:sz w:val="1"/>
                <w:szCs w:val="1"/>
                <w:color w:val="auto"/>
              </w:rPr>
            </w:pPr>
          </w:p>
        </w:tc>
      </w:tr>
      <w:tr>
        <w:trPr>
          <w:trHeight w:val="230"/>
        </w:trPr>
        <w:tc>
          <w:tcPr>
            <w:tcW w:w="1460" w:type="dxa"/>
            <w:vAlign w:val="bottom"/>
          </w:tcPr>
          <w:p>
            <w:pPr>
              <w:ind w:left="40"/>
              <w:spacing w:after="0"/>
              <w:rPr>
                <w:sz w:val="20"/>
                <w:szCs w:val="20"/>
                <w:color w:val="auto"/>
              </w:rPr>
            </w:pPr>
            <w:r>
              <w:rPr>
                <w:rFonts w:ascii="Arial" w:cs="Arial" w:eastAsia="Arial" w:hAnsi="Arial"/>
                <w:sz w:val="18"/>
                <w:szCs w:val="18"/>
                <w:color w:val="auto"/>
              </w:rPr>
              <w:t>With:</w:t>
            </w: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20" w:type="dxa"/>
            <w:vAlign w:val="bottom"/>
            <w:tcBorders>
              <w:bottom w:val="single" w:sz="8" w:color="auto"/>
            </w:tcBorders>
            <w:gridSpan w:val="2"/>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146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920" w:type="dxa"/>
            <w:vAlign w:val="bottom"/>
            <w:gridSpan w:val="2"/>
          </w:tcPr>
          <w:p>
            <w:pPr>
              <w:ind w:left="40"/>
              <w:spacing w:after="0"/>
              <w:rPr>
                <w:sz w:val="20"/>
                <w:szCs w:val="20"/>
                <w:color w:val="auto"/>
              </w:rPr>
            </w:pPr>
            <w:r>
              <w:rPr>
                <w:rFonts w:ascii="Arial" w:cs="Arial" w:eastAsia="Arial" w:hAnsi="Arial"/>
                <w:sz w:val="18"/>
                <w:szCs w:val="18"/>
                <w:color w:val="auto"/>
                <w:w w:val="90"/>
              </w:rPr>
              <w:t>Shared Dispositive Power</w:t>
            </w:r>
          </w:p>
        </w:tc>
        <w:tc>
          <w:tcPr>
            <w:tcW w:w="6980" w:type="dxa"/>
            <w:vAlign w:val="bottom"/>
          </w:tcPr>
          <w:p>
            <w:pPr>
              <w:jc w:val="right"/>
              <w:ind w:right="66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1140" w:type="dxa"/>
            <w:vAlign w:val="bottom"/>
          </w:tcPr>
          <w:p>
            <w:pPr>
              <w:ind w:left="60"/>
              <w:spacing w:after="0"/>
              <w:rPr>
                <w:sz w:val="20"/>
                <w:szCs w:val="20"/>
                <w:color w:val="auto"/>
              </w:rPr>
            </w:pPr>
            <w:r>
              <w:rPr>
                <w:rFonts w:ascii="Arial" w:cs="Arial" w:eastAsia="Arial" w:hAnsi="Arial"/>
                <w:sz w:val="18"/>
                <w:szCs w:val="18"/>
                <w:color w:val="auto"/>
              </w:rPr>
              <w:t>Aggregate Amount Beneficially Owned by Each Reporting Person  18,486,327 (1)</w:t>
            </w:r>
          </w:p>
        </w:tc>
      </w:tr>
      <w:tr>
        <w:trPr>
          <w:trHeight w:val="54"/>
        </w:trPr>
        <w:tc>
          <w:tcPr>
            <w:tcW w:w="280" w:type="dxa"/>
            <w:vAlign w:val="bottom"/>
            <w:tcBorders>
              <w:bottom w:val="single" w:sz="8" w:color="auto"/>
            </w:tcBorders>
          </w:tcPr>
          <w:p>
            <w:pPr>
              <w:spacing w:after="0"/>
              <w:rPr>
                <w:sz w:val="4"/>
                <w:szCs w:val="4"/>
                <w:color w:val="auto"/>
              </w:rPr>
            </w:pPr>
          </w:p>
        </w:tc>
        <w:tc>
          <w:tcPr>
            <w:tcW w:w="11140" w:type="dxa"/>
            <w:vAlign w:val="bottom"/>
            <w:tcBorders>
              <w:bottom w:val="single" w:sz="8" w:color="auto"/>
            </w:tcBorders>
          </w:tcPr>
          <w:p>
            <w:pPr>
              <w:spacing w:after="0"/>
              <w:rPr>
                <w:sz w:val="4"/>
                <w:szCs w:val="4"/>
                <w:color w:val="auto"/>
              </w:rPr>
            </w:pPr>
          </w:p>
        </w:tc>
      </w:tr>
      <w:tr>
        <w:trPr>
          <w:trHeight w:val="493"/>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1140" w:type="dxa"/>
            <w:vAlign w:val="bottom"/>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r>
      <w:tr>
        <w:trPr>
          <w:trHeight w:val="270"/>
        </w:trPr>
        <w:tc>
          <w:tcPr>
            <w:tcW w:w="280" w:type="dxa"/>
            <w:vAlign w:val="bottom"/>
            <w:tcBorders>
              <w:bottom w:val="single" w:sz="8" w:color="auto"/>
            </w:tcBorders>
          </w:tcPr>
          <w:p>
            <w:pPr>
              <w:spacing w:after="0"/>
              <w:rPr>
                <w:sz w:val="23"/>
                <w:szCs w:val="23"/>
                <w:color w:val="auto"/>
              </w:rPr>
            </w:pPr>
          </w:p>
        </w:tc>
        <w:tc>
          <w:tcPr>
            <w:tcW w:w="11140" w:type="dxa"/>
            <w:vAlign w:val="bottom"/>
            <w:tcBorders>
              <w:bottom w:val="single" w:sz="8" w:color="auto"/>
            </w:tcBorders>
          </w:tcPr>
          <w:p>
            <w:pPr>
              <w:spacing w:after="0"/>
              <w:rPr>
                <w:sz w:val="23"/>
                <w:szCs w:val="23"/>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11140" w:type="dxa"/>
            <w:vAlign w:val="bottom"/>
          </w:tcPr>
          <w:p>
            <w:pPr>
              <w:ind w:left="60"/>
              <w:spacing w:after="0"/>
              <w:rPr>
                <w:sz w:val="20"/>
                <w:szCs w:val="20"/>
                <w:color w:val="auto"/>
              </w:rPr>
            </w:pPr>
            <w:r>
              <w:rPr>
                <w:rFonts w:ascii="Arial" w:cs="Arial" w:eastAsia="Arial" w:hAnsi="Arial"/>
                <w:sz w:val="18"/>
                <w:szCs w:val="18"/>
                <w:color w:val="auto"/>
              </w:rPr>
              <w:t>Percent of Class Represented by Amount in Row (9)  55.2% (2)</w:t>
            </w:r>
          </w:p>
        </w:tc>
      </w:tr>
      <w:tr>
        <w:trPr>
          <w:trHeight w:val="270"/>
        </w:trPr>
        <w:tc>
          <w:tcPr>
            <w:tcW w:w="280" w:type="dxa"/>
            <w:vAlign w:val="bottom"/>
            <w:tcBorders>
              <w:bottom w:val="single" w:sz="8" w:color="auto"/>
            </w:tcBorders>
          </w:tcPr>
          <w:p>
            <w:pPr>
              <w:spacing w:after="0"/>
              <w:rPr>
                <w:sz w:val="23"/>
                <w:szCs w:val="23"/>
                <w:color w:val="auto"/>
              </w:rPr>
            </w:pPr>
          </w:p>
        </w:tc>
        <w:tc>
          <w:tcPr>
            <w:tcW w:w="11140" w:type="dxa"/>
            <w:vAlign w:val="bottom"/>
            <w:tcBorders>
              <w:bottom w:val="single" w:sz="8" w:color="auto"/>
            </w:tcBorders>
          </w:tcPr>
          <w:p>
            <w:pPr>
              <w:spacing w:after="0"/>
              <w:rPr>
                <w:sz w:val="23"/>
                <w:szCs w:val="23"/>
                <w:color w:val="auto"/>
              </w:rPr>
            </w:pPr>
          </w:p>
        </w:tc>
      </w:tr>
      <w:tr>
        <w:trPr>
          <w:trHeight w:val="291"/>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11140" w:type="dxa"/>
            <w:vAlign w:val="bottom"/>
          </w:tcPr>
          <w:p>
            <w:pPr>
              <w:ind w:left="60"/>
              <w:spacing w:after="0"/>
              <w:rPr>
                <w:sz w:val="20"/>
                <w:szCs w:val="20"/>
                <w:color w:val="auto"/>
              </w:rPr>
            </w:pPr>
            <w:r>
              <w:rPr>
                <w:rFonts w:ascii="Arial" w:cs="Arial" w:eastAsia="Arial" w:hAnsi="Arial"/>
                <w:sz w:val="18"/>
                <w:szCs w:val="18"/>
                <w:color w:val="auto"/>
              </w:rPr>
              <w:t>Type of Reporting Person (See Instructions)  IN</w:t>
            </w:r>
          </w:p>
        </w:tc>
      </w:tr>
      <w:tr>
        <w:trPr>
          <w:trHeight w:val="54"/>
        </w:trPr>
        <w:tc>
          <w:tcPr>
            <w:tcW w:w="280" w:type="dxa"/>
            <w:vAlign w:val="bottom"/>
            <w:tcBorders>
              <w:bottom w:val="single" w:sz="8" w:color="auto"/>
            </w:tcBorders>
          </w:tcPr>
          <w:p>
            <w:pPr>
              <w:spacing w:after="0"/>
              <w:rPr>
                <w:sz w:val="4"/>
                <w:szCs w:val="4"/>
                <w:color w:val="auto"/>
              </w:rPr>
            </w:pPr>
          </w:p>
        </w:tc>
        <w:tc>
          <w:tcPr>
            <w:tcW w:w="11140" w:type="dxa"/>
            <w:vAlign w:val="bottom"/>
            <w:tcBorders>
              <w:bottom w:val="single" w:sz="8" w:color="auto"/>
            </w:tcBorders>
          </w:tcPr>
          <w:p>
            <w:pPr>
              <w:spacing w:after="0"/>
              <w:rPr>
                <w:sz w:val="4"/>
                <w:szCs w:val="4"/>
                <w:color w:val="auto"/>
              </w:rPr>
            </w:pPr>
          </w:p>
        </w:tc>
      </w:tr>
    </w:tbl>
    <w:p>
      <w:pPr>
        <w:spacing w:after="0" w:line="269"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shares are held directly by Pixel Holdings Inc. The Reporting Person is the sole stockholder of Pixel Holdings Inc. and has sole voting and dispositive control over the shares.</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 total of 33,513,281 shares of the Issuer’s Common Stock outstanding as of November 16, 2012, as reported in the Issuer’s Quarterly Report on Form 10-Q for the period ended September 30, 2012.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100" w:right="9040" w:hanging="677"/>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Shutterstock, Inc.</w:t>
      </w:r>
    </w:p>
    <w:p>
      <w:pPr>
        <w:spacing w:after="0" w:line="123" w:lineRule="exact"/>
        <w:rPr>
          <w:rFonts w:ascii="Arial" w:cs="Arial" w:eastAsia="Arial" w:hAnsi="Arial"/>
          <w:sz w:val="16"/>
          <w:szCs w:val="16"/>
          <w:color w:val="auto"/>
        </w:rPr>
      </w:pPr>
    </w:p>
    <w:p>
      <w:pPr>
        <w:ind w:left="720" w:hanging="29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60 Broad Street, 30th Floor, 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11" w:lineRule="exact"/>
        <w:rPr>
          <w:sz w:val="20"/>
          <w:szCs w:val="20"/>
          <w:color w:val="auto"/>
        </w:rPr>
      </w:pPr>
    </w:p>
    <w:p>
      <w:pPr>
        <w:jc w:val="right"/>
        <w:ind w:left="1100" w:right="9000" w:hanging="677"/>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Jonathan Oringer</w:t>
      </w:r>
    </w:p>
    <w:p>
      <w:pPr>
        <w:spacing w:after="0" w:line="123" w:lineRule="exact"/>
        <w:rPr>
          <w:rFonts w:ascii="Arial" w:cs="Arial" w:eastAsia="Arial" w:hAnsi="Arial"/>
          <w:sz w:val="16"/>
          <w:szCs w:val="16"/>
          <w:color w:val="auto"/>
        </w:rPr>
      </w:pPr>
    </w:p>
    <w:p>
      <w:pPr>
        <w:ind w:left="720" w:hanging="29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 Shutterstock, Inc., 60 Broad Street, 30th Floor, New York, NY 10004</w:t>
      </w:r>
    </w:p>
    <w:p>
      <w:pPr>
        <w:spacing w:after="0" w:line="211" w:lineRule="exact"/>
        <w:rPr>
          <w:sz w:val="20"/>
          <w:szCs w:val="20"/>
          <w:color w:val="auto"/>
        </w:rPr>
      </w:pPr>
    </w:p>
    <w:p>
      <w:pPr>
        <w:ind w:left="1100" w:right="9340" w:hanging="677"/>
        <w:spacing w:after="0" w:line="381" w:lineRule="auto"/>
        <w:tabs>
          <w:tab w:leader="none" w:pos="765"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United States</w:t>
      </w:r>
    </w:p>
    <w:p>
      <w:pPr>
        <w:spacing w:after="0" w:line="100" w:lineRule="exact"/>
        <w:rPr>
          <w:rFonts w:ascii="Arial" w:cs="Arial" w:eastAsia="Arial" w:hAnsi="Arial"/>
          <w:sz w:val="15"/>
          <w:szCs w:val="15"/>
          <w:color w:val="auto"/>
        </w:rPr>
      </w:pPr>
    </w:p>
    <w:p>
      <w:pPr>
        <w:ind w:left="720" w:hanging="29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Common Stock, par value $0.01 per share</w:t>
      </w:r>
    </w:p>
    <w:p>
      <w:pPr>
        <w:spacing w:after="0" w:line="211" w:lineRule="exact"/>
        <w:rPr>
          <w:sz w:val="20"/>
          <w:szCs w:val="20"/>
          <w:color w:val="auto"/>
        </w:rPr>
      </w:pPr>
    </w:p>
    <w:p>
      <w:pPr>
        <w:ind w:left="1100" w:right="9460" w:hanging="677"/>
        <w:spacing w:after="0" w:line="381" w:lineRule="auto"/>
        <w:tabs>
          <w:tab w:leader="none" w:pos="765" w:val="left"/>
        </w:tabs>
        <w:numPr>
          <w:ilvl w:val="0"/>
          <w:numId w:val="7"/>
        </w:numPr>
        <w:rPr>
          <w:rFonts w:ascii="Arial" w:cs="Arial" w:eastAsia="Arial" w:hAnsi="Arial"/>
          <w:sz w:val="15"/>
          <w:szCs w:val="15"/>
          <w:color w:val="auto"/>
        </w:rPr>
      </w:pPr>
      <w:r>
        <w:rPr>
          <w:rFonts w:ascii="Arial" w:cs="Arial" w:eastAsia="Arial" w:hAnsi="Arial"/>
          <w:sz w:val="15"/>
          <w:szCs w:val="15"/>
          <w:color w:val="auto"/>
        </w:rPr>
        <w:t>CUSIP No.: 825690 100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§§240.13d-l(b) or 240.13d-2(b) or (c), check whether the person filing is a:</w:t>
      </w:r>
    </w:p>
    <w:p>
      <w:pPr>
        <w:spacing w:after="0" w:line="197" w:lineRule="exact"/>
        <w:rPr>
          <w:sz w:val="20"/>
          <w:szCs w:val="20"/>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§240.13d-l(b)(l)(ii)(E);</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§240.13d-l(b)(l)(ii)(F);</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240.13d-l(b)(l)(ii)(G);</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660" w:hanging="328"/>
        <w:spacing w:after="0" w:line="239"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§240.13d-l(b)(l)(ii)(J).</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§240.13d-l(b)(l)(ii)(K).</w:t>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filing as a non-U.S. institution in accordance with §240.13d-l(b)(l)(ii)(J), please specify the type of institution: 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3" w:name="page4"/>
    <w:bookmarkEnd w:id="3"/>
    <w:p>
      <w:pPr>
        <w:spacing w:after="0"/>
        <w:tabs>
          <w:tab w:leader="none" w:pos="640" w:val="left"/>
        </w:tabs>
        <w:rPr>
          <w:sz w:val="20"/>
          <w:szCs w:val="20"/>
          <w:color w:val="auto"/>
        </w:rPr>
      </w:pPr>
      <w:r>
        <w:rPr>
          <w:rFonts w:ascii="Arial" w:cs="Arial" w:eastAsia="Arial" w:hAnsi="Arial"/>
          <w:sz w:val="18"/>
          <w:szCs w:val="18"/>
          <w:b w:val="1"/>
          <w:bCs w:val="1"/>
          <w:color w:val="auto"/>
        </w:rPr>
        <w:t>Item4.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Amount beneficially owned: 18,486,327</w:t>
      </w:r>
    </w:p>
    <w:p>
      <w:pPr>
        <w:spacing w:after="0" w:line="225"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color w:val="auto"/>
        </w:rPr>
        <w:t>These shares are held directly by Pixel Holdings Inc. The Reporting Person is the sole stockholder of Pixel Holdings Inc. and has sole voting and dispositive control over the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Percent of class: 55.2%</w:t>
      </w:r>
    </w:p>
    <w:p>
      <w:pPr>
        <w:spacing w:after="0" w:line="225"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Based on a total of 33,513,281 shares of the Issuer’s Common Stock outstanding as of November 16, 2012, as reported in the Issuer’s Quarterly Report on Form 10-Q for the period ended September 30, 2012.</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340" w:hanging="495"/>
        <w:spacing w:after="0"/>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18,486,327</w:t>
      </w:r>
    </w:p>
    <w:p>
      <w:pPr>
        <w:spacing w:after="0" w:line="225" w:lineRule="exact"/>
        <w:rPr>
          <w:rFonts w:ascii="Arial" w:cs="Arial" w:eastAsia="Arial" w:hAnsi="Arial"/>
          <w:sz w:val="18"/>
          <w:szCs w:val="18"/>
          <w:color w:val="auto"/>
        </w:rPr>
      </w:pPr>
    </w:p>
    <w:p>
      <w:pPr>
        <w:ind w:left="1340" w:hanging="495"/>
        <w:spacing w:after="0"/>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40" w:hanging="495"/>
        <w:spacing w:after="0"/>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18,486,327</w:t>
      </w:r>
    </w:p>
    <w:p>
      <w:pPr>
        <w:spacing w:after="0" w:line="225" w:lineRule="exact"/>
        <w:rPr>
          <w:rFonts w:ascii="Arial" w:cs="Arial" w:eastAsia="Arial" w:hAnsi="Arial"/>
          <w:sz w:val="18"/>
          <w:szCs w:val="18"/>
          <w:color w:val="auto"/>
        </w:rPr>
      </w:pPr>
    </w:p>
    <w:p>
      <w:pPr>
        <w:ind w:left="1340" w:hanging="495"/>
        <w:spacing w:after="0"/>
        <w:tabs>
          <w:tab w:leader="none" w:pos="1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660" w:hanging="647"/>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jc w:val="right"/>
        <w:ind w:right="9640"/>
        <w:spacing w:after="0"/>
        <w:rPr>
          <w:sz w:val="20"/>
          <w:szCs w:val="20"/>
          <w:color w:val="auto"/>
        </w:rPr>
      </w:pPr>
      <w:r>
        <w:rPr>
          <w:rFonts w:ascii="Arial" w:cs="Arial" w:eastAsia="Arial" w:hAnsi="Arial"/>
          <w:sz w:val="16"/>
          <w:szCs w:val="16"/>
          <w:b w:val="1"/>
          <w:bCs w:val="1"/>
          <w:color w:val="auto"/>
        </w:rPr>
        <w:t>Item 10.Certifications.</w:t>
      </w:r>
    </w:p>
    <w:p>
      <w:pPr>
        <w:spacing w:after="0" w:line="50"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February 12, 2013</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/s/ Jonathan Oringer</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7" w:lineRule="exact"/>
        <w:rPr>
          <w:sz w:val="20"/>
          <w:szCs w:val="20"/>
          <w:color w:val="auto"/>
        </w:rPr>
      </w:pPr>
    </w:p>
    <w:p>
      <w:pPr>
        <w:ind w:left="7680"/>
        <w:spacing w:after="0"/>
        <w:rPr>
          <w:sz w:val="20"/>
          <w:szCs w:val="20"/>
          <w:color w:val="auto"/>
        </w:rPr>
      </w:pPr>
      <w:r>
        <w:rPr>
          <w:rFonts w:ascii="Arial" w:cs="Arial" w:eastAsia="Arial" w:hAnsi="Arial"/>
          <w:sz w:val="18"/>
          <w:szCs w:val="18"/>
          <w:u w:val="single" w:color="auto"/>
          <w:color w:val="auto"/>
        </w:rPr>
        <w:t>Jonathan Oringer</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2019-12-08T03:17:22Z</dcterms:created>
  <dcterms:modified xsi:type="dcterms:W3CDTF">2019-12-08T03:17:22Z</dcterms:modified>
</cp:coreProperties>
</file>