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Gokhale Aditi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9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04/13/2015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Shutterstock,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SSTK</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3"/>
              </w:rPr>
              <w:t>C/O SHUTTERSTOCK,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350 FIFTH AVENUE, 21ST FLOOR</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10118</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Marketing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4"/>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Arial" w:cs="Arial" w:eastAsia="Arial" w:hAnsi="Arial"/>
                <w:sz w:val="18"/>
                <w:szCs w:val="18"/>
                <w:color w:val="0000FF"/>
                <w:w w:val="97"/>
              </w:rPr>
              <w:t>/s/ Laurie Harrison, Attorney-</w:t>
            </w:r>
          </w:p>
        </w:tc>
        <w:tc>
          <w:tcPr>
            <w:tcW w:w="2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04/14/2015</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Timothy Bixby, Chief Financial Officer of Shutterstock, Inc. (the "Company"), Laurie Harrison, General Counsel of the Company, and Brian Margolis of Orrick, Herrington &amp; Sutcliffe LLP, and each of them acting or signing alone, as his or her true and lawful attorney-in-fact to:</w:t>
      </w:r>
    </w:p>
    <w:p>
      <w:pPr>
        <w:spacing w:after="0" w:line="209" w:lineRule="exact"/>
        <w:rPr>
          <w:sz w:val="20"/>
          <w:szCs w:val="20"/>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stockholder of the Company, any and all reports required to be filed by the undersigned in accordance with Section 16(a) of the Securities Exchange Act of 1934 and the rules thereunder;</w:t>
      </w:r>
    </w:p>
    <w:p>
      <w:pPr>
        <w:spacing w:after="0" w:line="208" w:lineRule="exact"/>
        <w:rPr>
          <w:rFonts w:ascii="Courier New" w:cs="Courier New" w:eastAsia="Courier New" w:hAnsi="Courier New"/>
          <w:sz w:val="18"/>
          <w:szCs w:val="18"/>
          <w:color w:val="auto"/>
        </w:rPr>
      </w:pPr>
    </w:p>
    <w:p>
      <w:pPr>
        <w:jc w:val="both"/>
        <w:ind w:left="1280" w:right="1779" w:hanging="640"/>
        <w:spacing w:after="0" w:line="273" w:lineRule="auto"/>
        <w:tabs>
          <w:tab w:leader="none" w:pos="1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or other required report and timely file such report with the United States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 fact may approve in his or her discretion.</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 fact, in serving in such capacity at the request of the undersigned, is hereby assuming, nor is the Company hereby assuming, any of the undersigned's responsibilities to comply with Section 16 of the Securities Exchange Act of 1934.</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reports under Section 16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effective as of the 13th day of April, 2015.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Aditi Gokhale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Aditi Gokhale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7521" TargetMode="External"/><Relationship Id="rId12"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2019-12-09T01:26:10Z</dcterms:created>
  <dcterms:modified xsi:type="dcterms:W3CDTF">2019-12-09T01:26:10Z</dcterms:modified>
</cp:coreProperties>
</file>