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4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31750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7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18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6"/>
              </w:rPr>
              <w:t>350 Fifth Avenue, 20th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5"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1"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55"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1318260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77470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30"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right="820" w:firstLine="439"/>
        <w:spacing w:after="0" w:line="332" w:lineRule="auto"/>
        <w:rPr>
          <w:sz w:val="20"/>
          <w:szCs w:val="20"/>
          <w:color w:val="auto"/>
        </w:rPr>
      </w:pPr>
      <w:r>
        <w:rPr>
          <w:rFonts w:ascii="Times New Roman" w:cs="Times New Roman" w:eastAsia="Times New Roman" w:hAnsi="Times New Roman"/>
          <w:sz w:val="16"/>
          <w:szCs w:val="16"/>
          <w:color w:val="auto"/>
        </w:rPr>
        <w:t>On February 25, 2025, Shutterstock, Inc. (the “Company”) issued a press release announcing its financial results for the fiscal period ended December 31, 2024. A copy of the press release is furnished as Exhibit 99.1 to this current report and is incorporated herein by reference.</w:t>
      </w:r>
    </w:p>
    <w:p>
      <w:pPr>
        <w:spacing w:after="0" w:line="1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16"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1287780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2" w:name="page3"/>
    <w:bookmarkEnd w:id="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942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01"/>
        </w:trPr>
        <w:tc>
          <w:tcPr>
            <w:tcW w:w="124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entitled “Shutterstock Reports Full Year 2024 and Fourth Quarter Financial Results” dated February 25, 2025</w:t>
            </w:r>
          </w:p>
        </w:tc>
      </w:tr>
      <w:tr>
        <w:trPr>
          <w:trHeight w:val="295"/>
        </w:trPr>
        <w:tc>
          <w:tcPr>
            <w:tcW w:w="124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3" w:name="page4"/>
    <w:bookmarkEnd w:id="3"/>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25, 2025</w:t>
            </w:r>
          </w:p>
        </w:tc>
        <w:tc>
          <w:tcPr>
            <w:tcW w:w="20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Rik Powell</w:t>
            </w:r>
          </w:p>
        </w:tc>
      </w:tr>
      <w:tr>
        <w:trPr>
          <w:trHeight w:val="212"/>
        </w:trPr>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Rik Powell</w:t>
            </w:r>
          </w:p>
        </w:tc>
      </w:tr>
      <w:tr>
        <w:trPr>
          <w:trHeight w:val="228"/>
        </w:trPr>
        <w:tc>
          <w:tcPr>
            <w:tcW w:w="3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81915</wp:posOffset>
            </wp:positionV>
            <wp:extent cx="3768725" cy="777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68725" cy="77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Full Year 2024 and Fourth Quarter Financial Results</w:t>
      </w:r>
    </w:p>
    <w:p>
      <w:pPr>
        <w:spacing w:after="0" w:line="109"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 York, NY - February 25, 2025 - </w:t>
      </w:r>
      <w:r>
        <w:rPr>
          <w:rFonts w:ascii="Times New Roman" w:cs="Times New Roman" w:eastAsia="Times New Roman" w:hAnsi="Times New Roman"/>
          <w:sz w:val="18"/>
          <w:szCs w:val="18"/>
          <w:color w:val="auto"/>
        </w:rPr>
        <w:t>Shutterstock, Inc. (NYSE: SSTK) (the “Company”), a leading global creative platform offering high-quality creative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for transformative brands, digital media and marketing companies, today announced financial results for the full year and fourth quarter ended December 31, 2024.</w:t>
      </w:r>
    </w:p>
    <w:p>
      <w:pPr>
        <w:spacing w:after="0" w:line="6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“We are proud that Shutterstock achieved record revenues and Adjusted EBITDA in 2024. Our Content business grew on a year over year basis and each component of our Data, Distribution and Services business grew double digits or greater on a year over year basis and we expect continued growth across both of these offerings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 highlights as compared to Full Year 2023:</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$935.3 million compared to $874.6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$35.9 million compared to $110.3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common share was $1.01 compared to $3.04.</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$138.7 million compared to $157.6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$3.89 compared to $4.35.</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$247.1 million compared to $240.8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highlights as compared to Fourth Quarter 2023:</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$250.3 million compared to $217.2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$1.4 million compared to $1.0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diluted common share was $0.04 compared to $0.03.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$23.4 million compared to $25.8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$0.67 compared to $0.72.</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$59.1 million compared to $46.3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revenue of $935.3 million increased $60.7 million or 7% as compared to 2023.</w:t>
      </w:r>
    </w:p>
    <w:p>
      <w:pPr>
        <w:spacing w:after="0" w:line="109"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Revenue generated through our Content product offering increased 3% as compared to the full year 2023, to $760.0 million, and represented 81% of our total revenue in 2024. The increase in Content revenue was driven by revenue generated from Envato, offset by weakness in new customer acquisition. Revenue from our Data, Distribution, and Services product offering increased 28% as compared to 2023, to $175.3 million and represented 19% of our total revenue in 2024. The majority of the revenue was driven by our data offering which generated $120.3 million in 2024, growth of 15% when compared to 2023.</w:t>
      </w:r>
    </w:p>
    <w:p>
      <w:pPr>
        <w:spacing w:after="0" w:line="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Foreign currency fluctuations had a negligible impact on our revenue growth from 2023 to 2024. Normalizing for unfavorable foreign exchange movement in the fourth quarter, total revenue would have been at the midpoint of our guidance range. Revenues from our Content product offerings are typically more exposed to exchange rate fluctuations than revenues from our Data, Distribution and Services product offerings.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Income per diluted share</w:t>
      </w:r>
    </w:p>
    <w:p>
      <w:pPr>
        <w:spacing w:after="0" w:line="1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income of $35.9 million decreased $74.3 million as compared to $110.3 million for the full year 2023. Net income per diluted share was $1.01 as compared to $3.04 for the full year 2023. These decreases were attributable to a non-recurring bargain purchase gain of $50.3 million recognized in 2023 associated with the acquisition of Giphy, Inc. In addition, the Company had an increase in interest expense of $8.7 million for increased borrowings associated with the Envato acquisition and a $14.4 million increase in income tax expense associated with certain non-recurring, non-cash discrete taxable events. In addition, we incurred $7.6 million of transaction costs associated with the Backgrid and Envato acquisitions in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11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Adjusted net income in 2024 of $138.7 million decreased $18.9 million as compared to adjusted net income of $157.6 million in 2023. Adjusted net income in 2024 was unfavorably impacted by increases in interest expense and income tax expense, and the costs associated with the acquisition of Envato. These items were partially offset by profitability associated with the Envato acquisition.</w:t>
      </w:r>
    </w:p>
    <w:p>
      <w:pPr>
        <w:spacing w:after="0" w:line="75" w:lineRule="exact"/>
        <w:rPr>
          <w:sz w:val="20"/>
          <w:szCs w:val="20"/>
          <w:color w:val="auto"/>
        </w:rPr>
      </w:pPr>
    </w:p>
    <w:p>
      <w:pPr>
        <w:ind w:right="1400"/>
        <w:spacing w:after="0" w:line="427" w:lineRule="auto"/>
        <w:rPr>
          <w:sz w:val="20"/>
          <w:szCs w:val="20"/>
          <w:color w:val="auto"/>
        </w:rPr>
      </w:pPr>
      <w:r>
        <w:rPr>
          <w:rFonts w:ascii="Times New Roman" w:cs="Times New Roman" w:eastAsia="Times New Roman" w:hAnsi="Times New Roman"/>
          <w:sz w:val="18"/>
          <w:szCs w:val="18"/>
          <w:color w:val="auto"/>
        </w:rPr>
        <w:t xml:space="preserve">Adjusted net income per diluted share, which excludes the bargain purchase in 2023, was $3.89 as compared to $4.35 for the full year 2023. </w:t>
      </w:r>
      <w:r>
        <w:rPr>
          <w:rFonts w:ascii="Times New Roman" w:cs="Times New Roman" w:eastAsia="Times New Roman" w:hAnsi="Times New Roman"/>
          <w:sz w:val="18"/>
          <w:szCs w:val="18"/>
          <w:b w:val="1"/>
          <w:bCs w:val="1"/>
          <w:color w:val="auto"/>
        </w:rPr>
        <w:t>Adjusted EBITDA</w:t>
      </w:r>
    </w:p>
    <w:p>
      <w:pPr>
        <w:ind w:right="320"/>
        <w:spacing w:after="0" w:line="256" w:lineRule="auto"/>
        <w:rPr>
          <w:sz w:val="20"/>
          <w:szCs w:val="20"/>
          <w:color w:val="auto"/>
        </w:rPr>
      </w:pPr>
      <w:r>
        <w:rPr>
          <w:rFonts w:ascii="Times New Roman" w:cs="Times New Roman" w:eastAsia="Times New Roman" w:hAnsi="Times New Roman"/>
          <w:sz w:val="18"/>
          <w:szCs w:val="18"/>
          <w:color w:val="auto"/>
        </w:rPr>
        <w:t>Adjusted EBITDA of $247.1 million for 2024 increased $6.3 million or 3% as compared to the full year 2023, attributable to contributions from the Envato acquisition. Normalizing for unfavorable foreign exchange movement in the fourth quarter, Adjusted EBITDA would have been at the midpoint of our guidance range. Included in the Adjusted EBITDA are $7.6 million of non-recurring M&amp;A transaction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margin of 3.8% for 2024 decreased by 880 basis points, as compared to 12.6% for the full year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of 26.4% for 2024 decreased by 110 basis points, as compared to 27.5% for the full year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revenue of $250.3 million increased $33.1 million or 15% as compared to the fourth quarter of 2023.</w:t>
      </w:r>
    </w:p>
    <w:p>
      <w:pPr>
        <w:spacing w:after="0" w:line="1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 from our Content product offering increased $35.0 million, or 20%, as compared to the fourth quarter of 2023, to $212.5 million. The growth in our Content revenues was driven by revenue generated from Envato. Content revenue represented 85% of our total revenue in the fourth quarter of 2024. Revenue generated from our Data, Distribution, and Services product offering decreased $1.9 million, or 5%, as compared to the fourth quarter of 2023, to $37.8 million, and represented 15% of fourth quarter revenue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9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Revenue growth was unfavorably impacted due to fluctuations in foreign currencies by 1% for the three months ended December 31, 2024, compared to the same period in 2023.</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common share</w:t>
      </w:r>
    </w:p>
    <w:p>
      <w:pPr>
        <w:spacing w:after="0" w:line="15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Net loss in the fourth quarter of 2024 of $1.4 million decreased $0.4 million as compared to net loss of $1.0 million for the fourth quarter in 2023. Net loss per diluted common share was $0.04, as compared to $0.03 for the same period in 2023. These decreases were attributable to an increase in interest expense of $4.4 million attributable to increased borrowings associated with the Envato acquisition and a $6.4 million increase in income tax expense associated with a non-recurring, non-cash discrete taxable event. These items were offset by profitability associated with the Envato acquisition.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Adjusted net income in the fourth quarter of 2024 of $23.4 million decreased $2.5 million as compared to adjusted net income of $25.8 million for the fourth quarter in 2023. Fourth quarter 2024 adjusted net income was unfavorably impacted by increases in interest expense and income tax expense. These items were offset by profitability associated with the Envato acquisition.</w:t>
      </w:r>
    </w:p>
    <w:p>
      <w:pPr>
        <w:spacing w:after="0" w:line="114" w:lineRule="exact"/>
        <w:rPr>
          <w:sz w:val="20"/>
          <w:szCs w:val="20"/>
          <w:color w:val="auto"/>
        </w:rPr>
      </w:pPr>
    </w:p>
    <w:p>
      <w:pPr>
        <w:ind w:right="720"/>
        <w:spacing w:after="0" w:line="419" w:lineRule="auto"/>
        <w:rPr>
          <w:sz w:val="20"/>
          <w:szCs w:val="20"/>
          <w:color w:val="auto"/>
        </w:rPr>
      </w:pPr>
      <w:r>
        <w:rPr>
          <w:rFonts w:ascii="Times New Roman" w:cs="Times New Roman" w:eastAsia="Times New Roman" w:hAnsi="Times New Roman"/>
          <w:sz w:val="18"/>
          <w:szCs w:val="18"/>
          <w:color w:val="auto"/>
        </w:rPr>
        <w:t xml:space="preserve">Adjusted net income per diluted common share was $0.67 as compared to $0.72 for the fourth quarter of 2023, an decrease of $0.05 per diluted share. </w:t>
      </w:r>
      <w:r>
        <w:rPr>
          <w:rFonts w:ascii="Times New Roman" w:cs="Times New Roman" w:eastAsia="Times New Roman" w:hAnsi="Times New Roman"/>
          <w:sz w:val="18"/>
          <w:szCs w:val="18"/>
          <w:b w:val="1"/>
          <w:bCs w:val="1"/>
          <w:color w:val="auto"/>
        </w:rPr>
        <w:t>Adjusted EBITDA</w:t>
      </w:r>
    </w:p>
    <w:p>
      <w:pPr>
        <w:spacing w:after="0" w:line="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Adjusted EBITDA of $59.1 million for the fourth quarter of 2024 increased by $12.8 million, or 28%, as compared to the fourth quarter of 2023, primarily due to the contribution from Envato. Net income margin of (0.6)% for the fourth quarter of 2024 decreased by 0.1%, as compared to (0.5)% in the fourth quarter of 2023. The adjusted EBITDA margin of 23.6% for the fourth quarter of 2024 increased by 2.3%, as compared to 21.3% in the fourth quarter of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 the full year 2024, our cash and cash equivalents increased by $10.8 million to $111.3 million at December 31, 2024, as compared with $100.5 million as of December 31, 2023. This increase was driven by $32.6 million of net cash provided by our operating activities and $150.1 million provided by financing activities, partially offset by $166.2 million used in investing activities. Net cash provided by our operating activities was affected by our operating income, offset by payments made to Giphy employees, which were fully reimbursed by Meta and reported in investing cash flows as Giphy Retention Compensation, payments made for liabilities assumed from the Envato selling shareholders, which were fully funded from cash acquired in the Envato acquisition, and changes in the timing of cash receipts and payments pertaining to our revenues and operating expenses.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primarily consisted of cash of $179.1 million used in the acquisitions of Backgrid and Envato, net of cash acquired. In addition, cash was used for capital expenditures of $47.2 million for internal-use software and website development costs, and $4.0 million paid to acquire the rights to distribute certain digital content in perpetuity. These cash outflows were partially offset by $64.0 million of Giphy Retention Compensation, as reimbursed by the Giphy seller.</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provided by financing activities primarily consisted of (i) $280.0 million received from our A&amp;R Credit Agreement; (ii) $31.6 million used for the repayment of our Credit Facility; (iii) $42.4 million related to the payment of the quarterly cash dividend; (iv) $41.6 million paid in connection with the repurchase of common stock under our share repurchase program; (v) $12.2 million paid in settlement of tax withholding obligations related to employee stock-based compensation awards, and (vi) $2.2 million paid for debt issuance costs.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Adjusted free cash flow was $108.7 million for the full year 2024, a decrease of $29.8 million from the full year 2023. This decrease was primarily driven by working capital changes in our accounts receivable and deferred revenue balances and the timing of cash payments pertaining to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2024, the Company declared and paid a cash dividend of $0.30 per common share or $10.4 million.</w:t>
      </w:r>
    </w:p>
    <w:p>
      <w:pPr>
        <w:spacing w:after="0" w:line="10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On January 27, 2025, the Board of Directors declared a dividend of $0.33 per share of outstanding common stock, payable on March 20, 2025 to stockholders of record at the close of business on March 6,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9"/>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78"/>
              <w:spacing w:after="0" w:line="179" w:lineRule="exact"/>
              <w:rPr>
                <w:sz w:val="20"/>
                <w:szCs w:val="20"/>
                <w:color w:val="auto"/>
              </w:rPr>
            </w:pPr>
            <w:r>
              <w:rPr>
                <w:rFonts w:ascii="Times New Roman" w:cs="Times New Roman" w:eastAsia="Times New Roman" w:hAnsi="Times New Roman"/>
                <w:sz w:val="14"/>
                <w:szCs w:val="14"/>
                <w:b w:val="1"/>
                <w:bCs w:val="1"/>
                <w:color w:val="auto"/>
                <w:w w:val="97"/>
              </w:rPr>
              <w:t>Shutterstock</w:t>
            </w:r>
            <w:r>
              <w:rPr>
                <w:rFonts w:ascii="Times New Roman" w:cs="Times New Roman" w:eastAsia="Times New Roman" w:hAnsi="Times New Roman"/>
                <w:sz w:val="18"/>
                <w:szCs w:val="18"/>
                <w:b w:val="1"/>
                <w:bCs w:val="1"/>
                <w:color w:val="auto"/>
                <w:w w:val="97"/>
                <w:vertAlign w:val="superscript"/>
              </w:rPr>
              <w:t>1</w:t>
            </w:r>
          </w:p>
        </w:tc>
        <w:tc>
          <w:tcPr>
            <w:tcW w:w="380" w:type="dxa"/>
            <w:vAlign w:val="bottom"/>
          </w:tcPr>
          <w:p>
            <w:pPr>
              <w:spacing w:after="0"/>
              <w:rPr>
                <w:sz w:val="15"/>
                <w:szCs w:val="15"/>
                <w:color w:val="auto"/>
              </w:rPr>
            </w:pPr>
          </w:p>
        </w:tc>
        <w:tc>
          <w:tcPr>
            <w:tcW w:w="1200" w:type="dxa"/>
            <w:vAlign w:val="bottom"/>
          </w:tcPr>
          <w:p>
            <w:pPr>
              <w:jc w:val="center"/>
              <w:ind w:right="240"/>
              <w:spacing w:after="0" w:line="179" w:lineRule="exact"/>
              <w:rPr>
                <w:sz w:val="20"/>
                <w:szCs w:val="20"/>
                <w:color w:val="auto"/>
              </w:rPr>
            </w:pPr>
            <w:r>
              <w:rPr>
                <w:rFonts w:ascii="Times New Roman" w:cs="Times New Roman" w:eastAsia="Times New Roman" w:hAnsi="Times New Roman"/>
                <w:sz w:val="14"/>
                <w:szCs w:val="14"/>
                <w:b w:val="1"/>
                <w:bCs w:val="1"/>
                <w:color w:val="auto"/>
                <w:w w:val="98"/>
              </w:rPr>
              <w:t>Envato</w:t>
            </w:r>
            <w:r>
              <w:rPr>
                <w:rFonts w:ascii="Times New Roman" w:cs="Times New Roman" w:eastAsia="Times New Roman" w:hAnsi="Times New Roman"/>
                <w:sz w:val="18"/>
                <w:szCs w:val="18"/>
                <w:b w:val="1"/>
                <w:bCs w:val="1"/>
                <w:color w:val="auto"/>
                <w:w w:val="98"/>
                <w:vertAlign w:val="superscript"/>
              </w:rPr>
              <w:t>2</w:t>
            </w:r>
          </w:p>
        </w:tc>
        <w:tc>
          <w:tcPr>
            <w:tcW w:w="360" w:type="dxa"/>
            <w:vAlign w:val="bottom"/>
          </w:tcPr>
          <w:p>
            <w:pPr>
              <w:spacing w:after="0"/>
              <w:rPr>
                <w:sz w:val="15"/>
                <w:szCs w:val="15"/>
                <w:color w:val="auto"/>
              </w:rPr>
            </w:pPr>
          </w:p>
        </w:tc>
        <w:tc>
          <w:tcPr>
            <w:tcW w:w="1380" w:type="dxa"/>
            <w:vAlign w:val="bottom"/>
          </w:tcPr>
          <w:p>
            <w:pPr>
              <w:jc w:val="center"/>
              <w:ind w:right="238"/>
              <w:spacing w:after="0" w:line="179" w:lineRule="exact"/>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3</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6"/>
                <w:szCs w:val="16"/>
                <w:color w:val="auto"/>
              </w:rPr>
            </w:pPr>
          </w:p>
        </w:tc>
        <w:tc>
          <w:tcPr>
            <w:tcW w:w="120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6"/>
                <w:szCs w:val="16"/>
                <w:color w:val="auto"/>
              </w:rPr>
            </w:pPr>
          </w:p>
        </w:tc>
        <w:tc>
          <w:tcPr>
            <w:tcW w:w="13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6"/>
        </w:trPr>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4"/>
        </w:trPr>
        <w:tc>
          <w:tcPr>
            <w:tcW w:w="47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459,000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629,000</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1,088,000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523,000</w:t>
            </w:r>
          </w:p>
        </w:tc>
      </w:tr>
      <w:tr>
        <w:trPr>
          <w:trHeight w:val="224"/>
        </w:trPr>
        <w:tc>
          <w:tcPr>
            <w:tcW w:w="476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107.7</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92"/>
        </w:trPr>
        <w:tc>
          <w:tcPr>
            <w:tcW w:w="4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224"/>
        </w:trPr>
        <w:tc>
          <w:tcPr>
            <w:tcW w:w="476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255</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4"/>
        </w:trPr>
        <w:tc>
          <w:tcPr>
            <w:tcW w:w="47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83"/>
        </w:trPr>
        <w:tc>
          <w:tcPr>
            <w:tcW w:w="4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858"/>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6"/>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8"/>
              <w:spacing w:after="0" w:line="186" w:lineRule="exact"/>
              <w:rPr>
                <w:sz w:val="20"/>
                <w:szCs w:val="20"/>
                <w:color w:val="auto"/>
              </w:rPr>
            </w:pPr>
            <w:r>
              <w:rPr>
                <w:rFonts w:ascii="Times New Roman" w:cs="Times New Roman" w:eastAsia="Times New Roman" w:hAnsi="Times New Roman"/>
                <w:sz w:val="14"/>
                <w:szCs w:val="14"/>
                <w:b w:val="1"/>
                <w:bCs w:val="1"/>
                <w:color w:val="auto"/>
                <w:w w:val="97"/>
              </w:rPr>
              <w:t>Shutterstock</w:t>
            </w:r>
            <w:r>
              <w:rPr>
                <w:rFonts w:ascii="Times New Roman" w:cs="Times New Roman" w:eastAsia="Times New Roman" w:hAnsi="Times New Roman"/>
                <w:sz w:val="18"/>
                <w:szCs w:val="18"/>
                <w:b w:val="1"/>
                <w:bCs w:val="1"/>
                <w:color w:val="auto"/>
                <w:w w:val="97"/>
                <w:vertAlign w:val="superscript"/>
              </w:rPr>
              <w:t>1</w:t>
            </w:r>
          </w:p>
        </w:tc>
        <w:tc>
          <w:tcPr>
            <w:tcW w:w="380" w:type="dxa"/>
            <w:vAlign w:val="bottom"/>
          </w:tcPr>
          <w:p>
            <w:pPr>
              <w:spacing w:after="0"/>
              <w:rPr>
                <w:sz w:val="16"/>
                <w:szCs w:val="16"/>
                <w:color w:val="auto"/>
              </w:rPr>
            </w:pPr>
          </w:p>
        </w:tc>
        <w:tc>
          <w:tcPr>
            <w:tcW w:w="1200" w:type="dxa"/>
            <w:vAlign w:val="bottom"/>
          </w:tcPr>
          <w:p>
            <w:pPr>
              <w:jc w:val="center"/>
              <w:ind w:right="240"/>
              <w:spacing w:after="0" w:line="186" w:lineRule="exact"/>
              <w:rPr>
                <w:sz w:val="20"/>
                <w:szCs w:val="20"/>
                <w:color w:val="auto"/>
              </w:rPr>
            </w:pPr>
            <w:r>
              <w:rPr>
                <w:rFonts w:ascii="Times New Roman" w:cs="Times New Roman" w:eastAsia="Times New Roman" w:hAnsi="Times New Roman"/>
                <w:sz w:val="14"/>
                <w:szCs w:val="14"/>
                <w:b w:val="1"/>
                <w:bCs w:val="1"/>
                <w:color w:val="auto"/>
                <w:w w:val="98"/>
              </w:rPr>
              <w:t>Envato</w:t>
            </w:r>
            <w:r>
              <w:rPr>
                <w:rFonts w:ascii="Times New Roman" w:cs="Times New Roman" w:eastAsia="Times New Roman" w:hAnsi="Times New Roman"/>
                <w:sz w:val="18"/>
                <w:szCs w:val="18"/>
                <w:b w:val="1"/>
                <w:bCs w:val="1"/>
                <w:color w:val="auto"/>
                <w:w w:val="98"/>
                <w:vertAlign w:val="superscript"/>
              </w:rPr>
              <w:t>2</w:t>
            </w:r>
          </w:p>
        </w:tc>
        <w:tc>
          <w:tcPr>
            <w:tcW w:w="360" w:type="dxa"/>
            <w:vAlign w:val="bottom"/>
          </w:tcPr>
          <w:p>
            <w:pPr>
              <w:spacing w:after="0"/>
              <w:rPr>
                <w:sz w:val="16"/>
                <w:szCs w:val="16"/>
                <w:color w:val="auto"/>
              </w:rPr>
            </w:pPr>
          </w:p>
        </w:tc>
        <w:tc>
          <w:tcPr>
            <w:tcW w:w="1380" w:type="dxa"/>
            <w:vAlign w:val="bottom"/>
          </w:tcPr>
          <w:p>
            <w:pPr>
              <w:jc w:val="center"/>
              <w:ind w:right="238"/>
              <w:spacing w:after="0" w:line="186" w:lineRule="exact"/>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3</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6"/>
                <w:szCs w:val="16"/>
                <w:color w:val="auto"/>
              </w:rPr>
            </w:pPr>
          </w:p>
        </w:tc>
        <w:tc>
          <w:tcPr>
            <w:tcW w:w="120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6"/>
                <w:szCs w:val="16"/>
                <w:color w:val="auto"/>
              </w:rPr>
            </w:pPr>
          </w:p>
        </w:tc>
        <w:tc>
          <w:tcPr>
            <w:tcW w:w="13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6"/>
        </w:trPr>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4"/>
        </w:trPr>
        <w:tc>
          <w:tcPr>
            <w:tcW w:w="47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459,000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629,000</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1,088,000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523,000</w:t>
            </w:r>
          </w:p>
        </w:tc>
      </w:tr>
      <w:tr>
        <w:trPr>
          <w:trHeight w:val="224"/>
        </w:trPr>
        <w:tc>
          <w:tcPr>
            <w:tcW w:w="476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318.6</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452.6</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92"/>
        </w:trPr>
        <w:tc>
          <w:tcPr>
            <w:tcW w:w="4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224"/>
        </w:trPr>
        <w:tc>
          <w:tcPr>
            <w:tcW w:w="476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255</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4"/>
        </w:trPr>
        <w:tc>
          <w:tcPr>
            <w:tcW w:w="47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456.7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53" w:lineRule="exact"/>
        <w:rPr>
          <w:sz w:val="20"/>
          <w:szCs w:val="20"/>
          <w:color w:val="auto"/>
        </w:rPr>
      </w:pPr>
    </w:p>
    <w:p>
      <w:pPr>
        <w:ind w:right="200" w:firstLine="5"/>
        <w:spacing w:after="0" w:line="270" w:lineRule="auto"/>
        <w:tabs>
          <w:tab w:leader="none" w:pos="17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Shutterstock, Inc. key operating metrics before combining the Envato related metrics. 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our acquisitions of Backgrid and Envato.</w:t>
      </w:r>
    </w:p>
    <w:p>
      <w:pPr>
        <w:spacing w:after="0" w:line="73" w:lineRule="exact"/>
        <w:rPr>
          <w:rFonts w:ascii="Times New Roman" w:cs="Times New Roman" w:eastAsia="Times New Roman" w:hAnsi="Times New Roman"/>
          <w:sz w:val="12"/>
          <w:szCs w:val="12"/>
          <w:color w:val="auto"/>
        </w:rPr>
      </w:pPr>
    </w:p>
    <w:p>
      <w:pPr>
        <w:ind w:right="40" w:firstLine="5"/>
        <w:spacing w:after="0" w:line="311" w:lineRule="auto"/>
        <w:tabs>
          <w:tab w:leader="none" w:pos="17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Envato Subscribers and Subscriber Revenue are presented as if Envato was acquired as of the beginning of the period presented, and represent metrics incremental to amounts presented under the “Shutterstock, Inc.” heading. Envato Average revenue per customer is derived from Envato historical results over the last twelve months.</w:t>
      </w:r>
    </w:p>
    <w:p>
      <w:pPr>
        <w:spacing w:after="0" w:line="50"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key operating metrics are derived from (i) the Shutterstock amounts before combining with Envato and (ii) the historical Envato metrics, as discussed in footnote 2 above.</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311" w:lineRule="auto"/>
        <w:tabs>
          <w:tab w:leader="none" w:pos="17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50"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adjusted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unrealized losses / gains on investments, interest income and expense, income taxes and merger-related costs; adjusted EBITDA margin as the ratio of adjusted EBITDA to revenue; adjusted net income as net income adjusted for the impact of non-cash equity-based compensation, amortization of acquisition-related intangible assets, bargain purchase gain related to the acquisition of Giphy, Giphy Retention Compensation Expense - non-recurring, severance costs associated with strategic workforce optimizations (reported in Other), unrealized losses / gains on investments, merger-related costs and the estimated tax impact of such adjustments; adjusted net income per diluted common share as adjusted net income divided by weighted average diluted shares; revenue growth (including by product offering)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adjusted free cash flow as net cash provided by operating activities, adjusted for capital expenditures, content acquisition and cash received related to Giphy Retention Compensation in connection with the acquisition of Giphy and cash paid for Envato Seller Obligations.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December 31, 2024, the Company also incurred $4.7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8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common share, revenue growth (including by product offering) on a constant currency basis (expressed as a percentage), billings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adjusted free cash flow is useful for investors because it provides them with an important perspective on the cash available for strategic measures, after making necessary capital investments in internal-use software and website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costs to support the Company’s ongoing business operations and provides them with the same measures that management uses as the basis for making resource allocation decisions.</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common share, revenue growth (including by product offering) on a constant currency basis (expressed as a percentage), billings and adjusted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Reconciliations of the differences between each of our non-GAAP financial measures (adjusted EBITDA, adjusted EBITDA margin, adjusted net income, adjusted net income per diluted common share, revenue growth (including by product offering) on a constant currency basis (expressed as a percentage), billings, adjusted free cash flow), and each measure’s most directly comparable financial measure calculated and presented in accordance with GAAP, are presented under the headings “Reconciliation of Non-GAAP Financial Information to GAAP” and “Supplemental Financial Data” immediately following the Consolidated Balance Sheets.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Announced Merger Agreement with Getty Images Holdings, Inc. (“Getty Images”)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January 7, 2025, Shutterstock announced that it entered into a merger agreement with Getty Images to combine in a merger of equals transaction, creating a premier visual content company. The transaction is subject to the satisfaction of customary closing conditions, including receipt of required regulatory approvals, the approval of Getty Images and Shutterstock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the extension or refinancing of Getty Images’ existing debt obligations.</w:t>
      </w:r>
    </w:p>
    <w:p>
      <w:pPr>
        <w:spacing w:after="0" w:line="20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previously communicated, in light of pending transaction with Getty Images and as is customary during the pendency of such transactions, Shutterstock will not be hosting a conference call or providing financial guidance in conjunction with its fourth quarter 2024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associated with the transaction, please see the Company filings from time to time with the Securities and Exchange Commission.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Shutterstock, Inc. (NYSE: SSTK) is a leading global creative platform offering high-quality creative content for transformative brands, digital media and marketing companies.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services—all using the latest in innovative technology—Shutterstock offers the most comprehensive selection of resources to bring storytelling to life.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www.shutterstock.com and follow us on LinkedIn, Instagram, X, Facebook and YouTube.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Shutterstock intends to file a proxy statement with the Securities and Exchange Commission (the “SEC”), which will be included in the registration statement on Form S-4 intended to be filed by Getty Images and that also will include an information statement of Getty Images and constitute a prospectus with respect to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Getty Images’ common stock to be issued in the transactions (the “proxy and information statement/prospectus”).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w:t>
      </w:r>
    </w:p>
    <w:p>
      <w:pPr>
        <w:spacing w:after="0" w:line="2" w:lineRule="exact"/>
        <w:rPr>
          <w:sz w:val="20"/>
          <w:szCs w:val="20"/>
          <w:color w:val="auto"/>
        </w:rPr>
      </w:pPr>
    </w:p>
    <w:p>
      <w:pPr>
        <w:jc w:val="both"/>
        <w:ind w:right="140"/>
        <w:spacing w:after="0" w:line="291" w:lineRule="auto"/>
        <w:rPr>
          <w:sz w:val="20"/>
          <w:szCs w:val="20"/>
          <w:color w:val="auto"/>
        </w:rPr>
      </w:pPr>
      <w:r>
        <w:rPr>
          <w:rFonts w:ascii="Times New Roman" w:cs="Times New Roman" w:eastAsia="Times New Roman" w:hAnsi="Times New Roman"/>
          <w:sz w:val="16"/>
          <w:szCs w:val="16"/>
          <w:color w:val="auto"/>
        </w:rPr>
        <w:t>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employers and regulators; demand for the combined company’s products; potential changes in the Getty Images stock price that could negatively impact the</w:t>
      </w:r>
    </w:p>
    <w:p>
      <w:pPr>
        <w:spacing w:after="0" w:line="6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6"/>
          <w:szCs w:val="16"/>
          <w:color w:val="auto"/>
        </w:rPr>
        <w:t>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joint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joint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w:t>
      </w:r>
    </w:p>
    <w:p>
      <w:pPr>
        <w:spacing w:after="0" w:line="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Neither Getty Images nor Shutterstock assumes, and each hereby disclaims, any obligation to update forward-looking statements, except as may be required by law.</w:t>
      </w:r>
    </w:p>
    <w:p>
      <w:pPr>
        <w:sectPr>
          <w:pgSz w:w="11900" w:h="16838" w:orient="portrait"/>
          <w:cols w:equalWidth="0" w:num="1">
            <w:col w:w="11240"/>
          </w:cols>
          <w:pgMar w:left="320" w:top="1440"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Scott Grossman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646-257-4825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Lori Rodney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6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112,434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0" w:type="dxa"/>
            <w:vAlign w:val="bottom"/>
          </w:tcPr>
          <w:p>
            <w:pPr>
              <w:spacing w:after="0"/>
              <w:rPr>
                <w:sz w:val="1"/>
                <w:szCs w:val="1"/>
                <w:color w:val="auto"/>
              </w:rPr>
            </w:pPr>
          </w:p>
        </w:tc>
      </w:tr>
      <w:tr>
        <w:trPr>
          <w:trHeight w:val="209"/>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0" w:type="dxa"/>
            <w:vAlign w:val="bottom"/>
          </w:tcPr>
          <w:p>
            <w:pPr>
              <w:spacing w:after="0"/>
              <w:rPr>
                <w:sz w:val="1"/>
                <w:szCs w:val="1"/>
                <w:color w:val="auto"/>
              </w:rPr>
            </w:pPr>
          </w:p>
        </w:tc>
      </w:tr>
      <w:tr>
        <w:trPr>
          <w:trHeight w:val="202"/>
        </w:trPr>
        <w:tc>
          <w:tcPr>
            <w:tcW w:w="5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237,159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shd w:val="clear" w:color="auto" w:fill="CCEEFF"/>
          </w:tcPr>
          <w:p>
            <w:pPr>
              <w:ind w:left="24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35,932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110,269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 (losses)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34,867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35,122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$3,101 and $6,335</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0" w:type="dxa"/>
            <w:vAlign w:val="bottom"/>
          </w:tcPr>
          <w:p>
            <w:pPr>
              <w:spacing w:after="0"/>
              <w:rPr>
                <w:sz w:val="1"/>
                <w:szCs w:val="1"/>
                <w:color w:val="auto"/>
              </w:rPr>
            </w:pPr>
          </w:p>
        </w:tc>
      </w:tr>
      <w:tr>
        <w:trPr>
          <w:trHeight w:val="202"/>
        </w:trPr>
        <w:tc>
          <w:tcPr>
            <w:tcW w:w="7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40,395 and 39,982 shares issued and 34,874 and</w:t>
            </w: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35,572 shares outstanding as of December 31, 2024 and December 31, 2023, respectively</w:t>
            </w:r>
          </w:p>
        </w:tc>
        <w:tc>
          <w:tcPr>
            <w:tcW w:w="1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5,521 and 4,410 shares as of December 31, 2024 and December 31, 2023</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r>
      <w:tr>
        <w:trPr>
          <w:trHeight w:val="190"/>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84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3"/>
        </w:trPr>
        <w:tc>
          <w:tcPr>
            <w:tcW w:w="70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79,729</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(26,176)</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(24,409)</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(50,501)</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20,892</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Seller Obligations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15,841</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r>
      <w:tr>
        <w:trPr>
          <w:trHeight w:val="241"/>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7,966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140,552</w:t>
            </w:r>
          </w:p>
        </w:tc>
      </w:tr>
      <w:tr>
        <w:trPr>
          <w:trHeight w:val="210"/>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(44,645)</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(53,721)</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53,657</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content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 release / (payment)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41"/>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 provided by investing activities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(54,316)</w:t>
            </w:r>
          </w:p>
        </w:tc>
      </w:tr>
      <w:tr>
        <w:trPr>
          <w:trHeight w:val="210"/>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(28,205)</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(15,834)</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(38,667)</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(19,470)</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(102,704)</w:t>
            </w:r>
          </w:p>
        </w:tc>
      </w:tr>
      <w:tr>
        <w:trPr>
          <w:trHeight w:val="209"/>
        </w:trPr>
        <w:tc>
          <w:tcPr>
            <w:tcW w:w="7060" w:type="dxa"/>
            <w:vAlign w:val="bottom"/>
            <w:tcBorders>
              <w:top w:val="single" w:sz="8" w:color="CCEEFF"/>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22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06"/>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(decrease) / increase in cash and cash equivalents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(14,664)</w:t>
            </w:r>
          </w:p>
        </w:tc>
      </w:tr>
      <w:tr>
        <w:trPr>
          <w:trHeight w:val="53"/>
        </w:trPr>
        <w:tc>
          <w:tcPr>
            <w:tcW w:w="7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131,393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r>
      <w:tr>
        <w:trPr>
          <w:trHeight w:val="202"/>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111,251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r>
      <w:tr>
        <w:trPr>
          <w:trHeight w:val="46"/>
        </w:trPr>
        <w:tc>
          <w:tcPr>
            <w:tcW w:w="7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10"/>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33,067</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r>
    </w:tbl>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3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adjusted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110,269</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15,110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48,577</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18"/>
                <w:szCs w:val="18"/>
                <w:color w:val="auto"/>
                <w:vertAlign w:val="superscript"/>
              </w:rPr>
              <w:t>(1)(2)</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w:t>
            </w:r>
          </w:p>
        </w:tc>
      </w:tr>
      <w:tr>
        <w:trPr>
          <w:trHeight w:val="197"/>
        </w:trPr>
        <w:tc>
          <w:tcPr>
            <w:tcW w:w="522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18"/>
                <w:szCs w:val="18"/>
                <w:color w:val="auto"/>
                <w:vertAlign w:val="superscript"/>
              </w:rPr>
              <w:t>(3)</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34,737</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w:t>
            </w:r>
          </w:p>
        </w:tc>
      </w:tr>
      <w:tr>
        <w:trPr>
          <w:trHeight w:val="197"/>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Bargain purchase gain</w:t>
            </w:r>
          </w:p>
        </w:tc>
        <w:tc>
          <w:tcPr>
            <w:tcW w:w="9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(50,261)</w:t>
            </w:r>
          </w:p>
        </w:tc>
      </w:tr>
      <w:tr>
        <w:trPr>
          <w:trHeight w:val="190"/>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92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31,577</w:t>
            </w:r>
          </w:p>
        </w:tc>
      </w:tr>
      <w:tr>
        <w:trPr>
          <w:trHeight w:val="205"/>
        </w:trPr>
        <w:tc>
          <w:tcPr>
            <w:tcW w:w="52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4"/>
                <w:szCs w:val="14"/>
                <w:color w:val="auto"/>
              </w:rPr>
              <w:t>Tax effect of Giphy Retention Compensation Expense - non-recurring</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w:t>
            </w:r>
          </w:p>
        </w:tc>
      </w:tr>
      <w:tr>
        <w:trPr>
          <w:trHeight w:val="190"/>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Merger-related costs</w:t>
            </w:r>
          </w:p>
        </w:tc>
        <w:tc>
          <w:tcPr>
            <w:tcW w:w="92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52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4"/>
                <w:szCs w:val="14"/>
                <w:color w:val="auto"/>
              </w:rPr>
              <w:t>Tax effect of merger-related costs</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(4)</w:t>
            </w:r>
          </w:p>
        </w:tc>
        <w:tc>
          <w:tcPr>
            <w:tcW w:w="920" w:type="dxa"/>
            <w:vAlign w:val="bottom"/>
          </w:tcPr>
          <w:p>
            <w:pPr>
              <w:spacing w:after="0"/>
              <w:rPr>
                <w:sz w:val="17"/>
                <w:szCs w:val="17"/>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4,012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12,493</w:t>
            </w:r>
          </w:p>
        </w:tc>
      </w:tr>
      <w:tr>
        <w:trPr>
          <w:trHeight w:val="197"/>
        </w:trPr>
        <w:tc>
          <w:tcPr>
            <w:tcW w:w="522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Tax effect of other</w:t>
            </w:r>
            <w:r>
              <w:rPr>
                <w:rFonts w:ascii="Times New Roman" w:cs="Times New Roman" w:eastAsia="Times New Roman" w:hAnsi="Times New Roman"/>
                <w:sz w:val="18"/>
                <w:szCs w:val="18"/>
                <w:color w:val="auto"/>
                <w:vertAlign w:val="superscript"/>
              </w:rPr>
              <w:t>(1)</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r>
      <w:tr>
        <w:trPr>
          <w:trHeight w:val="191"/>
        </w:trPr>
        <w:tc>
          <w:tcPr>
            <w:tcW w:w="5220" w:type="dxa"/>
            <w:vAlign w:val="bottom"/>
          </w:tcPr>
          <w:p>
            <w:pPr>
              <w:ind w:left="20"/>
              <w:spacing w:after="0" w:line="190" w:lineRule="exact"/>
              <w:rPr>
                <w:sz w:val="20"/>
                <w:szCs w:val="20"/>
                <w:color w:val="auto"/>
              </w:rPr>
            </w:pPr>
            <w:r>
              <w:rPr>
                <w:rFonts w:ascii="Times New Roman" w:cs="Times New Roman" w:eastAsia="Times New Roman" w:hAnsi="Times New Roman"/>
                <w:sz w:val="14"/>
                <w:szCs w:val="14"/>
                <w:color w:val="auto"/>
              </w:rPr>
              <w:t>Adjusted net income</w:t>
            </w:r>
            <w:r>
              <w:rPr>
                <w:rFonts w:ascii="Times New Roman" w:cs="Times New Roman" w:eastAsia="Times New Roman" w:hAnsi="Times New Roman"/>
                <w:sz w:val="18"/>
                <w:szCs w:val="18"/>
                <w:color w:val="auto"/>
                <w:vertAlign w:val="superscript"/>
              </w:rPr>
              <w:t>(4)</w:t>
            </w: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23,373</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138,742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157,581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9"/>
        </w:trPr>
        <w:tc>
          <w:tcPr>
            <w:tcW w:w="5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diluted common share</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common share</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58"/>
        </w:trPr>
        <w:tc>
          <w:tcPr>
            <w:tcW w:w="5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35,122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140" w:hanging="319"/>
        <w:spacing w:after="0" w:line="259" w:lineRule="auto"/>
        <w:tabs>
          <w:tab w:leader="none" w:pos="63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twelve months ended December 31, 2024, the tax effect of non-cash equity-based compensation includes a $6.2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jc w:val="both"/>
        <w:ind w:left="640" w:right="280" w:hanging="319"/>
        <w:spacing w:after="0" w:line="252" w:lineRule="auto"/>
        <w:tabs>
          <w:tab w:leader="none" w:pos="63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$8.6 million and $8.2 million are included in cost of revenue for the three months ended December 31, 2024 and 2023, respectively, and $32.7 million and $31.6 million are included in cost of revenue for the twelve months ended December 31, 2024 and 2023, respectively. The remainder of acquisition-related amortization expense is included in general and administrative expense in the Statement of Operations.</w:t>
      </w:r>
    </w:p>
    <w:p>
      <w:pPr>
        <w:ind w:left="640" w:hanging="319"/>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6"/>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Pr>
          <w:p>
            <w:pPr>
              <w:spacing w:after="0"/>
              <w:rPr>
                <w:sz w:val="14"/>
                <w:szCs w:val="14"/>
                <w:color w:val="auto"/>
              </w:rPr>
            </w:pPr>
          </w:p>
        </w:tc>
      </w:tr>
      <w:tr>
        <w:trPr>
          <w:trHeight w:val="166"/>
        </w:trPr>
        <w:tc>
          <w:tcPr>
            <w:tcW w:w="4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w w:val="91"/>
              </w:rPr>
              <w:t>2023</w:t>
            </w:r>
          </w:p>
        </w:tc>
      </w:tr>
      <w:tr>
        <w:trPr>
          <w:trHeight w:val="19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35,932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110,269</w:t>
            </w:r>
          </w:p>
        </w:tc>
      </w:tr>
      <w:tr>
        <w:trPr>
          <w:trHeight w:val="190"/>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4,987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1,857</w:t>
            </w:r>
          </w:p>
        </w:tc>
      </w:tr>
      <w:tr>
        <w:trPr>
          <w:trHeight w:val="19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(4,072)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(4,785)</w:t>
            </w:r>
          </w:p>
        </w:tc>
      </w:tr>
      <w:tr>
        <w:trPr>
          <w:trHeight w:val="205"/>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9,500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26,616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12,199</w:t>
            </w:r>
          </w:p>
        </w:tc>
      </w:tr>
      <w:tr>
        <w:trPr>
          <w:trHeight w:val="191"/>
        </w:trPr>
        <w:tc>
          <w:tcPr>
            <w:tcW w:w="4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23,287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87,626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79,729</w:t>
            </w:r>
          </w:p>
        </w:tc>
      </w:tr>
      <w:tr>
        <w:trPr>
          <w:trHeight w:val="197"/>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35,750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156,663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199,269</w:t>
            </w:r>
          </w:p>
        </w:tc>
      </w:tr>
      <w:tr>
        <w:trPr>
          <w:trHeight w:val="145"/>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7"/>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15,110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56,330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48,577</w:t>
            </w:r>
          </w:p>
        </w:tc>
      </w:tr>
      <w:tr>
        <w:trPr>
          <w:trHeight w:val="19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Bargain purchase gain</w:t>
            </w:r>
          </w:p>
        </w:tc>
        <w:tc>
          <w:tcPr>
            <w:tcW w:w="340" w:type="dxa"/>
            <w:vAlign w:val="bottom"/>
          </w:tcPr>
          <w:p>
            <w:pPr>
              <w:spacing w:after="0"/>
              <w:rPr>
                <w:sz w:val="16"/>
                <w:szCs w:val="16"/>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(50,261)</w:t>
            </w:r>
          </w:p>
        </w:tc>
      </w:tr>
      <w:tr>
        <w:trPr>
          <w:trHeight w:val="205"/>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22,116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31,577</w:t>
            </w:r>
          </w:p>
        </w:tc>
      </w:tr>
      <w:tr>
        <w:trPr>
          <w:trHeight w:val="19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Merger-related costs</w:t>
            </w:r>
          </w:p>
        </w:tc>
        <w:tc>
          <w:tcPr>
            <w:tcW w:w="340" w:type="dxa"/>
            <w:vAlign w:val="bottom"/>
          </w:tcPr>
          <w:p>
            <w:pPr>
              <w:spacing w:after="0"/>
              <w:rPr>
                <w:sz w:val="16"/>
                <w:szCs w:val="16"/>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2,750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loss / (gain)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1,156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(879)</w:t>
            </w:r>
          </w:p>
        </w:tc>
      </w:tr>
      <w:tr>
        <w:trPr>
          <w:trHeight w:val="19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Unrealized gain on investment</w:t>
            </w:r>
          </w:p>
        </w:tc>
        <w:tc>
          <w:tcPr>
            <w:tcW w:w="3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Workforce optimization - severance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4,484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5,611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12,493</w:t>
            </w:r>
          </w:p>
        </w:tc>
      </w:tr>
      <w:tr>
        <w:trPr>
          <w:trHeight w:val="19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59,069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46,267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247,115</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240,776</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1"/>
        </w:trPr>
        <w:tc>
          <w:tcPr>
            <w:tcW w:w="4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250,306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217,219</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935,262</w:t>
            </w:r>
          </w:p>
        </w:tc>
        <w:tc>
          <w:tcPr>
            <w:tcW w:w="100" w:type="dxa"/>
            <w:vAlign w:val="bottom"/>
          </w:tcPr>
          <w:p>
            <w:pPr>
              <w:spacing w:after="0"/>
              <w:rPr>
                <w:sz w:val="16"/>
                <w:szCs w:val="16"/>
                <w:color w:val="auto"/>
              </w:rPr>
            </w:pPr>
          </w:p>
        </w:tc>
        <w:tc>
          <w:tcPr>
            <w:tcW w:w="6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874,587</w:t>
            </w:r>
          </w:p>
        </w:tc>
      </w:tr>
      <w:tr>
        <w:trPr>
          <w:trHeight w:val="20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r>
      <w:tr>
        <w:trPr>
          <w:trHeight w:val="19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27.5 %</w:t>
            </w: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23"/>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6"/>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Pr>
          <w:p>
            <w:pPr>
              <w:spacing w:after="0"/>
              <w:rPr>
                <w:sz w:val="24"/>
                <w:szCs w:val="24"/>
                <w:color w:val="auto"/>
              </w:rPr>
            </w:pPr>
          </w:p>
        </w:tc>
      </w:tr>
      <w:tr>
        <w:trPr>
          <w:trHeight w:val="166"/>
        </w:trPr>
        <w:tc>
          <w:tcPr>
            <w:tcW w:w="494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w w:val="91"/>
              </w:rPr>
              <w:t>2023</w:t>
            </w:r>
          </w:p>
        </w:tc>
      </w:tr>
      <w:tr>
        <w:trPr>
          <w:trHeight w:val="19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Revenue (in thousands)</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250,306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217,219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935,262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874,587</w:t>
            </w: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1"/>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on a constant currency basis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64"/>
        </w:trPr>
        <w:tc>
          <w:tcPr>
            <w:tcW w:w="4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Content reported revenue (in thousands)</w:t>
            </w:r>
          </w:p>
        </w:tc>
        <w:tc>
          <w:tcPr>
            <w:tcW w:w="340" w:type="dxa"/>
            <w:vAlign w:val="bottom"/>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212,517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177,526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760,011</w:t>
            </w:r>
          </w:p>
        </w:tc>
        <w:tc>
          <w:tcPr>
            <w:tcW w:w="100" w:type="dxa"/>
            <w:vAlign w:val="bottom"/>
          </w:tcPr>
          <w:p>
            <w:pPr>
              <w:spacing w:after="0"/>
              <w:rPr>
                <w:sz w:val="16"/>
                <w:szCs w:val="16"/>
                <w:color w:val="auto"/>
              </w:rPr>
            </w:pPr>
          </w:p>
        </w:tc>
        <w:tc>
          <w:tcPr>
            <w:tcW w:w="6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737,264</w:t>
            </w:r>
          </w:p>
        </w:tc>
      </w:tr>
      <w:tr>
        <w:trPr>
          <w:trHeight w:val="20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growth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growth on a constant currency basis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4"/>
        </w:trPr>
        <w:tc>
          <w:tcPr>
            <w:tcW w:w="4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 reported revenue (in thousands)</w:t>
            </w:r>
          </w:p>
        </w:tc>
        <w:tc>
          <w:tcPr>
            <w:tcW w:w="340" w:type="dxa"/>
            <w:vAlign w:val="bottom"/>
          </w:tcPr>
          <w:p>
            <w:pPr>
              <w:jc w:val="right"/>
              <w:ind w:right="21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37,789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39,693</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175,251</w:t>
            </w:r>
          </w:p>
        </w:tc>
        <w:tc>
          <w:tcPr>
            <w:tcW w:w="100" w:type="dxa"/>
            <w:vAlign w:val="bottom"/>
          </w:tcPr>
          <w:p>
            <w:pPr>
              <w:spacing w:after="0"/>
              <w:rPr>
                <w:sz w:val="16"/>
                <w:szCs w:val="16"/>
                <w:color w:val="auto"/>
              </w:rPr>
            </w:pPr>
          </w:p>
        </w:tc>
        <w:tc>
          <w:tcPr>
            <w:tcW w:w="6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137,323</w:t>
            </w:r>
          </w:p>
        </w:tc>
      </w:tr>
      <w:tr>
        <w:trPr>
          <w:trHeight w:val="20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r>
      <w:tr>
        <w:trPr>
          <w:trHeight w:val="18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 on a constant currency basis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8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information: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7,966</w:t>
            </w:r>
          </w:p>
        </w:tc>
        <w:tc>
          <w:tcPr>
            <w:tcW w:w="100" w:type="dxa"/>
            <w:vAlign w:val="bottom"/>
          </w:tcPr>
          <w:p>
            <w:pPr>
              <w:spacing w:after="0"/>
              <w:rPr>
                <w:sz w:val="16"/>
                <w:szCs w:val="16"/>
                <w:color w:val="auto"/>
              </w:rPr>
            </w:pP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33,949</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140,552</w:t>
            </w: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investing activities</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(54,316)</w:t>
            </w: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financing activities</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16"/>
                <w:szCs w:val="16"/>
                <w:color w:val="auto"/>
              </w:rPr>
            </w:pP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(19,470)</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150,096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(102,704)</w:t>
            </w:r>
          </w:p>
        </w:tc>
      </w:tr>
      <w:tr>
        <w:trPr>
          <w:trHeight w:val="112"/>
        </w:trPr>
        <w:tc>
          <w:tcPr>
            <w:tcW w:w="5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7,966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140,552</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(44,645)</w:t>
            </w:r>
          </w:p>
        </w:tc>
      </w:tr>
      <w:tr>
        <w:trPr>
          <w:trHeight w:val="20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Content acquisitions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received related to Giphy Retention Compensation</w:t>
            </w:r>
          </w:p>
        </w:tc>
        <w:tc>
          <w:tcPr>
            <w:tcW w:w="88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53,657</w:t>
            </w:r>
          </w:p>
        </w:tc>
      </w:tr>
      <w:tr>
        <w:trPr>
          <w:trHeight w:val="205"/>
        </w:trPr>
        <w:tc>
          <w:tcPr>
            <w:tcW w:w="52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4"/>
                <w:szCs w:val="14"/>
                <w:color w:val="auto"/>
              </w:rPr>
              <w:t>Cash paid for Envato Seller Obligations</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8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15,591</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108,693</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138,468</w:t>
            </w:r>
          </w:p>
        </w:tc>
      </w:tr>
      <w:tr>
        <w:trPr>
          <w:trHeight w:val="26"/>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9" w:lineRule="exact"/>
        <w:rPr>
          <w:sz w:val="20"/>
          <w:szCs w:val="20"/>
          <w:color w:val="auto"/>
        </w:rPr>
      </w:pPr>
    </w:p>
    <w:p>
      <w:pPr>
        <w:ind w:left="320" w:right="60" w:hanging="315"/>
        <w:spacing w:after="0" w:line="268" w:lineRule="auto"/>
        <w:tabs>
          <w:tab w:leader="none" w:pos="3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212,517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760,011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737,264</w:t>
            </w:r>
          </w:p>
        </w:tc>
      </w:tr>
      <w:tr>
        <w:trPr>
          <w:trHeight w:val="19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37,789</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175,251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137,323</w:t>
            </w:r>
          </w:p>
        </w:tc>
      </w:tr>
      <w:tr>
        <w:trPr>
          <w:trHeight w:val="19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250,306</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935,262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874,587</w:t>
            </w:r>
          </w:p>
        </w:tc>
      </w:tr>
      <w:tr>
        <w:trPr>
          <w:trHeight w:val="92"/>
        </w:trPr>
        <w:tc>
          <w:tcPr>
            <w:tcW w:w="5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total deferred revenue</w:t>
            </w:r>
            <w:r>
              <w:rPr>
                <w:rFonts w:ascii="Times New Roman" w:cs="Times New Roman" w:eastAsia="Times New Roman" w:hAnsi="Times New Roman"/>
                <w:sz w:val="9"/>
                <w:szCs w:val="9"/>
                <w:color w:val="auto"/>
              </w:rPr>
              <w:t>(1)</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(24,862)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16,393</w:t>
            </w:r>
          </w:p>
        </w:tc>
      </w:tr>
      <w:tr>
        <w:trPr>
          <w:trHeight w:val="184"/>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billings</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249,428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217,582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910,400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890,980</w:t>
            </w:r>
          </w:p>
        </w:tc>
      </w:tr>
      <w:tr>
        <w:trPr>
          <w:trHeight w:val="26"/>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Change in total deferred revenue excludes deferred revenue acquired through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4"/>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2"/>
                <w:szCs w:val="12"/>
                <w:b w:val="1"/>
                <w:bCs w:val="1"/>
                <w:color w:val="auto"/>
              </w:rPr>
              <w:t>3/31/24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3/31/23</w:t>
            </w:r>
          </w:p>
        </w:tc>
      </w:tr>
      <w:tr>
        <w:trPr>
          <w:trHeight w:val="26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92"/>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272"/>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bl>
    <w:p>
      <w:pPr>
        <w:spacing w:after="0" w:line="11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Giphy starting July 2024. These metrics exclude the respective counts and revenues from Backgrid and Envato.</w:t>
      </w:r>
    </w:p>
    <w:p>
      <w:pPr>
        <w:spacing w:after="0" w:line="74" w:lineRule="exact"/>
        <w:rPr>
          <w:sz w:val="20"/>
          <w:szCs w:val="20"/>
          <w:color w:val="auto"/>
        </w:rPr>
      </w:pPr>
    </w:p>
    <w:p>
      <w:pPr>
        <w:ind w:right="16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 Envato subscribers for the period ended December 31, 2024 were 0.6 million.</w:t>
      </w:r>
    </w:p>
    <w:p>
      <w:pPr>
        <w:spacing w:after="0" w:line="76"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 Envato’s subscriber revenue for the three months ended December 31, 2024 was $32.0 million.</w:t>
      </w:r>
    </w:p>
    <w:p>
      <w:pPr>
        <w:spacing w:after="0" w:line="112"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 Envato’s average revenue per customer for the last twelve-month period ended December 31, 2024 was $90 per customer.</w:t>
      </w:r>
    </w:p>
    <w:p>
      <w:pPr>
        <w:spacing w:after="0" w:line="63"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Envato had 92.8 million paid downloads during the three months ended December 31,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6/30/23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3/31/23</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3/31/24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9/30/23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3/31/23</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17,866</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23,287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18,897</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2025-02-25T06:17:27Z</dcterms:created>
  <dcterms:modified xsi:type="dcterms:W3CDTF">2025-02-25T06:17:27Z</dcterms:modified>
</cp:coreProperties>
</file>