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1)</w:t>
      </w:r>
    </w:p>
    <w:p>
      <w:pPr>
        <w:spacing w:after="0" w:line="256"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March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9,939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1,691,751</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9,939</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1,732,477</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1,742,416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4.89 %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SHUTTERSTOCK INC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350 FIFTH AVENUE, 21ST FLOOR, NEW YORK, NY 10118</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825690100</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1,742,416</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4.89%</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9,939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1,691,751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9,939</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1,732,477</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34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348"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348" w:right="1440" w:bottom="0" w:gutter="0" w:footer="0" w:header="0"/>
          <w:type w:val="continuous"/>
        </w:sectPr>
      </w:pP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0159"/>
          </w:cols>
          <w:pgMar w:left="300" w:top="348" w:right="1440" w:bottom="0"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22"/>
          <w:szCs w:val="22"/>
          <w:color w:val="auto"/>
        </w:rPr>
        <w:t>April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24765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Mike J. Choquette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Mike J. Choquette,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Delaware Trust Company, National Association (2)</w:t>
      </w:r>
    </w:p>
    <w:p>
      <w:pPr>
        <w:spacing w:after="0" w:line="230" w:lineRule="auto"/>
        <w:rPr>
          <w:sz w:val="20"/>
          <w:szCs w:val="20"/>
          <w:color w:val="auto"/>
        </w:rPr>
      </w:pPr>
      <w:r>
        <w:rPr>
          <w:rFonts w:ascii="Arial" w:cs="Arial" w:eastAsia="Arial" w:hAnsi="Arial"/>
          <w:sz w:val="22"/>
          <w:szCs w:val="22"/>
          <w:color w:val="auto"/>
        </w:rPr>
        <w:t>Wells Fargo Bank, National Association (2)</w:t>
      </w:r>
    </w:p>
    <w:p>
      <w:pPr>
        <w:spacing w:after="0" w:line="231" w:lineRule="auto"/>
        <w:rPr>
          <w:sz w:val="20"/>
          <w:szCs w:val="20"/>
          <w:color w:val="auto"/>
        </w:rPr>
      </w:pPr>
      <w:r>
        <w:rPr>
          <w:rFonts w:ascii="Arial" w:cs="Arial" w:eastAsia="Arial" w:hAnsi="Arial"/>
          <w:sz w:val="22"/>
          <w:szCs w:val="22"/>
          <w:color w:val="auto"/>
        </w:rPr>
        <w:t>Wells Fargo Securities, LLC (3)</w:t>
      </w:r>
    </w:p>
    <w:p>
      <w:pPr>
        <w:spacing w:after="0" w:line="231" w:lineRule="auto"/>
        <w:rPr>
          <w:sz w:val="20"/>
          <w:szCs w:val="20"/>
          <w:color w:val="auto"/>
        </w:rPr>
      </w:pPr>
      <w:r>
        <w:rPr>
          <w:rFonts w:ascii="Arial" w:cs="Arial" w:eastAsia="Arial" w:hAnsi="Arial"/>
          <w:sz w:val="22"/>
          <w:szCs w:val="22"/>
          <w:color w:val="auto"/>
        </w:rPr>
        <w:t>Wells Fargo Advisors Financial Network, LLC (3)</w:t>
      </w:r>
    </w:p>
    <w:p>
      <w:pPr>
        <w:spacing w:after="0" w:line="230" w:lineRule="auto"/>
        <w:rPr>
          <w:sz w:val="20"/>
          <w:szCs w:val="20"/>
          <w:color w:val="auto"/>
        </w:rPr>
      </w:pPr>
      <w:r>
        <w:rPr>
          <w:rFonts w:ascii="Arial" w:cs="Arial" w:eastAsia="Arial" w:hAnsi="Arial"/>
          <w:sz w:val="22"/>
          <w:szCs w:val="22"/>
          <w:color w:val="auto"/>
        </w:rPr>
        <w:t>Wells Fargo Funds Management, LLC (1)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Advisors, LLC (3)</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line="230" w:lineRule="auto"/>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2019-12-09T02:14:35Z</dcterms:created>
  <dcterms:modified xsi:type="dcterms:W3CDTF">2019-12-09T02:14:35Z</dcterms:modified>
</cp:coreProperties>
</file>