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457200</wp:posOffset>
            </wp:positionH>
            <wp:positionV relativeFrom="page">
              <wp:posOffset>1083310</wp:posOffset>
            </wp:positionV>
            <wp:extent cx="69469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46900" cy="8255"/>
                    </a:xfrm>
                    <a:prstGeom prst="rect">
                      <a:avLst/>
                    </a:prstGeom>
                    <a:noFill/>
                  </pic:spPr>
                </pic:pic>
              </a:graphicData>
            </a:graphic>
          </wp:anchor>
        </w:drawing>
        <w:drawing>
          <wp:anchor simplePos="0" relativeHeight="251657728" behindDoc="1" locked="0" layoutInCell="0" allowOverlap="1">
            <wp:simplePos x="0" y="0"/>
            <wp:positionH relativeFrom="page">
              <wp:posOffset>457200</wp:posOffset>
            </wp:positionH>
            <wp:positionV relativeFrom="page">
              <wp:posOffset>1041400</wp:posOffset>
            </wp:positionV>
            <wp:extent cx="694690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16510"/>
                    </a:xfrm>
                    <a:prstGeom prst="rect">
                      <a:avLst/>
                    </a:prstGeom>
                    <a:noFill/>
                  </pic:spPr>
                </pic:pic>
              </a:graphicData>
            </a:graphic>
          </wp:anchor>
        </w:drawing>
      </w:r>
    </w:p>
    <w:p>
      <w:pPr>
        <w:spacing w:after="0" w:line="240"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112"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41"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713740</wp:posOffset>
            </wp:positionH>
            <wp:positionV relativeFrom="paragraph">
              <wp:posOffset>99060</wp:posOffset>
            </wp:positionV>
            <wp:extent cx="57150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00" cy="8255"/>
                    </a:xfrm>
                    <a:prstGeom prst="rect">
                      <a:avLst/>
                    </a:prstGeom>
                    <a:noFill/>
                  </pic:spPr>
                </pic:pic>
              </a:graphicData>
            </a:graphic>
          </wp:anchor>
        </w:drawing>
      </w:r>
    </w:p>
    <w:p>
      <w:pPr>
        <w:spacing w:after="0" w:line="141"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713740</wp:posOffset>
            </wp:positionH>
            <wp:positionV relativeFrom="paragraph">
              <wp:posOffset>46990</wp:posOffset>
            </wp:positionV>
            <wp:extent cx="57150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00" cy="8255"/>
                    </a:xfrm>
                    <a:prstGeom prst="rect">
                      <a:avLst/>
                    </a:prstGeom>
                    <a:noFill/>
                  </pic:spPr>
                </pic:pic>
              </a:graphicData>
            </a:graphic>
          </wp:anchor>
        </w:drawing>
      </w:r>
    </w:p>
    <w:p>
      <w:pPr>
        <w:spacing w:after="0" w:line="154"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21"/>
          <w:szCs w:val="21"/>
          <w:b w:val="1"/>
          <w:bCs w:val="1"/>
          <w:color w:val="auto"/>
        </w:rPr>
        <w:t>CURRENT REPORT</w:t>
      </w:r>
    </w:p>
    <w:p>
      <w:pPr>
        <w:spacing w:after="0" w:line="37"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w:t>
      </w:r>
    </w:p>
    <w:p>
      <w:pPr>
        <w:spacing w:after="0" w:line="9"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21"/>
          <w:szCs w:val="21"/>
          <w:b w:val="1"/>
          <w:bCs w:val="1"/>
          <w:color w:val="auto"/>
        </w:rPr>
        <w:t>Securities Exchange Act of 1934</w:t>
      </w:r>
    </w:p>
    <w:p>
      <w:pPr>
        <w:spacing w:after="0" w:line="136" w:lineRule="exact"/>
        <w:rPr>
          <w:sz w:val="24"/>
          <w:szCs w:val="24"/>
          <w:color w:val="auto"/>
        </w:rPr>
      </w:pPr>
    </w:p>
    <w:p>
      <w:pPr>
        <w:ind w:left="2220"/>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January 26,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713740</wp:posOffset>
            </wp:positionH>
            <wp:positionV relativeFrom="paragraph">
              <wp:posOffset>48895</wp:posOffset>
            </wp:positionV>
            <wp:extent cx="57150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5000" cy="8255"/>
                    </a:xfrm>
                    <a:prstGeom prst="rect">
                      <a:avLst/>
                    </a:prstGeom>
                    <a:noFill/>
                  </pic:spPr>
                </pic:pic>
              </a:graphicData>
            </a:graphic>
          </wp:anchor>
        </w:drawing>
      </w:r>
    </w:p>
    <w:p>
      <w:pPr>
        <w:spacing w:after="0" w:line="62"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32"/>
          <w:szCs w:val="32"/>
          <w:b w:val="1"/>
          <w:bCs w:val="1"/>
          <w:color w:val="auto"/>
        </w:rPr>
        <w:t>Shutterstock,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713740</wp:posOffset>
            </wp:positionH>
            <wp:positionV relativeFrom="paragraph">
              <wp:posOffset>46990</wp:posOffset>
            </wp:positionV>
            <wp:extent cx="57150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5000" cy="8255"/>
                    </a:xfrm>
                    <a:prstGeom prst="rect">
                      <a:avLst/>
                    </a:prstGeom>
                    <a:noFill/>
                  </pic:spPr>
                </pic:pic>
              </a:graphicData>
            </a:graphic>
          </wp:anchor>
        </w:drawing>
      </w:r>
    </w:p>
    <w:p>
      <w:pPr>
        <w:spacing w:after="0" w:line="75"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713740</wp:posOffset>
            </wp:positionH>
            <wp:positionV relativeFrom="paragraph">
              <wp:posOffset>30480</wp:posOffset>
            </wp:positionV>
            <wp:extent cx="57150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15000" cy="8255"/>
                    </a:xfrm>
                    <a:prstGeom prst="rect">
                      <a:avLst/>
                    </a:prstGeom>
                    <a:noFill/>
                  </pic:spPr>
                </pic:pic>
              </a:graphicData>
            </a:graphic>
          </wp:anchor>
        </w:drawing>
      </w:r>
    </w:p>
    <w:p>
      <w:pPr>
        <w:sectPr>
          <w:pgSz w:w="11900" w:h="16838" w:orient="portrait"/>
          <w:cols w:equalWidth="0" w:num="1">
            <w:col w:w="10860"/>
          </w:cols>
          <w:pgMar w:left="320" w:top="1440" w:right="719" w:bottom="1440" w:gutter="0" w:footer="0" w:header="0"/>
        </w:sectPr>
      </w:pPr>
    </w:p>
    <w:p>
      <w:pPr>
        <w:spacing w:after="0" w:line="291" w:lineRule="exact"/>
        <w:rPr>
          <w:sz w:val="24"/>
          <w:szCs w:val="24"/>
          <w:color w:val="auto"/>
        </w:rPr>
      </w:pPr>
    </w:p>
    <w:p>
      <w:pPr>
        <w:ind w:left="132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71" w:lineRule="exact"/>
        <w:rPr>
          <w:sz w:val="24"/>
          <w:szCs w:val="24"/>
          <w:color w:val="auto"/>
        </w:rPr>
      </w:pPr>
    </w:p>
    <w:p>
      <w:pPr>
        <w:jc w:val="center"/>
        <w:ind w:right="2420"/>
        <w:spacing w:after="0"/>
        <w:rPr>
          <w:sz w:val="20"/>
          <w:szCs w:val="20"/>
          <w:color w:val="auto"/>
        </w:rPr>
      </w:pPr>
      <w:r>
        <w:rPr>
          <w:rFonts w:ascii="Times New Roman" w:cs="Times New Roman" w:eastAsia="Times New Roman" w:hAnsi="Times New Roman"/>
          <w:sz w:val="16"/>
          <w:szCs w:val="16"/>
          <w:b w:val="1"/>
          <w:bCs w:val="1"/>
          <w:color w:val="auto"/>
        </w:rPr>
        <w:t>001-35669</w:t>
      </w:r>
    </w:p>
    <w:p>
      <w:pPr>
        <w:spacing w:after="0" w:line="20" w:lineRule="exact"/>
        <w:rPr>
          <w:sz w:val="24"/>
          <w:szCs w:val="24"/>
          <w:color w:val="auto"/>
        </w:rPr>
      </w:pPr>
      <w:r>
        <w:rPr>
          <w:sz w:val="24"/>
          <w:szCs w:val="24"/>
          <w:color w:val="auto"/>
        </w:rPr>
        <w:br w:type="column"/>
      </w:r>
    </w:p>
    <w:p>
      <w:pPr>
        <w:spacing w:after="0" w:line="27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80-0812659</w:t>
      </w:r>
    </w:p>
    <w:p>
      <w:pPr>
        <w:spacing w:after="0" w:line="77" w:lineRule="exact"/>
        <w:rPr>
          <w:sz w:val="24"/>
          <w:szCs w:val="24"/>
          <w:color w:val="auto"/>
        </w:rPr>
      </w:pPr>
    </w:p>
    <w:p>
      <w:pPr>
        <w:sectPr>
          <w:pgSz w:w="11900" w:h="16838" w:orient="portrait"/>
          <w:cols w:equalWidth="0" w:num="3">
            <w:col w:w="4520" w:space="720"/>
            <w:col w:w="3180" w:space="720"/>
            <w:col w:w="1720"/>
          </w:cols>
          <w:pgMar w:left="320" w:top="1440" w:right="719"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3"/>
          <w:szCs w:val="13"/>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3"/>
          <w:szCs w:val="13"/>
          <w:color w:val="auto"/>
        </w:rPr>
        <w:t>(IRS Employer Identification No.)</w:t>
      </w:r>
    </w:p>
    <w:p>
      <w:pPr>
        <w:spacing w:after="0" w:line="211" w:lineRule="exact"/>
        <w:rPr>
          <w:sz w:val="24"/>
          <w:szCs w:val="24"/>
          <w:color w:val="auto"/>
        </w:rPr>
      </w:pPr>
    </w:p>
    <w:p>
      <w:pPr>
        <w:sectPr>
          <w:pgSz w:w="11900" w:h="16838" w:orient="portrait"/>
          <w:cols w:equalWidth="0" w:num="3">
            <w:col w:w="4120" w:space="720"/>
            <w:col w:w="3040" w:space="720"/>
            <w:col w:w="2260"/>
          </w:cols>
          <w:pgMar w:left="320" w:top="1440" w:right="719" w:bottom="1440" w:gutter="0" w:footer="0" w:header="0"/>
          <w:type w:val="continuous"/>
        </w:sectPr>
      </w:pPr>
    </w:p>
    <w:p>
      <w:pPr>
        <w:spacing w:after="0" w:line="23"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350 Fifth Avenue, 20th Floor</w:t>
      </w:r>
    </w:p>
    <w:p>
      <w:pPr>
        <w:spacing w:after="0" w:line="23"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New York, NY 10118</w:t>
      </w:r>
    </w:p>
    <w:p>
      <w:pPr>
        <w:spacing w:after="0" w:line="4"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6"/>
          <w:szCs w:val="16"/>
          <w:color w:val="auto"/>
        </w:rPr>
        <w:t>(Address of principal executive offices, including zip code)</w:t>
      </w:r>
    </w:p>
    <w:p>
      <w:pPr>
        <w:spacing w:after="0" w:line="112" w:lineRule="exact"/>
        <w:rPr>
          <w:sz w:val="24"/>
          <w:szCs w:val="24"/>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(646) 710-3417</w:t>
      </w:r>
    </w:p>
    <w:p>
      <w:pPr>
        <w:spacing w:after="0" w:line="111"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1" w:lineRule="exact"/>
        <w:rPr>
          <w:sz w:val="24"/>
          <w:szCs w:val="24"/>
          <w:color w:val="auto"/>
        </w:rPr>
      </w:pPr>
    </w:p>
    <w:p>
      <w:pPr>
        <w:ind w:left="530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0860"/>
          </w:cols>
          <w:pgMar w:left="320" w:top="1440" w:right="719" w:bottom="1440" w:gutter="0" w:footer="0" w:header="0"/>
          <w:type w:val="continuous"/>
        </w:sectPr>
      </w:pPr>
    </w:p>
    <w:p>
      <w:pPr>
        <w:spacing w:after="0" w:line="4" w:lineRule="exact"/>
        <w:rPr>
          <w:sz w:val="24"/>
          <w:szCs w:val="24"/>
          <w:color w:val="auto"/>
        </w:rPr>
      </w:pPr>
    </w:p>
    <w:p>
      <w:pPr>
        <w:ind w:left="2940"/>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4" w:lineRule="exact"/>
        <w:rPr>
          <w:sz w:val="24"/>
          <w:szCs w:val="24"/>
          <w:color w:val="auto"/>
        </w:rPr>
      </w:pPr>
    </w:p>
    <w:p>
      <w:pPr>
        <w:ind w:right="180" w:firstLine="395"/>
        <w:spacing w:after="0" w:line="248"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7" w:lineRule="exact"/>
        <w:rPr>
          <w:sz w:val="24"/>
          <w:szCs w:val="24"/>
          <w:color w:val="auto"/>
        </w:rPr>
      </w:pPr>
    </w:p>
    <w:p>
      <w:pPr>
        <w:ind w:left="940" w:hanging="522"/>
        <w:spacing w:after="0"/>
        <w:tabs>
          <w:tab w:leader="none" w:pos="9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36" w:lineRule="exact"/>
        <w:rPr>
          <w:rFonts w:ascii="MS PGothic" w:cs="MS PGothic" w:eastAsia="MS PGothic" w:hAnsi="MS PGothic"/>
          <w:sz w:val="18"/>
          <w:szCs w:val="18"/>
          <w:color w:val="auto"/>
        </w:rPr>
      </w:pPr>
    </w:p>
    <w:p>
      <w:pPr>
        <w:ind w:left="940" w:hanging="522"/>
        <w:spacing w:after="0"/>
        <w:tabs>
          <w:tab w:leader="none" w:pos="9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6" w:lineRule="exact"/>
        <w:rPr>
          <w:rFonts w:ascii="MS PGothic" w:cs="MS PGothic" w:eastAsia="MS PGothic" w:hAnsi="MS PGothic"/>
          <w:sz w:val="18"/>
          <w:szCs w:val="18"/>
          <w:color w:val="auto"/>
        </w:rPr>
      </w:pPr>
    </w:p>
    <w:p>
      <w:pPr>
        <w:ind w:left="940" w:hanging="522"/>
        <w:spacing w:after="0"/>
        <w:tabs>
          <w:tab w:leader="none" w:pos="9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6" w:lineRule="exact"/>
        <w:rPr>
          <w:rFonts w:ascii="MS PGothic" w:cs="MS PGothic" w:eastAsia="MS PGothic" w:hAnsi="MS PGothic"/>
          <w:sz w:val="18"/>
          <w:szCs w:val="18"/>
          <w:color w:val="auto"/>
        </w:rPr>
      </w:pPr>
    </w:p>
    <w:p>
      <w:pPr>
        <w:ind w:left="940" w:hanging="522"/>
        <w:spacing w:after="0"/>
        <w:tabs>
          <w:tab w:leader="none" w:pos="9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6" w:lineRule="exact"/>
        <w:rPr>
          <w:sz w:val="24"/>
          <w:szCs w:val="24"/>
          <w:color w:val="auto"/>
        </w:rPr>
      </w:pPr>
    </w:p>
    <w:p>
      <w:pPr>
        <w:ind w:left="326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p>
      <w:pPr>
        <w:spacing w:after="0" w:line="28" w:lineRule="exact"/>
        <w:rPr>
          <w:sz w:val="24"/>
          <w:szCs w:val="24"/>
          <w:color w:val="auto"/>
        </w:rPr>
      </w:pPr>
    </w:p>
    <w:tbl>
      <w:tblPr>
        <w:tblLayout w:type="fixed"/>
        <w:tblInd w:w="400" w:type="dxa"/>
        <w:tblCellMar>
          <w:top w:w="0" w:type="dxa"/>
          <w:left w:w="0" w:type="dxa"/>
          <w:bottom w:w="0" w:type="dxa"/>
          <w:right w:w="0" w:type="dxa"/>
        </w:tblCellMar>
      </w:tblPr>
      <w:tr>
        <w:trPr>
          <w:trHeight w:val="204"/>
        </w:trPr>
        <w:tc>
          <w:tcPr>
            <w:tcW w:w="3840" w:type="dxa"/>
            <w:vAlign w:val="bottom"/>
            <w:tcBorders>
              <w:top w:val="single" w:sz="8" w:color="auto"/>
              <w:bottom w:val="single" w:sz="8" w:color="auto"/>
            </w:tcBorders>
          </w:tcPr>
          <w:p>
            <w:pPr>
              <w:jc w:val="center"/>
              <w:ind w:left="250"/>
              <w:spacing w:after="0"/>
              <w:rPr>
                <w:sz w:val="20"/>
                <w:szCs w:val="20"/>
                <w:color w:val="auto"/>
              </w:rPr>
            </w:pPr>
            <w:r>
              <w:rPr>
                <w:rFonts w:ascii="Times New Roman" w:cs="Times New Roman" w:eastAsia="Times New Roman" w:hAnsi="Times New Roman"/>
                <w:sz w:val="14"/>
                <w:szCs w:val="14"/>
                <w:b w:val="1"/>
                <w:bCs w:val="1"/>
                <w:color w:val="auto"/>
              </w:rPr>
              <w:t>Class</w:t>
            </w:r>
          </w:p>
        </w:tc>
        <w:tc>
          <w:tcPr>
            <w:tcW w:w="1820" w:type="dxa"/>
            <w:vAlign w:val="bottom"/>
            <w:tcBorders>
              <w:top w:val="single" w:sz="8" w:color="auto"/>
              <w:bottom w:val="single" w:sz="8" w:color="auto"/>
            </w:tcBorders>
          </w:tcPr>
          <w:p>
            <w:pPr>
              <w:jc w:val="center"/>
              <w:ind w:left="90"/>
              <w:spacing w:after="0"/>
              <w:rPr>
                <w:sz w:val="20"/>
                <w:szCs w:val="20"/>
                <w:color w:val="auto"/>
              </w:rPr>
            </w:pPr>
            <w:r>
              <w:rPr>
                <w:rFonts w:ascii="Times New Roman" w:cs="Times New Roman" w:eastAsia="Times New Roman" w:hAnsi="Times New Roman"/>
                <w:sz w:val="14"/>
                <w:szCs w:val="14"/>
                <w:b w:val="1"/>
                <w:bCs w:val="1"/>
                <w:color w:val="auto"/>
                <w:w w:val="98"/>
              </w:rPr>
              <w:t>Trading symbol</w:t>
            </w:r>
          </w:p>
        </w:tc>
        <w:tc>
          <w:tcPr>
            <w:tcW w:w="3480" w:type="dxa"/>
            <w:vAlign w:val="bottom"/>
            <w:tcBorders>
              <w:top w:val="single" w:sz="8" w:color="auto"/>
              <w:bottom w:val="single" w:sz="8" w:color="auto"/>
            </w:tcBorders>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84"/>
        </w:trPr>
        <w:tc>
          <w:tcPr>
            <w:tcW w:w="3840" w:type="dxa"/>
            <w:vAlign w:val="bottom"/>
          </w:tcPr>
          <w:p>
            <w:pPr>
              <w:jc w:val="center"/>
              <w:ind w:left="250"/>
              <w:spacing w:after="0"/>
              <w:rPr>
                <w:sz w:val="20"/>
                <w:szCs w:val="20"/>
                <w:color w:val="auto"/>
              </w:rPr>
            </w:pPr>
            <w:r>
              <w:rPr>
                <w:rFonts w:ascii="Times New Roman" w:cs="Times New Roman" w:eastAsia="Times New Roman" w:hAnsi="Times New Roman"/>
                <w:sz w:val="14"/>
                <w:szCs w:val="14"/>
                <w:b w:val="1"/>
                <w:bCs w:val="1"/>
                <w:color w:val="auto"/>
              </w:rPr>
              <w:t>Common Stock, $0.01 par value per share</w:t>
            </w:r>
          </w:p>
        </w:tc>
        <w:tc>
          <w:tcPr>
            <w:tcW w:w="1820" w:type="dxa"/>
            <w:vAlign w:val="bottom"/>
          </w:tcPr>
          <w:p>
            <w:pPr>
              <w:jc w:val="center"/>
              <w:ind w:left="110"/>
              <w:spacing w:after="0"/>
              <w:rPr>
                <w:sz w:val="20"/>
                <w:szCs w:val="20"/>
                <w:color w:val="auto"/>
              </w:rPr>
            </w:pPr>
            <w:r>
              <w:rPr>
                <w:rFonts w:ascii="Times New Roman" w:cs="Times New Roman" w:eastAsia="Times New Roman" w:hAnsi="Times New Roman"/>
                <w:sz w:val="14"/>
                <w:szCs w:val="14"/>
                <w:b w:val="1"/>
                <w:bCs w:val="1"/>
                <w:color w:val="auto"/>
              </w:rPr>
              <w:t>SSTK</w:t>
            </w:r>
          </w:p>
        </w:tc>
        <w:tc>
          <w:tcPr>
            <w:tcW w:w="3480" w:type="dxa"/>
            <w:vAlign w:val="bottom"/>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w w:val="98"/>
              </w:rPr>
              <w:t>New York Stock Exchange</w:t>
            </w:r>
          </w:p>
        </w:tc>
      </w:tr>
    </w:tbl>
    <w:p>
      <w:pPr>
        <w:spacing w:after="0" w:line="126" w:lineRule="exact"/>
        <w:rPr>
          <w:sz w:val="24"/>
          <w:szCs w:val="24"/>
          <w:color w:val="auto"/>
        </w:rPr>
      </w:pPr>
    </w:p>
    <w:p>
      <w:pPr>
        <w:ind w:left="700"/>
        <w:spacing w:after="0" w:line="23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2" w:lineRule="exact"/>
        <w:rPr>
          <w:sz w:val="24"/>
          <w:szCs w:val="24"/>
          <w:color w:val="auto"/>
        </w:rPr>
      </w:pPr>
    </w:p>
    <w:p>
      <w:pPr>
        <w:ind w:left="700" w:hanging="282"/>
        <w:spacing w:after="0"/>
        <w:tabs>
          <w:tab w:leader="none" w:pos="7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Emerging growth company</w:t>
      </w:r>
    </w:p>
    <w:p>
      <w:pPr>
        <w:spacing w:after="0" w:line="69" w:lineRule="exact"/>
        <w:rPr>
          <w:rFonts w:ascii="MS PGothic" w:cs="MS PGothic" w:eastAsia="MS PGothic" w:hAnsi="MS PGothic"/>
          <w:sz w:val="18"/>
          <w:szCs w:val="18"/>
          <w:color w:val="auto"/>
        </w:rPr>
      </w:pPr>
    </w:p>
    <w:p>
      <w:pPr>
        <w:ind w:left="700" w:hanging="282"/>
        <w:spacing w:after="0" w:line="231" w:lineRule="auto"/>
        <w:tabs>
          <w:tab w:leader="none" w:pos="7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1667510</wp:posOffset>
            </wp:positionV>
            <wp:extent cx="716089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293370</wp:posOffset>
            </wp:positionV>
            <wp:extent cx="6817995" cy="165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17995" cy="1651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268605</wp:posOffset>
            </wp:positionV>
            <wp:extent cx="68179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17995" cy="8255"/>
                    </a:xfrm>
                    <a:prstGeom prst="rect">
                      <a:avLst/>
                    </a:prstGeom>
                    <a:noFill/>
                  </pic:spPr>
                </pic:pic>
              </a:graphicData>
            </a:graphic>
          </wp:anchor>
        </w:drawing>
      </w:r>
    </w:p>
    <w:p>
      <w:pPr>
        <w:sectPr>
          <w:pgSz w:w="11900" w:h="16838" w:orient="portrait"/>
          <w:cols w:equalWidth="0" w:num="1">
            <w:col w:w="10860"/>
          </w:cols>
          <w:pgMar w:left="320" w:top="1440" w:right="719" w:bottom="1440" w:gutter="0" w:footer="0" w:header="0"/>
          <w:type w:val="continuous"/>
        </w:sectPr>
      </w:pPr>
    </w:p>
    <w:bookmarkStart w:id="1" w:name="page2"/>
    <w:bookmarkEnd w:id="1"/>
    <w:p>
      <w:pPr>
        <w:ind w:left="420"/>
        <w:spacing w:after="0"/>
        <w:tabs>
          <w:tab w:leader="none" w:pos="15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6"/>
          <w:szCs w:val="16"/>
          <w:b w:val="1"/>
          <w:bCs w:val="1"/>
          <w:color w:val="auto"/>
        </w:rPr>
        <w:t>Other Events.</w:t>
      </w:r>
    </w:p>
    <w:p>
      <w:pPr>
        <w:spacing w:after="0" w:line="203"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On January 26, 2026, the Board of Directors of the Company, declared a cash dividend of $0.36 per common share for shareholders of record as of March 5, 2026, payable on March 19, 2026.</w:t>
      </w:r>
    </w:p>
    <w:p>
      <w:pPr>
        <w:spacing w:after="0" w:line="200" w:lineRule="exact"/>
        <w:rPr>
          <w:sz w:val="20"/>
          <w:szCs w:val="20"/>
          <w:color w:val="auto"/>
        </w:rPr>
      </w:pPr>
    </w:p>
    <w:p>
      <w:pPr>
        <w:spacing w:after="0" w:line="29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014" w:right="359" w:bottom="1440" w:gutter="0" w:footer="0" w:header="0"/>
        </w:sectPr>
      </w:pPr>
    </w:p>
    <w:bookmarkStart w:id="2" w:name="page3"/>
    <w:bookmarkEnd w:id="2"/>
    <w:p>
      <w:pPr>
        <w:spacing w:after="0" w:line="4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3" w:lineRule="exact"/>
        <w:rPr>
          <w:sz w:val="20"/>
          <w:szCs w:val="20"/>
          <w:color w:val="auto"/>
        </w:rPr>
      </w:pPr>
    </w:p>
    <w:p>
      <w:pPr>
        <w:ind w:right="880" w:firstLine="439"/>
        <w:spacing w:after="0" w:line="248"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18" w:lineRule="exact"/>
        <w:rPr>
          <w:sz w:val="20"/>
          <w:szCs w:val="20"/>
          <w:color w:val="auto"/>
        </w:rPr>
      </w:pPr>
    </w:p>
    <w:tbl>
      <w:tblPr>
        <w:tblLayout w:type="fixed"/>
        <w:tblInd w:w="420" w:type="dxa"/>
        <w:tblCellMar>
          <w:top w:w="0" w:type="dxa"/>
          <w:left w:w="0" w:type="dxa"/>
          <w:bottom w:w="0" w:type="dxa"/>
          <w:right w:w="0" w:type="dxa"/>
        </w:tblCellMar>
      </w:tblPr>
      <w:tr>
        <w:trPr>
          <w:trHeight w:val="230"/>
        </w:trPr>
        <w:tc>
          <w:tcPr>
            <w:tcW w:w="3180" w:type="dxa"/>
            <w:vAlign w:val="bottom"/>
          </w:tcPr>
          <w:p>
            <w:pPr>
              <w:spacing w:after="0"/>
              <w:rPr>
                <w:sz w:val="20"/>
                <w:szCs w:val="20"/>
                <w:color w:val="auto"/>
              </w:rPr>
            </w:pPr>
          </w:p>
        </w:tc>
        <w:tc>
          <w:tcPr>
            <w:tcW w:w="7740" w:type="dxa"/>
            <w:vAlign w:val="bottom"/>
            <w:gridSpan w:val="2"/>
          </w:tcPr>
          <w:p>
            <w:pPr>
              <w:ind w:left="1460"/>
              <w:spacing w:after="0"/>
              <w:rPr>
                <w:sz w:val="20"/>
                <w:szCs w:val="20"/>
                <w:color w:val="auto"/>
              </w:rPr>
            </w:pPr>
            <w:r>
              <w:rPr>
                <w:rFonts w:ascii="Times New Roman" w:cs="Times New Roman" w:eastAsia="Times New Roman" w:hAnsi="Times New Roman"/>
                <w:sz w:val="18"/>
                <w:szCs w:val="18"/>
                <w:b w:val="1"/>
                <w:bCs w:val="1"/>
                <w:color w:val="auto"/>
              </w:rPr>
              <w:t>SHUTTERSTOCK, INC.</w:t>
            </w:r>
          </w:p>
        </w:tc>
      </w:tr>
      <w:tr>
        <w:trPr>
          <w:trHeight w:val="671"/>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Dated: January 26, 2026</w:t>
            </w:r>
          </w:p>
        </w:tc>
        <w:tc>
          <w:tcPr>
            <w:tcW w:w="206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By:</w:t>
            </w:r>
          </w:p>
        </w:tc>
        <w:tc>
          <w:tcPr>
            <w:tcW w:w="5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Rik Powell</w:t>
            </w:r>
          </w:p>
        </w:tc>
      </w:tr>
      <w:tr>
        <w:trPr>
          <w:trHeight w:val="212"/>
        </w:trPr>
        <w:tc>
          <w:tcPr>
            <w:tcW w:w="31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Rik Powell</w:t>
            </w:r>
          </w:p>
        </w:tc>
      </w:tr>
      <w:tr>
        <w:trPr>
          <w:trHeight w:val="228"/>
        </w:trPr>
        <w:tc>
          <w:tcPr>
            <w:tcW w:w="31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3</w:t>
      </w:r>
    </w:p>
    <w:sectPr>
      <w:pgSz w:w="11900" w:h="16838" w:orient="portrait"/>
      <w:cols w:equalWidth="0" w:num="1">
        <w:col w:w="11340"/>
      </w:cols>
      <w:pgMar w:left="32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2026-01-27T08:14:43Z</dcterms:created>
  <dcterms:modified xsi:type="dcterms:W3CDTF">2026-01-27T08:14:43Z</dcterms:modified>
</cp:coreProperties>
</file>