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99060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44"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31750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6"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46990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71"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001-35669</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8"/>
                <w:szCs w:val="18"/>
                <w:b w:val="1"/>
                <w:bCs w:val="1"/>
                <w:color w:val="auto"/>
                <w:w w:val="96"/>
              </w:rPr>
              <w:t>80-0812659</w:t>
            </w:r>
          </w:p>
        </w:tc>
      </w:tr>
      <w:tr>
        <w:trPr>
          <w:trHeight w:val="189"/>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60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of incorporation)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424"/>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6"/>
              </w:rPr>
              <w:t>350 Fifth Avenue, 20th Floor</w:t>
            </w:r>
          </w:p>
        </w:tc>
        <w:tc>
          <w:tcPr>
            <w:tcW w:w="1700" w:type="dxa"/>
            <w:vAlign w:val="bottom"/>
          </w:tcPr>
          <w:p>
            <w:pPr>
              <w:spacing w:after="0"/>
              <w:rPr>
                <w:sz w:val="24"/>
                <w:szCs w:val="24"/>
                <w:color w:val="auto"/>
              </w:rPr>
            </w:pPr>
          </w:p>
        </w:tc>
      </w:tr>
      <w:tr>
        <w:trPr>
          <w:trHeight w:val="213"/>
        </w:trPr>
        <w:tc>
          <w:tcPr>
            <w:tcW w:w="2040" w:type="dxa"/>
            <w:vAlign w:val="bottom"/>
          </w:tcPr>
          <w:p>
            <w:pPr>
              <w:spacing w:after="0"/>
              <w:rPr>
                <w:sz w:val="18"/>
                <w:szCs w:val="18"/>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5"/>
              </w:rPr>
              <w:t>New York, NY 10118</w:t>
            </w:r>
          </w:p>
        </w:tc>
        <w:tc>
          <w:tcPr>
            <w:tcW w:w="1700" w:type="dxa"/>
            <w:vAlign w:val="bottom"/>
          </w:tcPr>
          <w:p>
            <w:pPr>
              <w:spacing w:after="0"/>
              <w:rPr>
                <w:sz w:val="18"/>
                <w:szCs w:val="18"/>
                <w:color w:val="auto"/>
              </w:rPr>
            </w:pPr>
          </w:p>
        </w:tc>
      </w:tr>
      <w:tr>
        <w:trPr>
          <w:trHeight w:val="228"/>
        </w:trPr>
        <w:tc>
          <w:tcPr>
            <w:tcW w:w="2040" w:type="dxa"/>
            <w:vAlign w:val="bottom"/>
          </w:tcPr>
          <w:p>
            <w:pPr>
              <w:spacing w:after="0"/>
              <w:rPr>
                <w:sz w:val="19"/>
                <w:szCs w:val="19"/>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(Address of principal executive offices, including zip code)</w:t>
            </w:r>
          </w:p>
        </w:tc>
        <w:tc>
          <w:tcPr>
            <w:tcW w:w="1700" w:type="dxa"/>
            <w:vAlign w:val="bottom"/>
          </w:tcPr>
          <w:p>
            <w:pPr>
              <w:spacing w:after="0"/>
              <w:rPr>
                <w:sz w:val="19"/>
                <w:szCs w:val="19"/>
                <w:color w:val="auto"/>
              </w:rPr>
            </w:pPr>
          </w:p>
        </w:tc>
      </w:tr>
      <w:tr>
        <w:trPr>
          <w:trHeight w:val="31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7"/>
              </w:rPr>
              <w:t>(646) 710-3417</w:t>
            </w:r>
          </w:p>
        </w:tc>
        <w:tc>
          <w:tcPr>
            <w:tcW w:w="1700" w:type="dxa"/>
            <w:vAlign w:val="bottom"/>
          </w:tcPr>
          <w:p>
            <w:pPr>
              <w:spacing w:after="0"/>
              <w:rPr>
                <w:sz w:val="24"/>
                <w:szCs w:val="24"/>
                <w:color w:val="auto"/>
              </w:rPr>
            </w:pPr>
          </w:p>
        </w:tc>
      </w:tr>
    </w:tbl>
    <w:p>
      <w:pPr>
        <w:spacing w:after="0" w:line="8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provisions:</w:t>
      </w:r>
    </w:p>
    <w:p>
      <w:pPr>
        <w:ind w:left="840" w:hanging="580"/>
        <w:spacing w:after="0" w:line="182" w:lineRule="auto"/>
        <w:tabs>
          <w:tab w:leader="none" w:pos="84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6" w:lineRule="exact"/>
        <w:rPr>
          <w:sz w:val="24"/>
          <w:szCs w:val="24"/>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1"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438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180"/>
        </w:trPr>
        <w:tc>
          <w:tcPr>
            <w:tcW w:w="438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SSTK</w:t>
            </w:r>
          </w:p>
        </w:tc>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55" w:lineRule="exact"/>
        <w:rPr>
          <w:sz w:val="24"/>
          <w:szCs w:val="24"/>
          <w:color w:val="auto"/>
        </w:rPr>
      </w:pPr>
    </w:p>
    <w:p>
      <w:pPr>
        <w:ind w:left="620" w:right="16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20" w:hanging="45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08" w:lineRule="exact"/>
        <w:rPr>
          <w:rFonts w:ascii="MS PGothic" w:cs="MS PGothic" w:eastAsia="MS PGothic" w:hAnsi="MS PGothic"/>
          <w:sz w:val="18"/>
          <w:szCs w:val="18"/>
          <w:color w:val="auto"/>
        </w:rPr>
      </w:pPr>
    </w:p>
    <w:p>
      <w:pPr>
        <w:ind w:left="620" w:right="160" w:hanging="458"/>
        <w:spacing w:after="0" w:line="268" w:lineRule="auto"/>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1318260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102235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77470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440" w:top="1440" w:right="239" w:bottom="1440" w:gutter="0" w:footer="0" w:header="0"/>
        </w:sectPr>
      </w:pPr>
    </w:p>
    <w:bookmarkStart w:id="1" w:name="page2"/>
    <w:bookmarkEnd w:id="1"/>
    <w:p>
      <w:pPr>
        <w:spacing w:after="0" w:line="200" w:lineRule="exact"/>
        <w:rPr>
          <w:sz w:val="20"/>
          <w:szCs w:val="20"/>
          <w:color w:val="auto"/>
        </w:rPr>
      </w:pPr>
    </w:p>
    <w:p>
      <w:pPr>
        <w:spacing w:after="0" w:line="230"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ind w:firstLine="439"/>
        <w:spacing w:after="0" w:line="268" w:lineRule="auto"/>
        <w:rPr>
          <w:sz w:val="20"/>
          <w:szCs w:val="20"/>
          <w:color w:val="auto"/>
        </w:rPr>
      </w:pPr>
      <w:r>
        <w:rPr>
          <w:rFonts w:ascii="Times New Roman" w:cs="Times New Roman" w:eastAsia="Times New Roman" w:hAnsi="Times New Roman"/>
          <w:sz w:val="18"/>
          <w:szCs w:val="18"/>
          <w:color w:val="auto"/>
        </w:rPr>
        <w:t>On February 9, 2023, Shutterstock, Inc. (the “Company”) issued a press release announcing its financial results for the fiscal period ended December 31, 2022. A copy of the press release is furnished as Exhibit 99.1 to this current report and is incorporated herein by reference.</w:t>
      </w:r>
    </w:p>
    <w:p>
      <w:pPr>
        <w:spacing w:after="0" w:line="64"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58"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01" w:lineRule="exact"/>
        <w:rPr>
          <w:sz w:val="20"/>
          <w:szCs w:val="20"/>
          <w:color w:val="auto"/>
        </w:rPr>
      </w:pPr>
    </w:p>
    <w:p>
      <w:pPr>
        <w:ind w:left="740" w:hanging="340"/>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entitled “Shutterstock Reports Fourth Quarter and Full Year 2022 Financial Results” dated February 9, 2023</w:t>
      </w:r>
    </w:p>
    <w:p>
      <w:pPr>
        <w:spacing w:after="0" w:line="109"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1154430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2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7"/>
                <w:szCs w:val="17"/>
                <w:color w:val="auto"/>
              </w:rPr>
            </w:pPr>
          </w:p>
        </w:tc>
        <w:tc>
          <w:tcPr>
            <w:tcW w:w="9420" w:type="dxa"/>
            <w:vAlign w:val="bottom"/>
            <w:gridSpan w:val="2"/>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4"/>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01"/>
        </w:trPr>
        <w:tc>
          <w:tcPr>
            <w:tcW w:w="124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Press release entitled “Shutterstock Reports Fourth Quarter and Full Year 2022 Financial Results” dated February 9, 2023</w:t>
            </w:r>
          </w:p>
        </w:tc>
        <w:tc>
          <w:tcPr>
            <w:tcW w:w="880" w:type="dxa"/>
            <w:vAlign w:val="bottom"/>
          </w:tcPr>
          <w:p>
            <w:pPr>
              <w:spacing w:after="0"/>
              <w:rPr>
                <w:sz w:val="24"/>
                <w:szCs w:val="24"/>
                <w:color w:val="auto"/>
              </w:rPr>
            </w:pPr>
          </w:p>
        </w:tc>
      </w:tr>
      <w:tr>
        <w:trPr>
          <w:trHeight w:val="295"/>
        </w:trPr>
        <w:tc>
          <w:tcPr>
            <w:tcW w:w="124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440" w:right="559" w:bottom="1440" w:gutter="0" w:footer="0" w:header="0"/>
        </w:sectPr>
      </w:pPr>
    </w:p>
    <w:bookmarkStart w:id="3" w:name="page4"/>
    <w:bookmarkEnd w:id="3"/>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7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80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40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9, 2023</w:t>
            </w:r>
          </w:p>
        </w:tc>
        <w:tc>
          <w:tcPr>
            <w:tcW w:w="2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12"/>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Jarrod Yahes</w:t>
            </w:r>
          </w:p>
        </w:tc>
      </w:tr>
      <w:tr>
        <w:trPr>
          <w:trHeight w:val="228"/>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81915</wp:posOffset>
            </wp:positionV>
            <wp:extent cx="342582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5825"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Reports Fourth Quarter and Full Year 2022 Financial Results</w:t>
      </w:r>
    </w:p>
    <w:p>
      <w:pPr>
        <w:spacing w:after="0" w:line="200" w:lineRule="exact"/>
        <w:rPr>
          <w:sz w:val="20"/>
          <w:szCs w:val="20"/>
          <w:color w:val="auto"/>
        </w:rPr>
      </w:pPr>
    </w:p>
    <w:p>
      <w:pPr>
        <w:spacing w:after="0" w:line="225"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New York, NY - February 9, 2023 - </w:t>
      </w:r>
      <w:r>
        <w:rPr>
          <w:rFonts w:ascii="Times New Roman" w:cs="Times New Roman" w:eastAsia="Times New Roman" w:hAnsi="Times New Roman"/>
          <w:sz w:val="18"/>
          <w:szCs w:val="18"/>
          <w:color w:val="auto"/>
        </w:rPr>
        <w:t>Shutterstock, Inc. (NYSE: SSTK) (the “Company”), a global creative platform for transformative brands and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today announced financial results for the fourth quarter and full year ended December 31, 2022.</w:t>
      </w:r>
    </w:p>
    <w:p>
      <w:pPr>
        <w:spacing w:after="0" w:line="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Commenting on the Company’s performance, Paul Hennessy, the Company’s Chief Executive Officer, said, “I am delighted to report that Shutterstock achieved record revenues and EBITDA in the fourth quarter. For the full year 2022, we grew revenues by 7% and Adjusted EBITDA by 13% while expanding our Adjusted EBITDA margin to 26.3%. This marks the third consecutive year we have expanded our margins and in turn rewarded our shareholders with an increased dividend.</w:t>
      </w:r>
    </w:p>
    <w:p>
      <w:pPr>
        <w:spacing w:after="0" w:line="78"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18"/>
          <w:szCs w:val="18"/>
          <w:color w:val="auto"/>
        </w:rPr>
        <w:t>“Shutterstock has now fully integrated generative AI into our Creative Flow platform across all of our products, sales channels, geographies, and languages, and we have established major AI ecosystem partnerships leveraging our massive content library. I could not be any more excited about the rapid technology change we are experiencing in our industry and Shutterstock’s unique ability to reward our contributors for participating in this historic technology evolution around generative AI.”</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2022 highlights as compared to Fourth Quarter 2021:</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6% to $217.7 million. On a constant currency basis, revenue increased 9%.</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48% to $7.6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58% to $7.0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49% to $58.3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decreased $0.26 to $0.19.</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increased $0.28 to $1.05.</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increased 12% to $61.2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decreased 3% to $45.2 million.</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Key Operating Metrics</w:t>
      </w:r>
    </w:p>
    <w:p>
      <w:pPr>
        <w:spacing w:after="0" w:line="109" w:lineRule="exact"/>
        <w:rPr>
          <w:sz w:val="20"/>
          <w:szCs w:val="20"/>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increased to 586,000.</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revenue increased to $88.8 million.</w:t>
      </w:r>
    </w:p>
    <w:p>
      <w:pPr>
        <w:spacing w:after="0" w:line="3"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6"/>
        </w:numPr>
        <w:rPr>
          <w:rFonts w:ascii="Arial" w:cs="Arial" w:eastAsia="Arial" w:hAnsi="Arial"/>
          <w:sz w:val="12"/>
          <w:szCs w:val="12"/>
          <w:color w:val="auto"/>
        </w:rPr>
      </w:pPr>
      <w:r>
        <w:rPr>
          <w:rFonts w:ascii="Times New Roman" w:cs="Times New Roman" w:eastAsia="Times New Roman" w:hAnsi="Times New Roman"/>
          <w:sz w:val="18"/>
          <w:szCs w:val="18"/>
          <w:color w:val="auto"/>
        </w:rPr>
        <w:t>Average revenue per customer increased to $341.</w:t>
      </w:r>
    </w:p>
    <w:p>
      <w:pPr>
        <w:spacing w:after="0" w:line="3" w:lineRule="exact"/>
        <w:rPr>
          <w:rFonts w:ascii="Arial" w:cs="Arial" w:eastAsia="Arial" w:hAnsi="Arial"/>
          <w:sz w:val="12"/>
          <w:szCs w:val="12"/>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downloads decreased to 42.5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download increased to $4.49.</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collection expanded to 600 million images.</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collection expanded to 45 million clips.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2022 highlights as compared to Full Year 2021:</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7% to $827.8 million. On a constant currency basis, revenue increased 11%.</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13% to $93.6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17% to $76.1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13% to $218.1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decreased 15% to $2.08 per share.</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increased 11% to $3.87 per share.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Key Operating Metrics</w:t>
      </w:r>
    </w:p>
    <w:p>
      <w:pPr>
        <w:spacing w:after="0" w:line="109"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revenue increased to $346.6 million.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downloads decreased to 173.3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download increased to $4.40.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SHUTTERSTOCK INVESTOR RELATIONS MICRO SITE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Accessible at content.shutterstock.com/investor-report/index.html.</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Fourth quarter revenue of $217.7 million increased $11.9 million or 6% as compared to the fourth quarter of 2021. Revenue generated through our E-commerce sales channel decreased 5% as compared to the fourth quarter of 2021, to $122.3 million, and represented 56% of total revenue in the fourth quarter of 2022. The decline in E-commerce revenue was primarily driven by weakness in customer acquisition, partially offset by revenue generated from Pond5 which was acquired in May 2022. Revenue from our Enterprise sales channel increased 25% as compared to the fourth quarter of 2021, to $95.4 million, and represented 44% of fourth quarter revenue in 2022. The increase in Enterprise revenues was primarily driven by growth in our Computer Vision and multi-asset product offerings, in addition to revenue generated from our acquisitions of Pond5 and Splash News.</w:t>
      </w:r>
    </w:p>
    <w:p>
      <w:pPr>
        <w:spacing w:after="0" w:line="80"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6"/>
          <w:szCs w:val="16"/>
          <w:color w:val="auto"/>
        </w:rPr>
        <w:t>On a constant currency basis, revenue increased 9% in the fourth quarter of 2022 as compared to the fourth quarter of 2021. On a constant currency basis, E-commerce revenue decreased by 2% and Enterprise revenues increased by 30% in the fourth quarter of 2022, as compared to 2021. Over 30% of the Company’s revenues are denominated in foreign currencies, many of which have depreciated to historically low values in comparison to the U.S. Dollar.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diluted share</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of $7.0 million decreased $9.8 million as compared to $16.9 million for the fourth quarter in 2021. Net income per diluted share was $0.19, as compared to $0.45 for the same period in 2021. These decreases were driven by an $18.7 million impairment charge of lease and related assets, partially offset by growth in revenue in the fourth quarter of 2022, as compared to the same period in 2021.</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Adjusted net income per diluted share, which excludes the impairment of lease and related assets, was $1.05 as compared to $0.77 for the fourth quarter of 2021, an increase of $0.28 per diluted share.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of $58.3 million for the fourth quarter of 2022 increased by $19.1 million, or 49%, as compared to the fourth quarter of 2021, due primarily to increased revenue. The adjusted EBITDA margin of 26.8% for fourth quarter of 2022 increased by 780 basis points, as compared 19.0%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Full year revenue of $827.8 million increased $54.4 million or 7% as compared to 2021. Revenue generated through our E-commerce sales channel increased 2% as compared to the full year 2021, to $501.4 million and represented 61% of total revenue in 2022. Revenue from our Enterprise sales channel increased 15% as compared to 2021, to $326.4 million and represented 39% of total revenue in 2022.</w:t>
      </w:r>
    </w:p>
    <w:p>
      <w:pPr>
        <w:spacing w:after="0" w:line="7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On a constant currency basis, revenue increased 11% in 2022 as compared to 2021. On a constant currency basis, E-commerce and Enterprise revenues increased by 5% and 20%, respectively, in 2022, as compared to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Income per diluted share</w:t>
      </w:r>
    </w:p>
    <w:p>
      <w:pPr>
        <w:spacing w:after="0" w:line="163"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Net income of $76.1 million decreased $15.8 million as compared to $91.9 million for the full year 2021. Net income per diluted share was $2.08 as compared to $2.46 for the full year 2021. These decreases were driven primarily by an $18.7 million impairment of lease and related assets, partially offset by growth in revenue in 2022 compared to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per diluted share, which excludes the impairment of lease and related assets, was $3.87 as compared to $3.48 for the full year 2021.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Adjusted EBITDA of $218.1 million for 2022 increased $25.0 million or 13% as compared to the full year 2021, attributable to growth in revenues partially offset by higher operating expenses associated with our recent acquisitions.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of 26.3% for 2022 increased by 130 basis points, as compared to 25.0% for the full year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full year 2022, our cash and cash equivalents decreased by $198.9 million to $115.2 million at December 31, 2022, as compared with $314.0 million as of December 31, 2021. This decrease was driven by $275.6 million used in investing activities and $79.5 million used in financing activities, partially offset by $158.5 million of net cash provided by our operating activities. Net cash provided by our operating activities was favorably affected by our increased operating income, in addition to changes in the timing of payments pertaining to operating expenses.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Cash used in investing activities primarily consisted of (i) $211.8 million cash used in the acquisitions of Pond5 and Splash News; (ii) capital expenditures of $43.3 million for internal-use software and website development costs, and purchases of software and equipment; and (iii) $16.8 million paid to acquire the rights to distribute certain digital content in perpetuity. Cash used in financing activities primarily consisted of (i) $73.5 million paid in connection with the repurchase of common stock under our share repurchase program; (ii) $34.6 million related to the payment of the quarterly cash dividend; and (iii) $22.6 million paid in settlement of tax withholding obligations related to employee stock-based compensation awards. These amounts were partially offset by a $50.0 million drawdown from our credit facility.</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Free cash flow was $98.3 million for the full year 2022, a decrease of $81.0 million from the full year 2021. This change was primarily driven by lower cash flows from operating activities impacted by working capital and timing of cash expenditures.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111"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color w:val="auto"/>
        </w:rPr>
        <w:t>In December of 2022, the Company paid a cash dividend of $0.24 per common share or $8.6 million and during the year ended December 31, 2022, the Company paid cash dividends of $0.96 per common share, or $34.6 million.</w:t>
      </w:r>
    </w:p>
    <w:p>
      <w:pPr>
        <w:spacing w:after="0" w:line="6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On January 30, 2023, the Board of Directors declared a dividend of $0.27 per share of outstanding common stock, payable on March 16, 2023 to stockholders of record at the close of business on March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66"/>
        </w:trPr>
        <w:tc>
          <w:tcPr>
            <w:tcW w:w="47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2"/>
                <w:szCs w:val="12"/>
                <w:b w:val="1"/>
                <w:bCs w:val="1"/>
                <w:color w:val="auto"/>
              </w:rPr>
              <w:t>2022</w:t>
            </w: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2"/>
                <w:szCs w:val="12"/>
                <w:b w:val="1"/>
                <w:bCs w:val="1"/>
                <w:color w:val="auto"/>
                <w:w w:val="99"/>
              </w:rPr>
              <w:t>2021</w:t>
            </w:r>
          </w:p>
        </w:tc>
      </w:tr>
      <w:tr>
        <w:trPr>
          <w:trHeight w:val="51"/>
        </w:trPr>
        <w:tc>
          <w:tcPr>
            <w:tcW w:w="4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586,000</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343,000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586,000</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343,000</w:t>
            </w:r>
          </w:p>
        </w:tc>
      </w:tr>
      <w:tr>
        <w:trPr>
          <w:trHeight w:val="211"/>
        </w:trPr>
        <w:tc>
          <w:tcPr>
            <w:tcW w:w="47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(2)</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88.8</w:t>
            </w:r>
          </w:p>
        </w:tc>
        <w:tc>
          <w:tcPr>
            <w:tcW w:w="940" w:type="dxa"/>
            <w:vAlign w:val="bottom"/>
          </w:tcPr>
          <w:p>
            <w:pPr>
              <w:jc w:val="right"/>
              <w:ind w:right="70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346.6</w:t>
            </w:r>
          </w:p>
        </w:tc>
        <w:tc>
          <w:tcPr>
            <w:tcW w:w="68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w:t>
            </w:r>
          </w:p>
        </w:tc>
      </w:tr>
      <w:tr>
        <w:trPr>
          <w:trHeight w:val="92"/>
        </w:trPr>
        <w:tc>
          <w:tcPr>
            <w:tcW w:w="47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211"/>
        </w:trPr>
        <w:tc>
          <w:tcPr>
            <w:tcW w:w="47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(3)</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341</w:t>
            </w:r>
          </w:p>
        </w:tc>
        <w:tc>
          <w:tcPr>
            <w:tcW w:w="940" w:type="dxa"/>
            <w:vAlign w:val="bottom"/>
          </w:tcPr>
          <w:p>
            <w:pPr>
              <w:jc w:val="right"/>
              <w:ind w:right="70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341</w:t>
            </w:r>
          </w:p>
        </w:tc>
        <w:tc>
          <w:tcPr>
            <w:tcW w:w="68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0"/>
                <w:szCs w:val="20"/>
                <w:color w:val="auto"/>
                <w:vertAlign w:val="superscript"/>
              </w:rPr>
              <w:t>(4)</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42.5</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173.3</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r>
      <w:tr>
        <w:trPr>
          <w:trHeight w:val="211"/>
        </w:trPr>
        <w:tc>
          <w:tcPr>
            <w:tcW w:w="47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Revenue per download</w:t>
            </w:r>
            <w:r>
              <w:rPr>
                <w:rFonts w:ascii="Times New Roman" w:cs="Times New Roman" w:eastAsia="Times New Roman" w:hAnsi="Times New Roman"/>
                <w:sz w:val="20"/>
                <w:szCs w:val="20"/>
                <w:color w:val="auto"/>
                <w:vertAlign w:val="superscript"/>
              </w:rPr>
              <w:t>(5)</w:t>
            </w:r>
          </w:p>
        </w:tc>
        <w:tc>
          <w:tcPr>
            <w:tcW w:w="8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$4.40</w:t>
            </w: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Content in our collection (end of period, in millions)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8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600</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600</w:t>
            </w: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2"/>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45</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4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customer counts and revenues from our acquisitions of Pond5 and Splash News.</w:t>
      </w:r>
    </w:p>
    <w:p>
      <w:pPr>
        <w:spacing w:after="0" w:line="68" w:lineRule="exact"/>
        <w:rPr>
          <w:sz w:val="20"/>
          <w:szCs w:val="20"/>
          <w:color w:val="auto"/>
        </w:rPr>
      </w:pPr>
    </w:p>
    <w:p>
      <w:pPr>
        <w:ind w:left="180" w:hanging="175"/>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12"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76" w:lineRule="exact"/>
        <w:rPr>
          <w:rFonts w:ascii="Times New Roman" w:cs="Times New Roman" w:eastAsia="Times New Roman" w:hAnsi="Times New Roman"/>
          <w:sz w:val="12"/>
          <w:szCs w:val="12"/>
          <w:color w:val="auto"/>
        </w:rPr>
      </w:pPr>
    </w:p>
    <w:p>
      <w:pPr>
        <w:ind w:right="280" w:firstLine="5"/>
        <w:spacing w:after="0" w:line="288"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w:t>
      </w:r>
    </w:p>
    <w:p>
      <w:pPr>
        <w:spacing w:after="0" w:line="63" w:lineRule="exact"/>
        <w:rPr>
          <w:rFonts w:ascii="Times New Roman" w:cs="Times New Roman" w:eastAsia="Times New Roman" w:hAnsi="Times New Roman"/>
          <w:sz w:val="12"/>
          <w:szCs w:val="12"/>
          <w:color w:val="auto"/>
        </w:rPr>
      </w:pPr>
    </w:p>
    <w:p>
      <w:pPr>
        <w:ind w:right="220" w:firstLine="5"/>
        <w:spacing w:after="0" w:line="288"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per download is the amount of revenue recognized in a given period divided by the number of paid downloads in that period excluding revenue from custom content, revenue that is not derived from or associated with content licenses and revenue associated with our Computer Vision offering.</w:t>
      </w:r>
    </w:p>
    <w:p>
      <w:pPr>
        <w:spacing w:after="0" w:line="63" w:lineRule="exact"/>
        <w:rPr>
          <w:rFonts w:ascii="Times New Roman" w:cs="Times New Roman" w:eastAsia="Times New Roman" w:hAnsi="Times New Roman"/>
          <w:sz w:val="12"/>
          <w:szCs w:val="12"/>
          <w:color w:val="auto"/>
        </w:rPr>
      </w:pPr>
    </w:p>
    <w:p>
      <w:pPr>
        <w:jc w:val="both"/>
        <w:ind w:right="20" w:firstLine="5"/>
        <w:spacing w:after="0" w:line="281"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custom content and certain content that may be licensed for editorial use only.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GUIDANCE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expectations for the full year 2023 are as follows:</w:t>
      </w:r>
    </w:p>
    <w:p>
      <w:pPr>
        <w:spacing w:after="0" w:line="214" w:lineRule="exact"/>
        <w:rPr>
          <w:sz w:val="20"/>
          <w:szCs w:val="20"/>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$836 million to $853 million, representing annual growth of 1% to 3%.</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between $220 million to $228 million.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of between $3.90 to $4.05.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free cash flow.</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 defines adjusted EBITDA as net income adjusted for depreciation and amortization, non-cash equity-based compensation, impairment of lease and related assets, foreign currency transaction gains and losses, severance costs associated with strategic workforce optimizations, interest income and expense and income taxes; adjusted EBITDA margin as the ratio of adjusted EBITDA to revenue; adjusted net income as net income adjusted for the impact of non-cash equity-based compensation, amortization of acquisition-related intangible assets, impairment of lease and related assets, severance costs associated with strategic workforce optimizations and the estimated tax impact of such adjustments; adjusted net income per diluted share as adjusted net income divided by weighted average diluted shares;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free cash flow as cash provided by operating activities, adjusted for capital expenditures, and content acquisition. 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Shutterstock’s management believes that adjusted EBITDA, adjusted EBITDA margin, adjusted net income, adjusted net income per diluted share, revenue growth (including by distribution channel) on a constant currency basis (expressed as a percentage), billings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Shutterstock’s management also uses the non-GAAP financial measures adjusted EBITDA, adjusted EBITDA margin, adjusted net income, adjusted net income per diluted share, revenue growth (including by distribution channel) on a constant currency basis (expressed as a percentage), billings and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Reconciliations of the differences between adjusted EBITDA, adjusted EBITDA margin, adjusted net income, adjusted net income per diluted share, revenue growth (including by distribution channel) on a constant currency basis (expressed as a percentage), billings, free cash flow, and the most comparable financial measures calculated and presented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GAAP, are presented under the headings “Reconciliation of Non-GAAP Financial Information to GAAP” and “Supplemental Financial Data” immediately following the Consolidated Balance Sheets.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We do not provide a reconciliation of adjusted EBITDA guidance to net income guidance or a reconciliation of adjusted net income per diluted share guidance to net income per diluted share guidance, because we are unable to calculate with reasonable certainty the impact of potential future transactions, including, but not limited to, capital structure transactions, restructuring, acquisitions, divestitures or other events and asset impairments, without unreasonable effort. These amounts depend on various factors and could have a material impact on net income and net income per diluted share, but may be excluded from adjusted EBITDA and adjusted net income per diluted share. In addition, we believe such reconciliations would imply a degree of precision that would be confusing or misleading to investors. For the same reasons, the Company is unable to address the probable significance of the unavailable information.</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TELECONFERENCE INFORMATION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discuss its fourth quarter and full year financial results during a teleconference today, February 9, 2023, at 8:30 AM Eastern Time. The conference call is being webcast live at the Company's website at http://investor.shutterstock.com/. The webcast is listen-only. Those interested in participating in the question-and-answer session should register using the link below.</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Participants may register for the call here (https://register.vevent.com/register/BI39566d7a92534da8862f240e88561119) to receive the dial-in numbers and unique PIN to access the call seamlessly. It is recommended that you join 10 minutes prior to the event start (although you may register and dial in at any time during the call).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webcast replay of the call will be available on the Company's website beginning on February 9, 2023 at approximately 10:30 AM Eastern Time.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Shutterstock, Inc. (NYSE: SSTK), is a global creative platform for transformative brands and media companies. Directly and through its group subsidiaries, Shutterstock’s comprehensive collection includes high-quality licensed photographs, vectors, illustrations, 3D models, videos and music. Working with its growing community of over 2 million contributors, Shutterstock adds hundreds of thousands of images each week, and currently has 600 million images and 45 million video clips available.</w:t>
      </w:r>
    </w:p>
    <w:p>
      <w:pPr>
        <w:spacing w:after="0" w:line="7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Headquartered in New York City, Shutterstock has offices around the world and customers in more than 150 countries. The Company also owns Splash News, an entertainment news agency for newsrooms and media companies worldwide; Pond5, one of the world’s largest video marketplaces, TurboSquid, one of the world’s largest 3D content marketplaces; PicMonkey, an online graphic design and image editing platform; Offset, a high-end image collection; Shutterstock Studios, an end-to-end custom creative shop; PremiumBeat, a curated royalty-free music library; Shutterstock Editorial, a premier source of editorial images and videos for the world’s media; and Bigstock, a value-oriented stock media offering.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www.shutterstock.com and follow Shutterstock on Twitter and on Facebook.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particularly in the discussion under the caption “2023 Guidance.”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Investor Relations Contact</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Chris Suh</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ir@shutterstock.com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646-257-4825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Srey Dasgupta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press@shutterstock.com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62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217,726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773,415</w:t>
            </w: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87,925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277,659</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204,878</w:t>
            </w:r>
          </w:p>
        </w:tc>
        <w:tc>
          <w:tcPr>
            <w:tcW w:w="0" w:type="dxa"/>
            <w:vAlign w:val="bottom"/>
          </w:tcPr>
          <w:p>
            <w:pPr>
              <w:spacing w:after="0"/>
              <w:rPr>
                <w:sz w:val="1"/>
                <w:szCs w:val="1"/>
                <w:color w:val="auto"/>
              </w:rPr>
            </w:pPr>
          </w:p>
        </w:tc>
      </w:tr>
      <w:tr>
        <w:trPr>
          <w:trHeight w:val="209"/>
        </w:trPr>
        <w:tc>
          <w:tcPr>
            <w:tcW w:w="5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52,014</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38,559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130,758</w:t>
            </w:r>
          </w:p>
        </w:tc>
        <w:tc>
          <w:tcPr>
            <w:tcW w:w="0" w:type="dxa"/>
            <w:vAlign w:val="bottom"/>
          </w:tcPr>
          <w:p>
            <w:pPr>
              <w:spacing w:after="0"/>
              <w:rPr>
                <w:sz w:val="1"/>
                <w:szCs w:val="1"/>
                <w:color w:val="auto"/>
              </w:rPr>
            </w:pPr>
          </w:p>
        </w:tc>
      </w:tr>
      <w:tr>
        <w:trPr>
          <w:trHeight w:val="209"/>
        </w:trPr>
        <w:tc>
          <w:tcPr>
            <w:tcW w:w="5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210,079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191,189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665,309</w:t>
            </w: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108,106</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104,736</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177"/>
        </w:trPr>
        <w:tc>
          <w:tcPr>
            <w:tcW w:w="522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tcPr>
          <w:p>
            <w:pPr>
              <w:jc w:val="right"/>
              <w:ind w:right="8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7,046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16,886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76,103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91,883</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46"/>
        </w:trPr>
        <w:tc>
          <w:tcPr>
            <w:tcW w:w="5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36,147</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37,438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37,324</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$5,830 and $1,910</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47,707</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26,491</w:t>
            </w:r>
          </w:p>
        </w:tc>
        <w:tc>
          <w:tcPr>
            <w:tcW w:w="0" w:type="dxa"/>
            <w:vAlign w:val="bottom"/>
          </w:tcPr>
          <w:p>
            <w:pPr>
              <w:spacing w:after="0"/>
              <w:rPr>
                <w:sz w:val="1"/>
                <w:szCs w:val="1"/>
                <w:color w:val="auto"/>
              </w:rPr>
            </w:pPr>
          </w:p>
        </w:tc>
      </w:tr>
      <w:tr>
        <w:trPr>
          <w:trHeight w:val="202"/>
        </w:trPr>
        <w:tc>
          <w:tcPr>
            <w:tcW w:w="78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388,215</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48,074</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Intangibles assets,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219,816</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99,529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29,004</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180,979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333,784</w:t>
            </w:r>
          </w:p>
        </w:tc>
        <w:tc>
          <w:tcPr>
            <w:tcW w:w="0" w:type="dxa"/>
            <w:vAlign w:val="bottom"/>
          </w:tcPr>
          <w:p>
            <w:pPr>
              <w:spacing w:after="0"/>
              <w:rPr>
                <w:sz w:val="1"/>
                <w:szCs w:val="1"/>
                <w:color w:val="auto"/>
              </w:rPr>
            </w:pPr>
          </w:p>
        </w:tc>
      </w:tr>
      <w:tr>
        <w:trPr>
          <w:trHeight w:val="209"/>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36,966</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433,702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383,228</w:t>
            </w:r>
          </w:p>
        </w:tc>
        <w:tc>
          <w:tcPr>
            <w:tcW w:w="0" w:type="dxa"/>
            <w:vAlign w:val="bottom"/>
          </w:tcPr>
          <w:p>
            <w:pPr>
              <w:spacing w:after="0"/>
              <w:rPr>
                <w:sz w:val="1"/>
                <w:szCs w:val="1"/>
                <w:color w:val="auto"/>
              </w:rPr>
            </w:pPr>
          </w:p>
        </w:tc>
      </w:tr>
      <w:tr>
        <w:trPr>
          <w:trHeight w:val="19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 and contingencies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78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39,605 and 39,209 shares issued and 35,829 and</w:t>
            </w:r>
          </w:p>
        </w:tc>
        <w:tc>
          <w:tcPr>
            <w:tcW w:w="18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36,417 shares outstanding as of December 31, 2022 and December 31, 2021, respectively</w:t>
            </w: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376,537</w:t>
            </w: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Treasury stock, at cost; 3,776 and 2,792 shares as of December 31, 2022 and December 31, 2021, respectively</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(127,196)</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271,051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229,537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447,482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468,482</w:t>
            </w:r>
          </w:p>
        </w:tc>
        <w:tc>
          <w:tcPr>
            <w:tcW w:w="0" w:type="dxa"/>
            <w:vAlign w:val="bottom"/>
          </w:tcPr>
          <w:p>
            <w:pPr>
              <w:spacing w:after="0"/>
              <w:rPr>
                <w:sz w:val="1"/>
                <w:szCs w:val="1"/>
                <w:color w:val="auto"/>
              </w:rPr>
            </w:pPr>
          </w:p>
        </w:tc>
      </w:tr>
      <w:tr>
        <w:trPr>
          <w:trHeight w:val="20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72" w:right="339" w:bottom="1440" w:gutter="0" w:footer="0" w:header="0"/>
        </w:sectPr>
      </w:pPr>
    </w:p>
    <w:bookmarkStart w:id="13" w:name="page14"/>
    <w:bookmarkEnd w:id="13"/>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5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3"/>
                <w:szCs w:val="13"/>
                <w:color w:val="auto"/>
              </w:rPr>
            </w:pPr>
          </w:p>
        </w:tc>
      </w:tr>
      <w:tr>
        <w:trPr>
          <w:trHeight w:val="190"/>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90"/>
        </w:trPr>
        <w:tc>
          <w:tcPr>
            <w:tcW w:w="5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31"/>
        </w:trPr>
        <w:tc>
          <w:tcPr>
            <w:tcW w:w="5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91,883</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48,771</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36,179</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(13,184)</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34,444</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4,493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23,108</w:t>
            </w:r>
          </w:p>
        </w:tc>
      </w:tr>
      <w:tr>
        <w:trPr>
          <w:trHeight w:val="202"/>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61,162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158,451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216,372</w:t>
            </w:r>
          </w:p>
        </w:tc>
      </w:tr>
      <w:tr>
        <w:trPr>
          <w:trHeight w:val="127"/>
        </w:trPr>
        <w:tc>
          <w:tcPr>
            <w:tcW w:w="5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(28,125)</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(181,609)</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acquisitions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(31,639)</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content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 (payment) / release</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02"/>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(250,438)</w:t>
            </w:r>
          </w:p>
        </w:tc>
      </w:tr>
      <w:tr>
        <w:trPr>
          <w:trHeight w:val="127"/>
        </w:trPr>
        <w:tc>
          <w:tcPr>
            <w:tcW w:w="5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(22,726)</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(30,651)</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(26,493)</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(77,722)</w:t>
            </w:r>
          </w:p>
        </w:tc>
      </w:tr>
      <w:tr>
        <w:trPr>
          <w:trHeight w:val="127"/>
        </w:trPr>
        <w:tc>
          <w:tcPr>
            <w:tcW w:w="5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11"/>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r>
      <w:tr>
        <w:trPr>
          <w:trHeight w:val="202"/>
        </w:trPr>
        <w:tc>
          <w:tcPr>
            <w:tcW w:w="59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increase / (decrease) in cash, cash equivalents and restricted cash</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(114,557)</w:t>
            </w:r>
          </w:p>
        </w:tc>
      </w:tr>
      <w:tr>
        <w:trPr>
          <w:trHeight w:val="147"/>
        </w:trPr>
        <w:tc>
          <w:tcPr>
            <w:tcW w:w="5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0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76,244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300,579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314,017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428,574</w:t>
            </w:r>
          </w:p>
        </w:tc>
      </w:tr>
      <w:tr>
        <w:trPr>
          <w:trHeight w:val="22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115,154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93"/>
        </w:trPr>
        <w:tc>
          <w:tcPr>
            <w:tcW w:w="5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23,444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19,092</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Information to GAAP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Adjusted EBITDA, adjusted EBITDA margin, adjusted net income, adjusted net income per diluted share, revenue growth (including by distribution channel) on a constant currency basis (expressed as a percentage), billings and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r>
      <w:tr>
        <w:trPr>
          <w:trHeight w:val="166"/>
        </w:trPr>
        <w:tc>
          <w:tcPr>
            <w:tcW w:w="49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w w:val="91"/>
              </w:rPr>
              <w:t>2021</w:t>
            </w:r>
          </w:p>
        </w:tc>
      </w:tr>
      <w:tr>
        <w:trPr>
          <w:trHeight w:val="19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7,046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16,886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76,103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91,883</w:t>
            </w:r>
          </w:p>
        </w:tc>
      </w:tr>
      <w:tr>
        <w:trPr>
          <w:trHeight w:val="190"/>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18,636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15,040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68,470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48,771</w:t>
            </w:r>
          </w:p>
        </w:tc>
      </w:tr>
      <w:tr>
        <w:trPr>
          <w:trHeight w:val="190"/>
        </w:trPr>
        <w:tc>
          <w:tcPr>
            <w:tcW w:w="4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88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11,782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9,540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35,740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36,179</w:t>
            </w:r>
          </w:p>
        </w:tc>
      </w:tr>
      <w:tr>
        <w:trPr>
          <w:trHeight w:val="205"/>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lease and related assets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18,664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18,664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496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Other adjustments, net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4,163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3,370</w:t>
            </w:r>
          </w:p>
        </w:tc>
      </w:tr>
      <w:tr>
        <w:trPr>
          <w:trHeight w:val="191"/>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14,934</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12,853</w:t>
            </w:r>
          </w:p>
        </w:tc>
      </w:tr>
      <w:tr>
        <w:trPr>
          <w:trHeight w:val="197"/>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58,305</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39,174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218,074</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193,056</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26.3 %</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93" w:lineRule="exact"/>
        <w:rPr>
          <w:sz w:val="20"/>
          <w:szCs w:val="20"/>
          <w:color w:val="auto"/>
        </w:rPr>
      </w:pPr>
    </w:p>
    <w:p>
      <w:pPr>
        <w:ind w:left="640" w:hanging="319"/>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adjustments, net includes unrealized foreign currency transaction gains and losses, severance costs associated with strategic workforce optimizations and interest income and expense.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66"/>
        </w:trPr>
        <w:tc>
          <w:tcPr>
            <w:tcW w:w="5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2"/>
                <w:szCs w:val="12"/>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9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7,046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91,883</w:t>
            </w:r>
          </w:p>
        </w:tc>
        <w:tc>
          <w:tcPr>
            <w:tcW w:w="0" w:type="dxa"/>
            <w:vAlign w:val="bottom"/>
          </w:tcPr>
          <w:p>
            <w:pPr>
              <w:spacing w:after="0"/>
              <w:rPr>
                <w:sz w:val="1"/>
                <w:szCs w:val="1"/>
                <w:color w:val="auto"/>
              </w:rPr>
            </w:pPr>
          </w:p>
        </w:tc>
      </w:tr>
      <w:tr>
        <w:trPr>
          <w:trHeight w:val="190"/>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11,782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36,179</w:t>
            </w:r>
          </w:p>
        </w:tc>
        <w:tc>
          <w:tcPr>
            <w:tcW w:w="0" w:type="dxa"/>
            <w:vAlign w:val="bottom"/>
          </w:tcPr>
          <w:p>
            <w:pPr>
              <w:spacing w:after="0"/>
              <w:rPr>
                <w:sz w:val="1"/>
                <w:szCs w:val="1"/>
                <w:color w:val="auto"/>
              </w:rPr>
            </w:pPr>
          </w:p>
        </w:tc>
      </w:tr>
      <w:tr>
        <w:trPr>
          <w:trHeight w:val="190"/>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Tax effect of non-cash equity-based compensation </w:t>
            </w:r>
            <w:r>
              <w:rPr>
                <w:rFonts w:ascii="Times New Roman" w:cs="Times New Roman" w:eastAsia="Times New Roman" w:hAnsi="Times New Roman"/>
                <w:sz w:val="9"/>
                <w:szCs w:val="9"/>
                <w:color w:val="auto"/>
              </w:rPr>
              <w:t>(2)</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(8,502)</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Acquisition-related amortization expense </w:t>
            </w:r>
            <w:r>
              <w:rPr>
                <w:rFonts w:ascii="Times New Roman" w:cs="Times New Roman" w:eastAsia="Times New Roman" w:hAnsi="Times New Roman"/>
                <w:sz w:val="9"/>
                <w:szCs w:val="9"/>
                <w:color w:val="auto"/>
              </w:rPr>
              <w:t>(3)</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8,078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13,334</w:t>
            </w:r>
          </w:p>
        </w:tc>
        <w:tc>
          <w:tcPr>
            <w:tcW w:w="0" w:type="dxa"/>
            <w:vAlign w:val="bottom"/>
          </w:tcPr>
          <w:p>
            <w:pPr>
              <w:spacing w:after="0"/>
              <w:rPr>
                <w:sz w:val="1"/>
                <w:szCs w:val="1"/>
                <w:color w:val="auto"/>
              </w:rPr>
            </w:pPr>
          </w:p>
        </w:tc>
      </w:tr>
      <w:tr>
        <w:trPr>
          <w:trHeight w:val="190"/>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Tax effect of acquisition-related amortization expense </w:t>
            </w:r>
            <w:r>
              <w:rPr>
                <w:rFonts w:ascii="Times New Roman" w:cs="Times New Roman" w:eastAsia="Times New Roman" w:hAnsi="Times New Roman"/>
                <w:sz w:val="9"/>
                <w:szCs w:val="9"/>
                <w:color w:val="auto"/>
              </w:rPr>
              <w:t>(2)</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lease and related assets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18,664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effect of impairment of lease and related assets</w:t>
            </w:r>
            <w:r>
              <w:rPr>
                <w:rFonts w:ascii="Times New Roman" w:cs="Times New Roman" w:eastAsia="Times New Roman" w:hAnsi="Times New Roman"/>
                <w:sz w:val="9"/>
                <w:szCs w:val="9"/>
                <w:color w:val="auto"/>
              </w:rPr>
              <w:t>(2)</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effect of other</w:t>
            </w:r>
            <w:r>
              <w:rPr>
                <w:rFonts w:ascii="Times New Roman" w:cs="Times New Roman" w:eastAsia="Times New Roman" w:hAnsi="Times New Roman"/>
                <w:sz w:val="9"/>
                <w:szCs w:val="9"/>
                <w:color w:val="auto"/>
              </w:rPr>
              <w:t>(2)</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37,926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129,761</w:t>
            </w:r>
          </w:p>
        </w:tc>
        <w:tc>
          <w:tcPr>
            <w:tcW w:w="0" w:type="dxa"/>
            <w:vAlign w:val="bottom"/>
          </w:tcPr>
          <w:p>
            <w:pPr>
              <w:spacing w:after="0"/>
              <w:rPr>
                <w:sz w:val="1"/>
                <w:szCs w:val="1"/>
                <w:color w:val="auto"/>
              </w:rPr>
            </w:pPr>
          </w:p>
        </w:tc>
      </w:tr>
      <w:tr>
        <w:trPr>
          <w:trHeight w:val="23"/>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diluted share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20" w:type="dxa"/>
            <w:vAlign w:val="bottom"/>
            <w:vMerge w:val="continue"/>
          </w:tcPr>
          <w:p>
            <w:pPr>
              <w:spacing w:after="0"/>
              <w:rPr>
                <w:sz w:val="13"/>
                <w:szCs w:val="13"/>
                <w:color w:val="auto"/>
              </w:rPr>
            </w:pPr>
          </w:p>
        </w:tc>
        <w:tc>
          <w:tcPr>
            <w:tcW w:w="920" w:type="dxa"/>
            <w:vAlign w:val="bottom"/>
            <w:tcBorders>
              <w:bottom w:val="single" w:sz="8" w:color="auto"/>
            </w:tcBorders>
          </w:tcPr>
          <w:p>
            <w:pPr>
              <w:jc w:val="right"/>
              <w:ind w:right="753"/>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772"/>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0.77</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7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36,147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106" w:lineRule="exact"/>
        <w:rPr>
          <w:sz w:val="20"/>
          <w:szCs w:val="20"/>
          <w:color w:val="auto"/>
        </w:rPr>
      </w:pPr>
    </w:p>
    <w:p>
      <w:pPr>
        <w:ind w:left="640" w:hanging="319"/>
        <w:spacing w:after="0"/>
        <w:tabs>
          <w:tab w:leader="none" w:pos="6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Statutory tax rates are used to calculate the tax effect of the adjustments.</w:t>
      </w:r>
    </w:p>
    <w:p>
      <w:pPr>
        <w:spacing w:after="0" w:line="20" w:lineRule="exact"/>
        <w:rPr>
          <w:rFonts w:ascii="Times New Roman" w:cs="Times New Roman" w:eastAsia="Times New Roman" w:hAnsi="Times New Roman"/>
          <w:sz w:val="12"/>
          <w:szCs w:val="12"/>
          <w:color w:val="auto"/>
        </w:rPr>
      </w:pPr>
    </w:p>
    <w:p>
      <w:pPr>
        <w:ind w:left="640" w:right="180" w:hanging="319"/>
        <w:spacing w:after="0" w:line="264" w:lineRule="auto"/>
        <w:tabs>
          <w:tab w:leader="none" w:pos="63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these amounts, $7.5 million and $5.3 million are included in cost of revenue for the three months ended December 31, 2022 and 2021, respectively, and $27.0 million and $10.2 million are included in cost of revenue for the years ended December 31, 2022 and 2021, respectively. The remainder of acquisition-related amortization expense is included in general and administrative expense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8"/>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60" w:type="dxa"/>
            <w:vAlign w:val="bottom"/>
          </w:tcPr>
          <w:p>
            <w:pPr>
              <w:spacing w:after="0"/>
              <w:rPr>
                <w:sz w:val="14"/>
                <w:szCs w:val="14"/>
                <w:color w:val="auto"/>
              </w:rPr>
            </w:pPr>
          </w:p>
        </w:tc>
      </w:tr>
      <w:tr>
        <w:trPr>
          <w:trHeight w:val="166"/>
        </w:trPr>
        <w:tc>
          <w:tcPr>
            <w:tcW w:w="49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w w:val="91"/>
              </w:rPr>
              <w:t>2021</w:t>
            </w:r>
          </w:p>
        </w:tc>
      </w:tr>
      <w:tr>
        <w:trPr>
          <w:trHeight w:val="19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217,726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205,783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827,826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773,415</w:t>
            </w:r>
          </w:p>
        </w:tc>
      </w:tr>
      <w:tr>
        <w:trPr>
          <w:trHeight w:val="92"/>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on a constant currency basis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05"/>
        </w:trPr>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E-commerce revenues</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122,332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129,390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501,384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490,212</w:t>
            </w:r>
          </w:p>
        </w:tc>
      </w:tr>
      <w:tr>
        <w:trPr>
          <w:trHeight w:val="19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E-commerce</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20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E-commerce on a constant currency basis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92"/>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Enterprise revenues</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95,394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76,393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326,442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283,203</w:t>
            </w:r>
          </w:p>
        </w:tc>
      </w:tr>
      <w:tr>
        <w:trPr>
          <w:trHeight w:val="19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Enterprise</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growth: Enterprise on a constant currency basis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730"/>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73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6"/>
        </w:trPr>
        <w:tc>
          <w:tcPr>
            <w:tcW w:w="49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w w:val="99"/>
              </w:rPr>
              <w:t>2021</w:t>
            </w:r>
          </w:p>
        </w:tc>
      </w:tr>
      <w:tr>
        <w:trPr>
          <w:trHeight w:val="19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61,162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54,514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158,451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216,372</w:t>
            </w:r>
          </w:p>
        </w:tc>
      </w:tr>
      <w:tr>
        <w:trPr>
          <w:trHeight w:val="190"/>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(6,958)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(43,296)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(28,125)</w:t>
            </w:r>
          </w:p>
        </w:tc>
      </w:tr>
      <w:tr>
        <w:trPr>
          <w:trHeight w:val="205"/>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Content acquisition</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(16,821)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w:t>
            </w: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300" w:type="dxa"/>
            <w:vAlign w:val="bottom"/>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45,158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46,572</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98,334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179,373</w:t>
            </w:r>
          </w:p>
        </w:tc>
      </w:tr>
      <w:tr>
        <w:trPr>
          <w:trHeight w:val="26"/>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684"/>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73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6"/>
        </w:trPr>
        <w:tc>
          <w:tcPr>
            <w:tcW w:w="49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w w:val="99"/>
              </w:rPr>
              <w:t>2021</w:t>
            </w:r>
          </w:p>
        </w:tc>
      </w:tr>
      <w:tr>
        <w:trPr>
          <w:trHeight w:val="19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E-commerce revenue</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122,332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129,390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501,384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490,212</w:t>
            </w:r>
          </w:p>
        </w:tc>
      </w:tr>
      <w:tr>
        <w:trPr>
          <w:trHeight w:val="19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Enterprise revenue</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95,394</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76,393</w:t>
            </w:r>
          </w:p>
        </w:tc>
        <w:tc>
          <w:tcPr>
            <w:tcW w:w="20" w:type="dxa"/>
            <w:vAlign w:val="bottom"/>
          </w:tcPr>
          <w:p>
            <w:pPr>
              <w:spacing w:after="0"/>
              <w:rPr>
                <w:sz w:val="16"/>
                <w:szCs w:val="16"/>
                <w:color w:val="auto"/>
              </w:rPr>
            </w:pP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326,442</w:t>
            </w:r>
          </w:p>
        </w:tc>
        <w:tc>
          <w:tcPr>
            <w:tcW w:w="40" w:type="dxa"/>
            <w:vAlign w:val="bottom"/>
          </w:tcPr>
          <w:p>
            <w:pPr>
              <w:spacing w:after="0"/>
              <w:rPr>
                <w:sz w:val="16"/>
                <w:szCs w:val="16"/>
                <w:color w:val="auto"/>
              </w:rPr>
            </w:pPr>
          </w:p>
        </w:tc>
        <w:tc>
          <w:tcPr>
            <w:tcW w:w="64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283,203</w:t>
            </w:r>
          </w:p>
        </w:tc>
      </w:tr>
      <w:tr>
        <w:trPr>
          <w:trHeight w:val="191"/>
        </w:trPr>
        <w:tc>
          <w:tcPr>
            <w:tcW w:w="4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217,726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205,783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827,826</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773,415</w:t>
            </w:r>
          </w:p>
        </w:tc>
      </w:tr>
      <w:tr>
        <w:trPr>
          <w:trHeight w:val="92"/>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total deferred revenue</w:t>
            </w:r>
            <w:r>
              <w:rPr>
                <w:rFonts w:ascii="Times New Roman" w:cs="Times New Roman" w:eastAsia="Times New Roman" w:hAnsi="Times New Roman"/>
                <w:sz w:val="9"/>
                <w:szCs w:val="9"/>
                <w:color w:val="auto"/>
              </w:rPr>
              <w:t>(1)</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12,686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9,359</w:t>
            </w: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2,386</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22,161</w:t>
            </w:r>
          </w:p>
        </w:tc>
      </w:tr>
      <w:tr>
        <w:trPr>
          <w:trHeight w:val="184"/>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billings</w:t>
            </w:r>
          </w:p>
        </w:tc>
        <w:tc>
          <w:tcPr>
            <w:tcW w:w="3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230,412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215,142</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830,212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795,576</w:t>
            </w:r>
          </w:p>
        </w:tc>
      </w:tr>
      <w:tr>
        <w:trPr>
          <w:trHeight w:val="26"/>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Change in total deferred revenue excludes deferred revenue acquired through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Historical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4"/>
        </w:trPr>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3/31/22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3/31/21</w:t>
            </w:r>
          </w:p>
        </w:tc>
      </w:tr>
      <w:tr>
        <w:trPr>
          <w:trHeight w:val="26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Subscribers (end of period, in thousands)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Subscriber revenue (in millions) </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92"/>
        </w:trPr>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Average revenue per customer (last twelve months) </w:t>
            </w:r>
            <w:r>
              <w:rPr>
                <w:rFonts w:ascii="Times New Roman" w:cs="Times New Roman" w:eastAsia="Times New Roman" w:hAnsi="Times New Roman"/>
                <w:sz w:val="20"/>
                <w:szCs w:val="20"/>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211"/>
        </w:trPr>
        <w:tc>
          <w:tcPr>
            <w:tcW w:w="4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Paid downloads (in millions)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Revenue per download </w:t>
            </w:r>
            <w:r>
              <w:rPr>
                <w:rFonts w:ascii="Times New Roman" w:cs="Times New Roman" w:eastAsia="Times New Roman" w:hAnsi="Times New Roman"/>
                <w:sz w:val="20"/>
                <w:szCs w:val="20"/>
                <w:color w:val="auto"/>
                <w:vertAlign w:val="superscript"/>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211"/>
        </w:trPr>
        <w:tc>
          <w:tcPr>
            <w:tcW w:w="4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Content in our collection (end of period, in millions): </w:t>
            </w:r>
            <w:r>
              <w:rPr>
                <w:rFonts w:ascii="Times New Roman" w:cs="Times New Roman" w:eastAsia="Times New Roman" w:hAnsi="Times New Roman"/>
                <w:sz w:val="20"/>
                <w:szCs w:val="20"/>
                <w:color w:val="auto"/>
                <w:vertAlign w:val="superscript"/>
              </w:rPr>
              <w:t>(6)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1"/>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207"/>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18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customer counts and revenues from our acquisitions of Pond5 and Splash News.</w:t>
      </w:r>
    </w:p>
    <w:p>
      <w:pPr>
        <w:spacing w:after="0" w:line="74" w:lineRule="exact"/>
        <w:rPr>
          <w:sz w:val="20"/>
          <w:szCs w:val="20"/>
          <w:color w:val="auto"/>
        </w:rPr>
      </w:pPr>
    </w:p>
    <w:p>
      <w:pPr>
        <w:ind w:left="180" w:hanging="175"/>
        <w:spacing w:after="0"/>
        <w:tabs>
          <w:tab w:leader="none" w:pos="1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25"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63" w:lineRule="exact"/>
        <w:rPr>
          <w:rFonts w:ascii="Times New Roman" w:cs="Times New Roman" w:eastAsia="Times New Roman" w:hAnsi="Times New Roman"/>
          <w:sz w:val="12"/>
          <w:szCs w:val="12"/>
          <w:color w:val="auto"/>
        </w:rPr>
      </w:pPr>
    </w:p>
    <w:p>
      <w:pPr>
        <w:ind w:right="280" w:firstLine="5"/>
        <w:spacing w:after="0" w:line="288" w:lineRule="auto"/>
        <w:tabs>
          <w:tab w:leader="none" w:pos="17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w:t>
      </w:r>
    </w:p>
    <w:p>
      <w:pPr>
        <w:spacing w:after="0" w:line="63" w:lineRule="exact"/>
        <w:rPr>
          <w:rFonts w:ascii="Times New Roman" w:cs="Times New Roman" w:eastAsia="Times New Roman" w:hAnsi="Times New Roman"/>
          <w:sz w:val="12"/>
          <w:szCs w:val="12"/>
          <w:color w:val="auto"/>
        </w:rPr>
      </w:pPr>
    </w:p>
    <w:p>
      <w:pPr>
        <w:ind w:right="220" w:firstLine="5"/>
        <w:spacing w:after="0" w:line="311" w:lineRule="auto"/>
        <w:tabs>
          <w:tab w:leader="none" w:pos="17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per download is the amount of revenue recognized in a given period divided by the number of paid downloads in that period excluding revenue from custom content, revenue that is not derived from or associated with content licenses and revenue associated with our Computer Vision offering.</w:t>
      </w:r>
    </w:p>
    <w:p>
      <w:pPr>
        <w:spacing w:after="0" w:line="50" w:lineRule="exact"/>
        <w:rPr>
          <w:rFonts w:ascii="Times New Roman" w:cs="Times New Roman" w:eastAsia="Times New Roman" w:hAnsi="Times New Roman"/>
          <w:sz w:val="12"/>
          <w:szCs w:val="12"/>
          <w:color w:val="auto"/>
        </w:rPr>
      </w:pPr>
    </w:p>
    <w:p>
      <w:pPr>
        <w:jc w:val="both"/>
        <w:ind w:right="20" w:firstLine="5"/>
        <w:spacing w:after="0" w:line="270" w:lineRule="auto"/>
        <w:tabs>
          <w:tab w:leader="none" w:pos="17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custom content and certain content that may be licensed for editorial use only.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9/30/22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3/31/22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6/30/21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3/31/21</w:t>
            </w:r>
          </w:p>
        </w:tc>
      </w:tr>
      <w:tr>
        <w:trPr>
          <w:trHeight w:val="25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1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w:t>
            </w:r>
          </w:p>
        </w:tc>
      </w:tr>
      <w:tr>
        <w:trPr>
          <w:trHeight w:val="18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non-cash equity-based compensation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8,210</w:t>
            </w: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3/31/22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9/30/21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6/30/21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3/31/21</w:t>
            </w:r>
          </w:p>
        </w:tc>
      </w:tr>
      <w:tr>
        <w:trPr>
          <w:trHeight w:val="25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8,311</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r>
      <w:tr>
        <w:trPr>
          <w:trHeight w:val="189"/>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10,091</w:t>
            </w:r>
          </w:p>
        </w:tc>
      </w:tr>
      <w:tr>
        <w:trPr>
          <w:trHeight w:val="21"/>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240"/>
      </w:cols>
      <w:pgMar w:left="320" w:top="1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4"/>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2023-02-09T06:07:49Z</dcterms:created>
  <dcterms:modified xsi:type="dcterms:W3CDTF">2023-02-09T06:07:49Z</dcterms:modified>
</cp:coreProperties>
</file>