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Upshaw Alfonse L</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12/07/2020</w:t>
            </w:r>
          </w:p>
        </w:tc>
        <w:tc>
          <w:tcPr>
            <w:tcW w:w="0" w:type="dxa"/>
            <w:vAlign w:val="bottom"/>
          </w:tcPr>
          <w:p>
            <w:pPr>
              <w:spacing w:after="0"/>
              <w:rPr>
                <w:sz w:val="1"/>
                <w:szCs w:val="1"/>
                <w:color w:val="auto"/>
              </w:rPr>
            </w:pPr>
          </w:p>
        </w:tc>
      </w:tr>
    </w:tbl>
    <w:p>
      <w:pPr>
        <w:spacing w:after="0" w:line="14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SHUTTERSTOCK, INC.</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20" w:type="dxa"/>
            <w:vAlign w:val="bottom"/>
          </w:tcPr>
          <w:p>
            <w:pPr>
              <w:ind w:left="80"/>
              <w:spacing w:after="0"/>
              <w:rPr>
                <w:sz w:val="20"/>
                <w:szCs w:val="20"/>
                <w:color w:val="auto"/>
              </w:rPr>
            </w:pPr>
            <w:r>
              <w:rPr>
                <w:rFonts w:ascii="Arial" w:cs="Arial" w:eastAsia="Arial" w:hAnsi="Arial"/>
                <w:sz w:val="15"/>
                <w:szCs w:val="15"/>
                <w:color w:val="auto"/>
                <w:w w:val="95"/>
              </w:rPr>
              <w:t>3.</w:t>
            </w:r>
          </w:p>
        </w:tc>
        <w:tc>
          <w:tcPr>
            <w:tcW w:w="3000" w:type="dxa"/>
            <w:vAlign w:val="bottom"/>
          </w:tcPr>
          <w:p>
            <w:pPr>
              <w:ind w:left="20"/>
              <w:spacing w:after="0"/>
              <w:rPr>
                <w:sz w:val="20"/>
                <w:szCs w:val="20"/>
                <w:color w:val="auto"/>
              </w:rPr>
            </w:pPr>
            <w:r>
              <w:rPr>
                <w:rFonts w:ascii="Arial" w:cs="Arial" w:eastAsia="Arial" w:hAnsi="Arial"/>
                <w:sz w:val="15"/>
                <w:szCs w:val="15"/>
                <w:color w:val="auto"/>
              </w:rPr>
              <w:t xml:space="preserve">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tc>
        <w:tc>
          <w:tcPr>
            <w:tcW w:w="2780" w:type="dxa"/>
            <w:vAlign w:val="bottom"/>
          </w:tcPr>
          <w:p>
            <w:pPr>
              <w:spacing w:after="0"/>
              <w:rPr>
                <w:sz w:val="14"/>
                <w:szCs w:val="14"/>
                <w:color w:val="auto"/>
              </w:rPr>
            </w:pPr>
          </w:p>
        </w:tc>
      </w:tr>
      <w:tr>
        <w:trPr>
          <w:trHeight w:val="312"/>
        </w:trPr>
        <w:tc>
          <w:tcPr>
            <w:tcW w:w="3220" w:type="dxa"/>
            <w:vAlign w:val="bottom"/>
            <w:gridSpan w:val="2"/>
          </w:tcPr>
          <w:p>
            <w:pPr>
              <w:ind w:left="80"/>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Shutterstock,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SSTK</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tc>
        <w:tc>
          <w:tcPr>
            <w:tcW w:w="2780" w:type="dxa"/>
            <w:vAlign w:val="bottom"/>
          </w:tcPr>
          <w:p>
            <w:pPr>
              <w:spacing w:after="0"/>
              <w:rPr>
                <w:sz w:val="24"/>
                <w:szCs w:val="24"/>
                <w:color w:val="auto"/>
              </w:rPr>
            </w:pPr>
          </w:p>
        </w:tc>
      </w:tr>
      <w:tr>
        <w:trPr>
          <w:trHeight w:val="313"/>
        </w:trPr>
        <w:tc>
          <w:tcPr>
            <w:tcW w:w="2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r>
      <w:tr>
        <w:trPr>
          <w:trHeight w:val="206"/>
        </w:trPr>
        <w:tc>
          <w:tcPr>
            <w:tcW w:w="220" w:type="dxa"/>
            <w:vAlign w:val="bottom"/>
          </w:tcPr>
          <w:p>
            <w:pPr>
              <w:ind w:left="80"/>
              <w:spacing w:after="0"/>
              <w:rPr>
                <w:sz w:val="20"/>
                <w:szCs w:val="20"/>
                <w:color w:val="auto"/>
              </w:rPr>
            </w:pPr>
            <w:r>
              <w:rPr>
                <w:rFonts w:ascii="Arial" w:cs="Arial" w:eastAsia="Arial" w:hAnsi="Arial"/>
                <w:sz w:val="15"/>
                <w:szCs w:val="15"/>
                <w:color w:val="auto"/>
                <w:w w:val="95"/>
              </w:rPr>
              <w:t>4.</w:t>
            </w:r>
          </w:p>
        </w:tc>
        <w:tc>
          <w:tcPr>
            <w:tcW w:w="3000" w:type="dxa"/>
            <w:vAlign w:val="bottom"/>
          </w:tcPr>
          <w:p>
            <w:pPr>
              <w:ind w:left="20"/>
              <w:spacing w:after="0"/>
              <w:rPr>
                <w:sz w:val="20"/>
                <w:szCs w:val="20"/>
                <w:color w:val="auto"/>
              </w:rPr>
            </w:pPr>
            <w:r>
              <w:rPr>
                <w:rFonts w:ascii="Arial" w:cs="Arial" w:eastAsia="Arial" w:hAnsi="Arial"/>
                <w:sz w:val="15"/>
                <w:szCs w:val="15"/>
                <w:color w:val="auto"/>
              </w:rPr>
              <w:t>Relationship of Reporting Person(s) to</w:t>
            </w:r>
          </w:p>
        </w:tc>
        <w:tc>
          <w:tcPr>
            <w:tcW w:w="2780" w:type="dxa"/>
            <w:vAlign w:val="bottom"/>
          </w:tcPr>
          <w:p>
            <w:pPr>
              <w:ind w:left="120"/>
              <w:spacing w:after="0"/>
              <w:rPr>
                <w:sz w:val="20"/>
                <w:szCs w:val="20"/>
                <w:color w:val="auto"/>
              </w:rPr>
            </w:pPr>
            <w:r>
              <w:rPr>
                <w:rFonts w:ascii="Arial" w:cs="Arial" w:eastAsia="Arial" w:hAnsi="Arial"/>
                <w:sz w:val="15"/>
                <w:szCs w:val="15"/>
                <w:color w:val="auto"/>
              </w:rPr>
              <w:t>5. If Amendment, Date of Original</w:t>
            </w:r>
          </w:p>
        </w:tc>
      </w:tr>
      <w:tr>
        <w:trPr>
          <w:trHeight w:val="165"/>
        </w:trPr>
        <w:tc>
          <w:tcPr>
            <w:tcW w:w="3220" w:type="dxa"/>
            <w:vAlign w:val="bottom"/>
            <w:gridSpan w:val="2"/>
          </w:tcPr>
          <w:p>
            <w:pPr>
              <w:ind w:left="80"/>
              <w:spacing w:after="0" w:line="165" w:lineRule="exact"/>
              <w:rPr>
                <w:sz w:val="20"/>
                <w:szCs w:val="20"/>
                <w:color w:val="auto"/>
              </w:rPr>
            </w:pPr>
            <w:r>
              <w:rPr>
                <w:rFonts w:ascii="Arial" w:cs="Arial" w:eastAsia="Arial" w:hAnsi="Arial"/>
                <w:sz w:val="15"/>
                <w:szCs w:val="15"/>
                <w:color w:val="auto"/>
              </w:rPr>
              <w:t>Issuer</w:t>
            </w:r>
          </w:p>
        </w:tc>
        <w:tc>
          <w:tcPr>
            <w:tcW w:w="2780" w:type="dxa"/>
            <w:vAlign w:val="bottom"/>
          </w:tcPr>
          <w:p>
            <w:pPr>
              <w:ind w:left="120"/>
              <w:spacing w:after="0" w:line="165" w:lineRule="exact"/>
              <w:rPr>
                <w:sz w:val="20"/>
                <w:szCs w:val="20"/>
                <w:color w:val="auto"/>
              </w:rPr>
            </w:pPr>
            <w:r>
              <w:rPr>
                <w:rFonts w:ascii="Arial" w:cs="Arial" w:eastAsia="Arial" w:hAnsi="Arial"/>
                <w:sz w:val="15"/>
                <w:szCs w:val="15"/>
                <w:color w:val="auto"/>
              </w:rPr>
              <w:t>Filed (Month/Day/Year)</w:t>
            </w:r>
          </w:p>
        </w:tc>
      </w:tr>
      <w:tr>
        <w:trPr>
          <w:trHeight w:val="202"/>
        </w:trPr>
        <w:tc>
          <w:tcPr>
            <w:tcW w:w="3220" w:type="dxa"/>
            <w:vAlign w:val="bottom"/>
            <w:gridSpan w:val="2"/>
          </w:tcPr>
          <w:p>
            <w:pPr>
              <w:ind w:left="80"/>
              <w:spacing w:after="0"/>
              <w:rPr>
                <w:sz w:val="20"/>
                <w:szCs w:val="20"/>
                <w:color w:val="auto"/>
              </w:rPr>
            </w:pPr>
            <w:r>
              <w:rPr>
                <w:rFonts w:ascii="Arial" w:cs="Arial" w:eastAsia="Arial" w:hAnsi="Arial"/>
                <w:sz w:val="15"/>
                <w:szCs w:val="15"/>
                <w:color w:val="auto"/>
              </w:rPr>
              <w:t>(Check all applicable)</w:t>
            </w:r>
          </w:p>
        </w:tc>
        <w:tc>
          <w:tcPr>
            <w:tcW w:w="2780" w:type="dxa"/>
            <w:vAlign w:val="bottom"/>
          </w:tcPr>
          <w:p>
            <w:pPr>
              <w:spacing w:after="0"/>
              <w:rPr>
                <w:sz w:val="17"/>
                <w:szCs w:val="17"/>
                <w:color w:val="auto"/>
              </w:rPr>
            </w:pPr>
          </w:p>
        </w:tc>
      </w:tr>
    </w:tbl>
    <w:p>
      <w:pPr>
        <w:spacing w:after="0" w:line="2" w:lineRule="exact"/>
        <w:rPr>
          <w:sz w:val="24"/>
          <w:szCs w:val="24"/>
          <w:color w:val="auto"/>
        </w:rPr>
      </w:pPr>
    </w:p>
    <w:p>
      <w:pPr>
        <w:sectPr>
          <w:pgSz w:w="11900" w:h="16838" w:orient="portrait"/>
          <w:cols w:equalWidth="0" w:num="2">
            <w:col w:w="4720" w:space="200"/>
            <w:col w:w="6020"/>
          </w:cols>
          <w:pgMar w:left="480" w:top="230" w:right="479" w:bottom="1440" w:gutter="0" w:footer="0" w:header="0"/>
          <w:type w:val="continuous"/>
        </w:sectPr>
      </w:pPr>
    </w:p>
    <w:p>
      <w:pPr>
        <w:spacing w:after="0" w:line="69" w:lineRule="exact"/>
        <w:rPr>
          <w:sz w:val="24"/>
          <w:szCs w:val="24"/>
          <w:color w:val="auto"/>
        </w:rPr>
      </w:pPr>
    </w:p>
    <w:tbl>
      <w:tblPr>
        <w:tblLayout w:type="fixed"/>
        <w:tblInd w:w="100" w:type="dxa"/>
        <w:tblCellMar>
          <w:top w:w="0" w:type="dxa"/>
          <w:left w:w="0" w:type="dxa"/>
          <w:bottom w:w="0" w:type="dxa"/>
          <w:right w:w="0" w:type="dxa"/>
        </w:tblCellMar>
      </w:tblPr>
      <w:tr>
        <w:trPr>
          <w:trHeight w:val="254"/>
        </w:trPr>
        <w:tc>
          <w:tcPr>
            <w:tcW w:w="2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6"/>
              </w:rPr>
              <w:t>350 FIFTH AVENUE, 21ST FLOOR</w:t>
            </w:r>
          </w:p>
        </w:tc>
        <w:tc>
          <w:tcPr>
            <w:tcW w:w="0" w:type="dxa"/>
            <w:vAlign w:val="bottom"/>
          </w:tcPr>
          <w:p>
            <w:pPr>
              <w:spacing w:after="0"/>
              <w:rPr>
                <w:sz w:val="1"/>
                <w:szCs w:val="1"/>
                <w:color w:val="auto"/>
              </w:rPr>
            </w:pPr>
          </w:p>
        </w:tc>
      </w:tr>
      <w:tr>
        <w:trPr>
          <w:trHeight w:val="500"/>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240" w:type="dxa"/>
            <w:vAlign w:val="bottom"/>
            <w:vMerge w:val="restart"/>
          </w:tcPr>
          <w:p>
            <w:pPr>
              <w:jc w:val="right"/>
              <w:ind w:right="282"/>
              <w:spacing w:after="0"/>
              <w:rPr>
                <w:sz w:val="20"/>
                <w:szCs w:val="20"/>
                <w:color w:val="auto"/>
              </w:rPr>
            </w:pPr>
            <w:r>
              <w:rPr>
                <w:rFonts w:ascii="Times New Roman" w:cs="Times New Roman" w:eastAsia="Times New Roman" w:hAnsi="Times New Roman"/>
                <w:sz w:val="20"/>
                <w:szCs w:val="20"/>
                <w:color w:val="0000FF"/>
              </w:rPr>
              <w:t>10118</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0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20" w:val="left"/>
          <w:tab w:leader="none" w:pos="1860"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340"/>
        <w:spacing w:after="0"/>
        <w:tabs>
          <w:tab w:leader="none" w:pos="1860"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ind w:left="-9" w:right="480" w:firstLine="9"/>
        <w:spacing w:after="0" w:line="255" w:lineRule="auto"/>
        <w:tabs>
          <w:tab w:leader="none" w:pos="158" w:val="left"/>
        </w:tabs>
        <w:numPr>
          <w:ilvl w:val="0"/>
          <w:numId w:val="1"/>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2"/>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18" w:lineRule="exact"/>
        <w:rPr>
          <w:sz w:val="24"/>
          <w:szCs w:val="24"/>
          <w:color w:val="auto"/>
        </w:rPr>
      </w:pPr>
    </w:p>
    <w:p>
      <w:pPr>
        <w:sectPr>
          <w:pgSz w:w="11900" w:h="16838" w:orient="portrait"/>
          <w:cols w:equalWidth="0" w:num="3">
            <w:col w:w="4460" w:space="720"/>
            <w:col w:w="2820" w:space="269"/>
            <w:col w:w="2671"/>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3"/>
                <w:szCs w:val="13"/>
                <w:color w:val="auto"/>
              </w:rPr>
            </w:pPr>
          </w:p>
        </w:tc>
        <w:tc>
          <w:tcPr>
            <w:tcW w:w="1240" w:type="dxa"/>
            <w:vAlign w:val="bottom"/>
          </w:tcPr>
          <w:p>
            <w:pPr>
              <w:ind w:left="60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Jennifer Munoz,</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12/08/2020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28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 in Fact</w:t>
            </w:r>
          </w:p>
        </w:tc>
        <w:tc>
          <w:tcPr>
            <w:tcW w:w="220" w:type="dxa"/>
            <w:vAlign w:val="bottom"/>
            <w:tcBorders>
              <w:top w:val="single" w:sz="8" w:color="auto"/>
              <w:bottom w:val="single" w:sz="8" w:color="auto"/>
            </w:tcBorders>
            <w:vMerge w:val="restart"/>
          </w:tcPr>
          <w:p>
            <w:pPr>
              <w:spacing w:after="0"/>
              <w:rPr>
                <w:sz w:val="8"/>
                <w:szCs w:val="8"/>
                <w:color w:val="auto"/>
              </w:rPr>
            </w:pPr>
          </w:p>
        </w:tc>
        <w:tc>
          <w:tcPr>
            <w:tcW w:w="6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280" w:type="dxa"/>
            <w:vAlign w:val="bottom"/>
            <w:tcBorders>
              <w:bottom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2479"/>
        <w:spacing w:after="0" w:line="279"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Chief Executive Officer, Chief Financial Officer, General Counsel and Corporate Secretary</w:t>
      </w:r>
    </w:p>
    <w:p>
      <w:pPr>
        <w:ind w:right="1559"/>
        <w:spacing w:after="0" w:line="274" w:lineRule="auto"/>
        <w:rPr>
          <w:sz w:val="20"/>
          <w:szCs w:val="20"/>
          <w:color w:val="auto"/>
        </w:rPr>
      </w:pPr>
      <w:r>
        <w:rPr>
          <w:rFonts w:ascii="Courier New" w:cs="Courier New" w:eastAsia="Courier New" w:hAnsi="Courier New"/>
          <w:sz w:val="20"/>
          <w:szCs w:val="20"/>
          <w:color w:val="auto"/>
        </w:rPr>
        <w:t>and Assistant Corporate Secretary of Shutterstock, Inc. (the "Company"), and each of them acting or signing alone, as his or her true and lawful attorney-in-fact to:</w:t>
      </w:r>
    </w:p>
    <w:p>
      <w:pPr>
        <w:spacing w:after="0" w:line="88" w:lineRule="exact"/>
        <w:rPr>
          <w:sz w:val="20"/>
          <w:szCs w:val="20"/>
          <w:color w:val="auto"/>
        </w:rPr>
      </w:pPr>
    </w:p>
    <w:p>
      <w:pPr>
        <w:ind w:right="2379"/>
        <w:spacing w:after="0" w:line="265" w:lineRule="auto"/>
        <w:rPr>
          <w:sz w:val="20"/>
          <w:szCs w:val="20"/>
          <w:color w:val="auto"/>
        </w:rPr>
      </w:pPr>
      <w:r>
        <w:rPr>
          <w:rFonts w:ascii="Courier New" w:cs="Courier New" w:eastAsia="Courier New" w:hAnsi="Courier New"/>
          <w:sz w:val="20"/>
          <w:szCs w:val="20"/>
          <w:color w:val="auto"/>
        </w:rPr>
        <w:t>(1)execute for and on behalf of the undersigned, in the undersigned's capacity as an officer, director and/or stockholder of the Company, any and all reports required to be filed by the undersigned in accordance with Section 16(a) of the Securities Exchange Act of 1934 and the rules thereunder;</w:t>
      </w:r>
    </w:p>
    <w:p>
      <w:pPr>
        <w:spacing w:after="0" w:line="100" w:lineRule="exact"/>
        <w:rPr>
          <w:sz w:val="20"/>
          <w:szCs w:val="20"/>
          <w:color w:val="auto"/>
        </w:rPr>
      </w:pPr>
    </w:p>
    <w:p>
      <w:pPr>
        <w:ind w:right="2479"/>
        <w:spacing w:after="0" w:line="260" w:lineRule="auto"/>
        <w:rPr>
          <w:sz w:val="20"/>
          <w:szCs w:val="20"/>
          <w:color w:val="auto"/>
        </w:rPr>
      </w:pPr>
      <w:r>
        <w:rPr>
          <w:rFonts w:ascii="Courier New" w:cs="Courier New" w:eastAsia="Courier New" w:hAnsi="Courier New"/>
          <w:sz w:val="20"/>
          <w:szCs w:val="20"/>
          <w:color w:val="auto"/>
        </w:rPr>
        <w:t>(2)do and perform any and all acts for and on behalf of the undersigned which may be necessary or desirable to complete and execute any such Form 3, 4 or 5 or other required report and timely file such report with the United States Securities and Exchange Commission and any stock exchange or similar authority; and</w:t>
      </w:r>
    </w:p>
    <w:p>
      <w:pPr>
        <w:spacing w:after="0" w:line="103" w:lineRule="exact"/>
        <w:rPr>
          <w:sz w:val="20"/>
          <w:szCs w:val="20"/>
          <w:color w:val="auto"/>
        </w:rPr>
      </w:pPr>
    </w:p>
    <w:p>
      <w:pPr>
        <w:ind w:right="2379"/>
        <w:spacing w:after="0" w:line="254" w:lineRule="auto"/>
        <w:tabs>
          <w:tab w:leader="none" w:pos="46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spacing w:after="0" w:line="108" w:lineRule="exact"/>
        <w:rPr>
          <w:sz w:val="20"/>
          <w:szCs w:val="20"/>
          <w:color w:val="auto"/>
        </w:rPr>
      </w:pPr>
    </w:p>
    <w:p>
      <w:pPr>
        <w:ind w:right="2479"/>
        <w:spacing w:after="0" w:line="275"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Securities Exchange Act of 1934.</w:t>
      </w:r>
    </w:p>
    <w:p>
      <w:pPr>
        <w:spacing w:after="0" w:line="331" w:lineRule="exact"/>
        <w:rPr>
          <w:sz w:val="20"/>
          <w:szCs w:val="20"/>
          <w:color w:val="auto"/>
        </w:rPr>
      </w:pPr>
    </w:p>
    <w:p>
      <w:pPr>
        <w:ind w:right="2379"/>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reports under Section 16 with respect to the undersigned's holdings of and transactions in securities issued by the Company, unless earlier revoked by the undersigned in a signed writing delivered to the foregoing attorneys-in-fact.</w:t>
      </w:r>
    </w:p>
    <w:p>
      <w:pPr>
        <w:spacing w:after="0" w:line="103" w:lineRule="exact"/>
        <w:rPr>
          <w:sz w:val="20"/>
          <w:szCs w:val="20"/>
          <w:color w:val="auto"/>
        </w:rPr>
      </w:pPr>
    </w:p>
    <w:p>
      <w:pPr>
        <w:ind w:right="2959"/>
        <w:spacing w:after="0" w:line="39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effective as of December 8, 2020.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Alfonse Upshaw</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Alfonse Upshaw</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6"/>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34468" TargetMode="External"/><Relationship Id="rId11"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2020-12-08T15:30:20Z</dcterms:created>
  <dcterms:modified xsi:type="dcterms:W3CDTF">2020-12-08T15:30:20Z</dcterms:modified>
</cp:coreProperties>
</file>