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Oringer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SHUTTERSTOCK,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FIFTH AVENUE, 20TH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Shutterstock,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SSTK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6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28,352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10,990,588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34,677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10,955,911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duly adopted 10b5-1 trading plan entered into in accordance with the Issuer's insider trading policy. The plan provides for periodic sales of a total maximum of 2,100,000 shares over the period beginning on June 1, 2023 through May 31, 2024 and was entered into for investment diversification purposes.</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$50.00 to $50.32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$50.00 to $50.87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Lapham, Attorney-in- </w:t>
      </w:r>
      <w:r>
        <w:rPr>
          <w:rFonts w:ascii="Times New Roman" w:cs="Times New Roman" w:eastAsia="Times New Roman" w:hAnsi="Times New Roman"/>
          <w:sz w:val="33"/>
          <w:szCs w:val="33"/>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9639"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2024-03-05T15:24:56Z</dcterms:created>
  <dcterms:modified xsi:type="dcterms:W3CDTF">2024-03-05T15:24:56Z</dcterms:modified>
</cp:coreProperties>
</file>