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3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-608965</wp:posOffset>
            </wp:positionV>
            <wp:extent cx="57150" cy="62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640715</wp:posOffset>
            </wp:positionV>
            <wp:extent cx="7048500" cy="6806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6806565"/>
                    </a:xfrm>
                    <a:prstGeom prst="rect">
                      <a:avLst/>
                    </a:prstGeom>
                    <a:noFill/>
                  </pic:spPr>
                </pic:pic>
              </a:graphicData>
            </a:graphic>
          </wp:anchor>
        </w:drawing>
      </w:r>
    </w:p>
    <w:p>
      <w:pPr>
        <w:spacing w:after="0" w:line="1083" w:lineRule="exact"/>
        <w:rPr>
          <w:sz w:val="24"/>
          <w:szCs w:val="24"/>
          <w:color w:val="auto"/>
        </w:rPr>
      </w:pPr>
    </w:p>
    <w:p>
      <w:pPr>
        <w:sectPr>
          <w:pgSz w:w="11900" w:h="16838" w:orient="portrait"/>
          <w:cols w:equalWidth="0" w:num="2">
            <w:col w:w="2320" w:space="340"/>
            <w:col w:w="842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Oringer Jonathan</w:t>
        </w:r>
      </w:hyperlink>
    </w:p>
    <w:p>
      <w:pPr>
        <w:spacing w:after="0" w:line="28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SHUTTERSTOCK, INC.</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350 FIFTH AVENUE, 20TH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Shutterstock,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SSTK</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04/01/2026</w:t>
      </w:r>
    </w:p>
    <w:p>
      <w:pPr>
        <w:spacing w:after="0" w:line="20" w:lineRule="exact"/>
        <w:rPr>
          <w:sz w:val="24"/>
          <w:szCs w:val="24"/>
          <w:color w:val="auto"/>
        </w:rPr>
      </w:pPr>
      <w:r>
        <w:rPr>
          <w:sz w:val="24"/>
          <w:szCs w:val="24"/>
          <w:color w:val="auto"/>
        </w:rPr>
        <w:br w:type="column"/>
      </w:r>
    </w:p>
    <w:p>
      <w:pPr>
        <w:ind w:left="-1" w:right="720" w:firstLine="1"/>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19"/>
        <w:spacing w:after="0"/>
        <w:tabs>
          <w:tab w:leader="none" w:pos="1734"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1938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38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679"/>
        <w:spacing w:after="0"/>
        <w:rPr>
          <w:sz w:val="20"/>
          <w:szCs w:val="20"/>
          <w:color w:val="auto"/>
        </w:rPr>
      </w:pPr>
      <w:r>
        <w:rPr>
          <w:rFonts w:ascii="Times New Roman" w:cs="Times New Roman" w:eastAsia="Times New Roman" w:hAnsi="Times New Roman"/>
          <w:sz w:val="16"/>
          <w:szCs w:val="16"/>
          <w:color w:val="0000FF"/>
        </w:rPr>
        <w:t>EXECUTIVE CHAIRMAN</w:t>
      </w:r>
    </w:p>
    <w:p>
      <w:pPr>
        <w:spacing w:after="0" w:line="492" w:lineRule="exact"/>
        <w:rPr>
          <w:sz w:val="24"/>
          <w:szCs w:val="24"/>
          <w:color w:val="auto"/>
        </w:rPr>
      </w:pPr>
    </w:p>
    <w:p>
      <w:pPr>
        <w:sectPr>
          <w:pgSz w:w="11900" w:h="16838" w:orient="portrait"/>
          <w:cols w:equalWidth="0" w:num="3">
            <w:col w:w="3180" w:space="720"/>
            <w:col w:w="3101" w:space="720"/>
            <w:col w:w="3359"/>
          </w:cols>
          <w:pgMar w:left="460" w:top="215" w:right="359" w:bottom="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9A9A9A"/>
          </w:tcPr>
          <w:p>
            <w:pPr>
              <w:spacing w:after="0"/>
              <w:rPr>
                <w:sz w:val="2"/>
                <w:szCs w:val="2"/>
                <w:color w:val="auto"/>
              </w:rPr>
            </w:pPr>
          </w:p>
        </w:tc>
        <w:tc>
          <w:tcPr>
            <w:tcW w:w="5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0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800" w:type="dxa"/>
            <w:vAlign w:val="bottom"/>
            <w:gridSpan w:val="6"/>
            <w:vMerge w:val="continue"/>
          </w:tcPr>
          <w:p>
            <w:pPr>
              <w:spacing w:after="0"/>
              <w:rPr>
                <w:sz w:val="10"/>
                <w:szCs w:val="10"/>
                <w:color w:val="auto"/>
              </w:rPr>
            </w:pPr>
          </w:p>
        </w:tc>
        <w:tc>
          <w:tcPr>
            <w:tcW w:w="35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180"/>
              <w:spacing w:after="0" w:line="138" w:lineRule="exact"/>
              <w:rPr>
                <w:sz w:val="20"/>
                <w:szCs w:val="20"/>
                <w:color w:val="auto"/>
              </w:rPr>
            </w:pPr>
            <w:r>
              <w:rPr>
                <w:rFonts w:ascii="Arial" w:cs="Arial" w:eastAsia="Arial" w:hAnsi="Arial"/>
                <w:sz w:val="13"/>
                <w:szCs w:val="13"/>
                <w:color w:val="auto"/>
              </w:rPr>
              <w:t>Line)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0000FF"/>
              </w:rPr>
              <w:t>NY</w:t>
            </w:r>
          </w:p>
        </w:tc>
        <w:tc>
          <w:tcPr>
            <w:tcW w:w="880" w:type="dxa"/>
            <w:vAlign w:val="bottom"/>
          </w:tcPr>
          <w:p>
            <w:pPr>
              <w:spacing w:after="0"/>
              <w:rPr>
                <w:sz w:val="19"/>
                <w:szCs w:val="19"/>
                <w:color w:val="auto"/>
              </w:rPr>
            </w:pPr>
          </w:p>
        </w:tc>
        <w:tc>
          <w:tcPr>
            <w:tcW w:w="12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10118</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40" w:type="dxa"/>
            <w:vAlign w:val="bottom"/>
            <w:gridSpan w:val="4"/>
          </w:tcPr>
          <w:p>
            <w:pPr>
              <w:ind w:left="140"/>
              <w:spacing w:after="0"/>
              <w:rPr>
                <w:sz w:val="20"/>
                <w:szCs w:val="20"/>
                <w:color w:val="auto"/>
              </w:rPr>
            </w:pPr>
            <w:r>
              <w:rPr>
                <w:rFonts w:ascii="Arial" w:cs="Arial" w:eastAsia="Arial" w:hAnsi="Arial"/>
                <w:sz w:val="13"/>
                <w:szCs w:val="13"/>
                <w:color w:val="auto"/>
                <w:w w:val="95"/>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5"/>
                <w:szCs w:val="5"/>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4380" w:type="dxa"/>
            <w:vAlign w:val="bottom"/>
            <w:tcBorders>
              <w:bottom w:val="single" w:sz="8" w:color="2C2C2C"/>
            </w:tcBorders>
            <w:gridSpan w:val="8"/>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1"/>
          </w:tcPr>
          <w:p>
            <w:pPr>
              <w:ind w:left="8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92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10"/>
                <w:szCs w:val="10"/>
                <w:color w:val="auto"/>
              </w:rPr>
            </w:pPr>
          </w:p>
        </w:tc>
        <w:tc>
          <w:tcPr>
            <w:tcW w:w="10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20" w:type="dxa"/>
            <w:vAlign w:val="bottom"/>
            <w:gridSpan w:val="2"/>
          </w:tcPr>
          <w:p>
            <w:pPr>
              <w:jc w:val="center"/>
              <w:ind w:left="689"/>
              <w:spacing w:after="0" w:line="125" w:lineRule="exact"/>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920" w:type="dxa"/>
            <w:vAlign w:val="bottom"/>
            <w:gridSpan w:val="2"/>
          </w:tcPr>
          <w:p>
            <w:pPr>
              <w:jc w:val="center"/>
              <w:ind w:left="709"/>
              <w:spacing w:after="0"/>
              <w:rPr>
                <w:sz w:val="20"/>
                <w:szCs w:val="20"/>
                <w:color w:val="auto"/>
              </w:rPr>
            </w:pPr>
            <w:r>
              <w:rPr>
                <w:rFonts w:ascii="Times New Roman" w:cs="Times New Roman" w:eastAsia="Times New Roman" w:hAnsi="Times New Roman"/>
                <w:sz w:val="16"/>
                <w:szCs w:val="16"/>
                <w:color w:val="0000FF"/>
              </w:rPr>
              <w:t>04/02/2026</w:t>
            </w: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center"/>
              <w:ind w:right="2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15"/>
              <w:spacing w:after="0"/>
              <w:rPr>
                <w:sz w:val="20"/>
                <w:szCs w:val="20"/>
                <w:color w:val="auto"/>
              </w:rPr>
            </w:pPr>
            <w:r>
              <w:rPr>
                <w:rFonts w:ascii="Times New Roman" w:cs="Times New Roman" w:eastAsia="Times New Roman" w:hAnsi="Times New Roman"/>
                <w:sz w:val="16"/>
                <w:szCs w:val="16"/>
                <w:color w:val="0000FF"/>
                <w:w w:val="99"/>
              </w:rPr>
              <w:t>18,900</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8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0000FF"/>
              </w:rPr>
              <w:t>10,850,755</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920" w:type="dxa"/>
            <w:vAlign w:val="bottom"/>
            <w:gridSpan w:val="2"/>
          </w:tcPr>
          <w:p>
            <w:pPr>
              <w:jc w:val="center"/>
              <w:ind w:left="709"/>
              <w:spacing w:after="0"/>
              <w:rPr>
                <w:sz w:val="20"/>
                <w:szCs w:val="20"/>
                <w:color w:val="auto"/>
              </w:rPr>
            </w:pPr>
            <w:r>
              <w:rPr>
                <w:rFonts w:ascii="Times New Roman" w:cs="Times New Roman" w:eastAsia="Times New Roman" w:hAnsi="Times New Roman"/>
                <w:sz w:val="16"/>
                <w:szCs w:val="16"/>
                <w:color w:val="0000FF"/>
              </w:rPr>
              <w:t>04/02/2026</w:t>
            </w: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center"/>
              <w:ind w:right="26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center"/>
              <w:ind w:left="15"/>
              <w:spacing w:after="0"/>
              <w:rPr>
                <w:sz w:val="20"/>
                <w:szCs w:val="20"/>
                <w:color w:val="auto"/>
              </w:rPr>
            </w:pPr>
            <w:r>
              <w:rPr>
                <w:rFonts w:ascii="Times New Roman" w:cs="Times New Roman" w:eastAsia="Times New Roman" w:hAnsi="Times New Roman"/>
                <w:sz w:val="16"/>
                <w:szCs w:val="16"/>
                <w:color w:val="0000FF"/>
                <w:w w:val="99"/>
              </w:rPr>
              <w:t>4,625</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16.51</w:t>
            </w:r>
          </w:p>
        </w:tc>
        <w:tc>
          <w:tcPr>
            <w:tcW w:w="128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0000FF"/>
              </w:rPr>
              <w:t>10,846,130</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920" w:type="dxa"/>
            <w:vAlign w:val="bottom"/>
            <w:gridSpan w:val="2"/>
          </w:tcPr>
          <w:p>
            <w:pPr>
              <w:jc w:val="center"/>
              <w:ind w:left="709"/>
              <w:spacing w:after="0"/>
              <w:rPr>
                <w:sz w:val="20"/>
                <w:szCs w:val="20"/>
                <w:color w:val="auto"/>
              </w:rPr>
            </w:pPr>
            <w:r>
              <w:rPr>
                <w:rFonts w:ascii="Times New Roman" w:cs="Times New Roman" w:eastAsia="Times New Roman" w:hAnsi="Times New Roman"/>
                <w:sz w:val="16"/>
                <w:szCs w:val="16"/>
                <w:color w:val="0000FF"/>
              </w:rPr>
              <w:t>04/02/2026</w:t>
            </w: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center"/>
              <w:ind w:right="2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15"/>
              <w:spacing w:after="0"/>
              <w:rPr>
                <w:sz w:val="20"/>
                <w:szCs w:val="20"/>
                <w:color w:val="auto"/>
              </w:rPr>
            </w:pPr>
            <w:r>
              <w:rPr>
                <w:rFonts w:ascii="Times New Roman" w:cs="Times New Roman" w:eastAsia="Times New Roman" w:hAnsi="Times New Roman"/>
                <w:sz w:val="16"/>
                <w:szCs w:val="16"/>
                <w:color w:val="0000FF"/>
                <w:w w:val="99"/>
              </w:rPr>
              <w:t>37,789</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8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0000FF"/>
              </w:rPr>
              <w:t>10,883,919</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920" w:type="dxa"/>
            <w:vAlign w:val="bottom"/>
            <w:gridSpan w:val="2"/>
          </w:tcPr>
          <w:p>
            <w:pPr>
              <w:jc w:val="center"/>
              <w:ind w:left="709"/>
              <w:spacing w:after="0"/>
              <w:rPr>
                <w:sz w:val="20"/>
                <w:szCs w:val="20"/>
                <w:color w:val="auto"/>
              </w:rPr>
            </w:pPr>
            <w:r>
              <w:rPr>
                <w:rFonts w:ascii="Times New Roman" w:cs="Times New Roman" w:eastAsia="Times New Roman" w:hAnsi="Times New Roman"/>
                <w:sz w:val="16"/>
                <w:szCs w:val="16"/>
                <w:color w:val="0000FF"/>
              </w:rPr>
              <w:t>04/02/2026</w:t>
            </w: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center"/>
              <w:ind w:right="26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center"/>
              <w:ind w:left="15"/>
              <w:spacing w:after="0"/>
              <w:rPr>
                <w:sz w:val="20"/>
                <w:szCs w:val="20"/>
                <w:color w:val="auto"/>
              </w:rPr>
            </w:pPr>
            <w:r>
              <w:rPr>
                <w:rFonts w:ascii="Times New Roman" w:cs="Times New Roman" w:eastAsia="Times New Roman" w:hAnsi="Times New Roman"/>
                <w:sz w:val="16"/>
                <w:szCs w:val="16"/>
                <w:color w:val="0000FF"/>
                <w:w w:val="99"/>
              </w:rPr>
              <w:t>11,123</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16.51</w:t>
            </w:r>
          </w:p>
        </w:tc>
        <w:tc>
          <w:tcPr>
            <w:tcW w:w="128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0000FF"/>
              </w:rPr>
              <w:t>10,872,796</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920" w:type="dxa"/>
            <w:vAlign w:val="bottom"/>
            <w:gridSpan w:val="2"/>
          </w:tcPr>
          <w:p>
            <w:pPr>
              <w:jc w:val="center"/>
              <w:ind w:left="709"/>
              <w:spacing w:after="0"/>
              <w:rPr>
                <w:sz w:val="20"/>
                <w:szCs w:val="20"/>
                <w:color w:val="auto"/>
              </w:rPr>
            </w:pPr>
            <w:r>
              <w:rPr>
                <w:rFonts w:ascii="Times New Roman" w:cs="Times New Roman" w:eastAsia="Times New Roman" w:hAnsi="Times New Roman"/>
                <w:sz w:val="16"/>
                <w:szCs w:val="16"/>
                <w:color w:val="0000FF"/>
              </w:rPr>
              <w:t>04/02/2026</w:t>
            </w: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center"/>
              <w:ind w:right="2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15"/>
              <w:spacing w:after="0"/>
              <w:rPr>
                <w:sz w:val="20"/>
                <w:szCs w:val="20"/>
                <w:color w:val="auto"/>
              </w:rPr>
            </w:pPr>
            <w:r>
              <w:rPr>
                <w:rFonts w:ascii="Times New Roman" w:cs="Times New Roman" w:eastAsia="Times New Roman" w:hAnsi="Times New Roman"/>
                <w:sz w:val="16"/>
                <w:szCs w:val="16"/>
                <w:color w:val="0000FF"/>
                <w:w w:val="99"/>
              </w:rPr>
              <w:t>87,011</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8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0000FF"/>
              </w:rPr>
              <w:t>10,959,807</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920" w:type="dxa"/>
            <w:vAlign w:val="bottom"/>
            <w:gridSpan w:val="2"/>
          </w:tcPr>
          <w:p>
            <w:pPr>
              <w:jc w:val="center"/>
              <w:ind w:left="709"/>
              <w:spacing w:after="0"/>
              <w:rPr>
                <w:sz w:val="20"/>
                <w:szCs w:val="20"/>
                <w:color w:val="auto"/>
              </w:rPr>
            </w:pPr>
            <w:r>
              <w:rPr>
                <w:rFonts w:ascii="Times New Roman" w:cs="Times New Roman" w:eastAsia="Times New Roman" w:hAnsi="Times New Roman"/>
                <w:sz w:val="16"/>
                <w:szCs w:val="16"/>
                <w:color w:val="0000FF"/>
              </w:rPr>
              <w:t>04/02/2026</w:t>
            </w: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center"/>
              <w:ind w:right="26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center"/>
              <w:ind w:left="15"/>
              <w:spacing w:after="0"/>
              <w:rPr>
                <w:sz w:val="20"/>
                <w:szCs w:val="20"/>
                <w:color w:val="auto"/>
              </w:rPr>
            </w:pPr>
            <w:r>
              <w:rPr>
                <w:rFonts w:ascii="Times New Roman" w:cs="Times New Roman" w:eastAsia="Times New Roman" w:hAnsi="Times New Roman"/>
                <w:sz w:val="16"/>
                <w:szCs w:val="16"/>
                <w:color w:val="0000FF"/>
                <w:w w:val="99"/>
              </w:rPr>
              <w:t>34,239</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16.51</w:t>
            </w:r>
          </w:p>
        </w:tc>
        <w:tc>
          <w:tcPr>
            <w:tcW w:w="128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0000FF"/>
              </w:rPr>
              <w:t>10,925,568</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5640" w:type="dxa"/>
            <w:vAlign w:val="bottom"/>
            <w:tcBorders>
              <w:bottom w:val="single" w:sz="8" w:color="2C2C2C"/>
            </w:tcBorders>
            <w:gridSpan w:val="9"/>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0"/>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80" w:type="dxa"/>
            <w:vAlign w:val="bottom"/>
            <w:gridSpan w:val="8"/>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tcPr>
          <w:p>
            <w:pPr>
              <w:ind w:left="220"/>
              <w:spacing w:after="0"/>
              <w:rPr>
                <w:sz w:val="20"/>
                <w:szCs w:val="20"/>
                <w:color w:val="auto"/>
              </w:rPr>
            </w:pPr>
            <w:r>
              <w:rPr>
                <w:rFonts w:ascii="Arial" w:cs="Arial" w:eastAsia="Arial" w:hAnsi="Arial"/>
                <w:sz w:val="11"/>
                <w:szCs w:val="11"/>
                <w:b w:val="1"/>
                <w:bCs w:val="1"/>
                <w:color w:val="auto"/>
              </w:rPr>
              <w:t>3A. Deemed</w:t>
            </w:r>
          </w:p>
        </w:tc>
        <w:tc>
          <w:tcPr>
            <w:tcW w:w="66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1260" w:type="dxa"/>
            <w:vAlign w:val="bottom"/>
          </w:tcPr>
          <w:p>
            <w:pPr>
              <w:ind w:left="220"/>
              <w:spacing w:after="0" w:line="125" w:lineRule="exact"/>
              <w:rPr>
                <w:sz w:val="20"/>
                <w:szCs w:val="20"/>
                <w:color w:val="auto"/>
              </w:rPr>
            </w:pPr>
            <w:r>
              <w:rPr>
                <w:rFonts w:ascii="Arial" w:cs="Arial" w:eastAsia="Arial" w:hAnsi="Arial"/>
                <w:sz w:val="11"/>
                <w:szCs w:val="11"/>
                <w:b w:val="1"/>
                <w:bCs w:val="1"/>
                <w:color w:val="auto"/>
              </w:rPr>
              <w:t>Execution Date,</w:t>
            </w:r>
          </w:p>
        </w:tc>
        <w:tc>
          <w:tcPr>
            <w:tcW w:w="66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21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  if any</w:t>
            </w:r>
          </w:p>
        </w:tc>
        <w:tc>
          <w:tcPr>
            <w:tcW w:w="660" w:type="dxa"/>
            <w:vAlign w:val="bottom"/>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5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9"/>
              </w:rPr>
              <w:t>Price of</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tcPr>
          <w:p>
            <w:pPr>
              <w:ind w:left="22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and 5)</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jc w:val="center"/>
              <w:ind w:right="26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0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28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0000FF"/>
              </w:rPr>
              <w:t>04/01/2026</w:t>
            </w:r>
          </w:p>
        </w:tc>
        <w:tc>
          <w:tcPr>
            <w:tcW w:w="1260" w:type="dxa"/>
            <w:vAlign w:val="bottom"/>
          </w:tcPr>
          <w:p>
            <w:pPr>
              <w:spacing w:after="0"/>
              <w:rPr>
                <w:sz w:val="19"/>
                <w:szCs w:val="19"/>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15,197</w:t>
            </w:r>
          </w:p>
        </w:tc>
        <w:tc>
          <w:tcPr>
            <w:tcW w:w="46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04/01/2027</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15,197</w:t>
            </w:r>
          </w:p>
        </w:tc>
        <w:tc>
          <w:tcPr>
            <w:tcW w:w="70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15,197</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5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based</w:t>
            </w:r>
          </w:p>
        </w:tc>
        <w:tc>
          <w:tcPr>
            <w:tcW w:w="50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280" w:type="dxa"/>
            <w:vAlign w:val="bottom"/>
          </w:tcPr>
          <w:p>
            <w:pPr>
              <w:spacing w:after="0"/>
              <w:rPr>
                <w:sz w:val="17"/>
                <w:szCs w:val="17"/>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0000FF"/>
              </w:rPr>
              <w:t>04/02/2026</w:t>
            </w:r>
          </w:p>
        </w:tc>
        <w:tc>
          <w:tcPr>
            <w:tcW w:w="126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7"/>
                <w:szCs w:val="17"/>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18,900</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04/01/2026</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18,900</w:t>
            </w:r>
          </w:p>
        </w:tc>
        <w:tc>
          <w:tcPr>
            <w:tcW w:w="70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222"/>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7"/>
                <w:szCs w:val="17"/>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0" w:type="dxa"/>
            <w:vAlign w:val="bottom"/>
            <w:gridSpan w:val="2"/>
          </w:tcPr>
          <w:p>
            <w:pPr>
              <w:ind w:left="60"/>
              <w:spacing w:after="0" w:line="75" w:lineRule="exact"/>
              <w:rPr>
                <w:sz w:val="20"/>
                <w:szCs w:val="20"/>
                <w:color w:val="auto"/>
              </w:rPr>
            </w:pPr>
            <w:r>
              <w:rPr>
                <w:rFonts w:ascii="Times New Roman" w:cs="Times New Roman" w:eastAsia="Times New Roman" w:hAnsi="Times New Roman"/>
                <w:sz w:val="8"/>
                <w:szCs w:val="8"/>
                <w:color w:val="0000FF"/>
              </w:rPr>
              <w:t>Restricted</w:t>
            </w: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ind w:left="160"/>
              <w:spacing w:after="0" w:line="75" w:lineRule="exact"/>
              <w:rPr>
                <w:sz w:val="20"/>
                <w:szCs w:val="20"/>
                <w:color w:val="auto"/>
              </w:rPr>
            </w:pPr>
            <w:r>
              <w:rPr>
                <w:rFonts w:ascii="Times New Roman" w:cs="Times New Roman" w:eastAsia="Times New Roman" w:hAnsi="Times New Roman"/>
                <w:sz w:val="8"/>
                <w:szCs w:val="8"/>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based</w:t>
            </w:r>
          </w:p>
        </w:tc>
        <w:tc>
          <w:tcPr>
            <w:tcW w:w="50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280" w:type="dxa"/>
            <w:vAlign w:val="bottom"/>
          </w:tcPr>
          <w:p>
            <w:pPr>
              <w:spacing w:after="0"/>
              <w:rPr>
                <w:sz w:val="16"/>
                <w:szCs w:val="16"/>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0000FF"/>
              </w:rPr>
              <w:t>04/02/2026</w:t>
            </w:r>
          </w:p>
        </w:tc>
        <w:tc>
          <w:tcPr>
            <w:tcW w:w="1260" w:type="dxa"/>
            <w:vAlign w:val="bottom"/>
          </w:tcPr>
          <w:p>
            <w:pPr>
              <w:spacing w:after="0"/>
              <w:rPr>
                <w:sz w:val="16"/>
                <w:szCs w:val="16"/>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6"/>
                <w:szCs w:val="16"/>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37,789</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04/01/2026</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37,789</w:t>
            </w:r>
          </w:p>
        </w:tc>
        <w:tc>
          <w:tcPr>
            <w:tcW w:w="70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36,407</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0" w:type="dxa"/>
            <w:vAlign w:val="bottom"/>
            <w:gridSpan w:val="2"/>
          </w:tcPr>
          <w:p>
            <w:pPr>
              <w:ind w:left="60"/>
              <w:spacing w:after="0" w:line="88" w:lineRule="exact"/>
              <w:rPr>
                <w:sz w:val="20"/>
                <w:szCs w:val="20"/>
                <w:color w:val="auto"/>
              </w:rPr>
            </w:pPr>
            <w:r>
              <w:rPr>
                <w:rFonts w:ascii="Times New Roman" w:cs="Times New Roman" w:eastAsia="Times New Roman" w:hAnsi="Times New Roman"/>
                <w:sz w:val="10"/>
                <w:szCs w:val="10"/>
                <w:color w:val="0000FF"/>
              </w:rPr>
              <w:t>Restricted</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ind w:left="160"/>
              <w:spacing w:after="0" w:line="88"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based</w:t>
            </w:r>
          </w:p>
        </w:tc>
        <w:tc>
          <w:tcPr>
            <w:tcW w:w="50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280" w:type="dxa"/>
            <w:vAlign w:val="bottom"/>
          </w:tcPr>
          <w:p>
            <w:pPr>
              <w:spacing w:after="0"/>
              <w:rPr>
                <w:sz w:val="17"/>
                <w:szCs w:val="17"/>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0000FF"/>
              </w:rPr>
              <w:t>04/02/2026</w:t>
            </w:r>
          </w:p>
        </w:tc>
        <w:tc>
          <w:tcPr>
            <w:tcW w:w="126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7"/>
                <w:szCs w:val="17"/>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87,011</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04/01/2026</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87,011</w:t>
            </w:r>
          </w:p>
        </w:tc>
        <w:tc>
          <w:tcPr>
            <w:tcW w:w="70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222"/>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7"/>
                <w:szCs w:val="17"/>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Restricted</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ind w:left="160"/>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 Unit</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award granted on April 1, 2026 that vests April 1, 2027, subject to the Reporting Person's continued employment on such vesting date.</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Performance-based RSU ("PSU") represents a contingent right to receive one share of the Issuer's common stock.</w:t>
      </w:r>
    </w:p>
    <w:p>
      <w:pPr>
        <w:spacing w:after="0" w:line="38" w:lineRule="exact"/>
        <w:rPr>
          <w:rFonts w:ascii="Times New Roman" w:cs="Times New Roman" w:eastAsia="Times New Roman" w:hAnsi="Times New Roman"/>
          <w:sz w:val="13"/>
          <w:szCs w:val="13"/>
          <w:color w:val="008000"/>
        </w:rPr>
      </w:pPr>
    </w:p>
    <w:p>
      <w:pPr>
        <w:ind w:left="40" w:right="220" w:hanging="2"/>
        <w:spacing w:after="0" w:line="235"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PSU award granted on April 3, 2023 that vests in three equal annual installments beginning April 1, 2024, contingent upon, and subject to adjustment based on, the achievement of certain adjusted EBITDA margin and revenue growth performance thresholds for each annual performance period. Subject to Compensation Committee confirmation of achievement of performance and subject to adjustment pursuant to the award agreement.</w:t>
      </w:r>
    </w:p>
    <w:p>
      <w:pPr>
        <w:spacing w:after="0" w:line="24" w:lineRule="exact"/>
        <w:rPr>
          <w:rFonts w:ascii="Times New Roman" w:cs="Times New Roman" w:eastAsia="Times New Roman" w:hAnsi="Times New Roman"/>
          <w:sz w:val="13"/>
          <w:szCs w:val="13"/>
          <w:color w:val="008000"/>
        </w:rPr>
      </w:pPr>
    </w:p>
    <w:p>
      <w:pPr>
        <w:ind w:left="40" w:right="220" w:hanging="2"/>
        <w:spacing w:after="0" w:line="235"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PSU award granted on April 1, 2024 that vests in three equal annual installments beginning April 1, 2025, contingent upon, and subject to adjustment based on, the achievement of certain adjusted EBITDA margin and revenue growth performance thresholds for each annual performance period. Subject to Compensation Committee confirmation of achievement of performance and subject to adjustment pursuant to the award agreement.</w:t>
      </w:r>
    </w:p>
    <w:p>
      <w:pPr>
        <w:spacing w:after="0" w:line="24" w:lineRule="exact"/>
        <w:rPr>
          <w:rFonts w:ascii="Times New Roman" w:cs="Times New Roman" w:eastAsia="Times New Roman" w:hAnsi="Times New Roman"/>
          <w:sz w:val="13"/>
          <w:szCs w:val="13"/>
          <w:color w:val="008000"/>
        </w:rPr>
      </w:pPr>
    </w:p>
    <w:p>
      <w:pPr>
        <w:ind w:left="40" w:right="240" w:hanging="2"/>
        <w:spacing w:after="0" w:line="24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PSU award granted on April 1, 2025 that vests April 1, 2026, contingent upon, and subject to adjustment based on, the achievement of certain adjusted EBITDA margin and revenue growth performance thresholds for each annual performance period. Subject to Compensation Committee confirmation of achievement of performance and subject to adjustment pursuant to the award agreement.</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John Lapham, Attorney-in-</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04/03/2026</w:t>
            </w:r>
          </w:p>
        </w:tc>
        <w:tc>
          <w:tcPr>
            <w:tcW w:w="0" w:type="dxa"/>
            <w:vAlign w:val="bottom"/>
          </w:tcPr>
          <w:p>
            <w:pPr>
              <w:spacing w:after="0"/>
              <w:rPr>
                <w:sz w:val="1"/>
                <w:szCs w:val="1"/>
                <w:color w:val="auto"/>
              </w:rPr>
            </w:pPr>
          </w:p>
        </w:tc>
      </w:tr>
      <w:tr>
        <w:trPr>
          <w:trHeight w:val="80"/>
        </w:trPr>
        <w:tc>
          <w:tcPr>
            <w:tcW w:w="28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68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top w:val="single" w:sz="8" w:color="auto"/>
              <w:bottom w:val="single" w:sz="8" w:color="auto"/>
            </w:tcBorders>
            <w:vMerge w:val="continue"/>
          </w:tcPr>
          <w:p>
            <w:pPr>
              <w:spacing w:after="0"/>
              <w:rPr>
                <w:sz w:val="6"/>
                <w:szCs w:val="6"/>
                <w:color w:val="auto"/>
              </w:rPr>
            </w:pPr>
          </w:p>
        </w:tc>
        <w:tc>
          <w:tcPr>
            <w:tcW w:w="168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5" w:right="359" w:bottom="0" w:gutter="0" w:footer="0" w:header="0"/>
          <w:type w:val="continuous"/>
        </w:sectPr>
      </w:pPr>
    </w:p>
    <w:bookmarkStart w:id="1" w:name="page2"/>
    <w:bookmarkEnd w:id="1"/>
    <w:p>
      <w:pPr>
        <w:jc w:val="both"/>
        <w:ind w:left="2" w:right="2719" w:hanging="2"/>
        <w:spacing w:after="0" w:line="356" w:lineRule="auto"/>
        <w:tabs>
          <w:tab w:leader="none" w:pos="135"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8"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559639" TargetMode="External"/><Relationship Id="rId14" Type="http://schemas.openxmlformats.org/officeDocument/2006/relationships/hyperlink" Target="http://www.sec.gov/cgi-bin/browse-edgar?action=getcompany&amp;CIK=000154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2026-04-03T15:32:30Z</dcterms:created>
  <dcterms:modified xsi:type="dcterms:W3CDTF">2026-04-03T15:32:30Z</dcterms:modified>
</cp:coreProperties>
</file>