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4" w:lineRule="exact"/>
        <w:rPr>
          <w:sz w:val="24"/>
          <w:szCs w:val="24"/>
          <w:color w:val="auto"/>
        </w:rPr>
      </w:pPr>
    </w:p>
    <w:p>
      <w:pPr>
        <w:jc w:val="center"/>
        <w:ind w:right="220"/>
        <w:spacing w:after="0"/>
        <w:rPr>
          <w:sz w:val="20"/>
          <w:szCs w:val="20"/>
          <w:color w:val="auto"/>
        </w:rPr>
      </w:pPr>
      <w:r>
        <w:rPr>
          <w:rFonts w:ascii="Arial" w:cs="Arial" w:eastAsia="Arial" w:hAnsi="Arial"/>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3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97790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5" w:lineRule="exact"/>
        <w:rPr>
          <w:sz w:val="24"/>
          <w:szCs w:val="24"/>
          <w:color w:val="auto"/>
        </w:rPr>
      </w:pPr>
    </w:p>
    <w:p>
      <w:pPr>
        <w:ind w:left="45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43180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3" w:lineRule="exact"/>
        <w:rPr>
          <w:sz w:val="24"/>
          <w:szCs w:val="24"/>
          <w:color w:val="auto"/>
        </w:rPr>
      </w:pPr>
    </w:p>
    <w:p>
      <w:pPr>
        <w:jc w:val="center"/>
        <w:ind w:right="220"/>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ind w:right="220"/>
        <w:spacing w:after="0"/>
        <w:rPr>
          <w:sz w:val="20"/>
          <w:szCs w:val="20"/>
          <w:color w:val="auto"/>
        </w:rPr>
      </w:pPr>
      <w:r>
        <w:rPr>
          <w:rFonts w:ascii="Arial" w:cs="Arial" w:eastAsia="Arial" w:hAnsi="Arial"/>
          <w:sz w:val="21"/>
          <w:szCs w:val="21"/>
          <w:b w:val="1"/>
          <w:bCs w:val="1"/>
          <w:color w:val="auto"/>
        </w:rPr>
        <w:t>Pursuant to Section 13 or 15(d) of the</w:t>
      </w:r>
    </w:p>
    <w:p>
      <w:pPr>
        <w:spacing w:after="0" w:line="9" w:lineRule="exact"/>
        <w:rPr>
          <w:sz w:val="24"/>
          <w:szCs w:val="24"/>
          <w:color w:val="auto"/>
        </w:rPr>
      </w:pPr>
    </w:p>
    <w:p>
      <w:pPr>
        <w:jc w:val="center"/>
        <w:ind w:right="220"/>
        <w:spacing w:after="0"/>
        <w:rPr>
          <w:sz w:val="20"/>
          <w:szCs w:val="20"/>
          <w:color w:val="auto"/>
        </w:rPr>
      </w:pPr>
      <w:r>
        <w:rPr>
          <w:rFonts w:ascii="Arial" w:cs="Arial" w:eastAsia="Arial" w:hAnsi="Arial"/>
          <w:sz w:val="21"/>
          <w:szCs w:val="21"/>
          <w:b w:val="1"/>
          <w:bCs w:val="1"/>
          <w:color w:val="auto"/>
        </w:rPr>
        <w:t>Securities Exchange Act of 1934</w:t>
      </w:r>
    </w:p>
    <w:p>
      <w:pPr>
        <w:spacing w:after="0" w:line="47"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0" w:lineRule="exact"/>
        <w:rPr>
          <w:sz w:val="24"/>
          <w:szCs w:val="24"/>
          <w:color w:val="auto"/>
        </w:rPr>
      </w:pPr>
    </w:p>
    <w:p>
      <w:pPr>
        <w:jc w:val="center"/>
        <w:ind w:right="220"/>
        <w:spacing w:after="0"/>
        <w:rPr>
          <w:sz w:val="20"/>
          <w:szCs w:val="20"/>
          <w:color w:val="auto"/>
        </w:rPr>
      </w:pPr>
      <w:r>
        <w:rPr>
          <w:rFonts w:ascii="Arial" w:cs="Arial" w:eastAsia="Arial" w:hAnsi="Arial"/>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43180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26670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67" w:lineRule="exact"/>
        <w:rPr>
          <w:sz w:val="24"/>
          <w:szCs w:val="24"/>
          <w:color w:val="auto"/>
        </w:rPr>
      </w:pPr>
    </w:p>
    <w:tbl>
      <w:tblPr>
        <w:tblLayout w:type="fixed"/>
        <w:tblInd w:w="820" w:type="dxa"/>
        <w:tblCellMar>
          <w:top w:w="0" w:type="dxa"/>
          <w:left w:w="0" w:type="dxa"/>
          <w:bottom w:w="0" w:type="dxa"/>
          <w:right w:w="0" w:type="dxa"/>
        </w:tblCellMar>
      </w:tblPr>
      <w:tr>
        <w:trPr>
          <w:trHeight w:val="228"/>
        </w:trPr>
        <w:tc>
          <w:tcPr>
            <w:tcW w:w="2040" w:type="dxa"/>
            <w:vAlign w:val="bottom"/>
          </w:tcPr>
          <w:p>
            <w:pPr>
              <w:jc w:val="center"/>
              <w:ind w:right="484"/>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ind w:right="37"/>
              <w:spacing w:after="0"/>
              <w:rPr>
                <w:sz w:val="20"/>
                <w:szCs w:val="20"/>
                <w:color w:val="auto"/>
              </w:rPr>
            </w:pPr>
            <w:r>
              <w:rPr>
                <w:rFonts w:ascii="Arial" w:cs="Arial" w:eastAsia="Arial" w:hAnsi="Arial"/>
                <w:sz w:val="18"/>
                <w:szCs w:val="18"/>
                <w:b w:val="1"/>
                <w:bCs w:val="1"/>
                <w:color w:val="auto"/>
                <w:w w:val="88"/>
              </w:rPr>
              <w:t>001-35669</w:t>
            </w:r>
          </w:p>
        </w:tc>
        <w:tc>
          <w:tcPr>
            <w:tcW w:w="1700" w:type="dxa"/>
            <w:vAlign w:val="bottom"/>
          </w:tcPr>
          <w:p>
            <w:pPr>
              <w:jc w:val="center"/>
              <w:ind w:left="584"/>
              <w:spacing w:after="0"/>
              <w:rPr>
                <w:sz w:val="20"/>
                <w:szCs w:val="20"/>
                <w:color w:val="auto"/>
              </w:rPr>
            </w:pPr>
            <w:r>
              <w:rPr>
                <w:rFonts w:ascii="Arial" w:cs="Arial" w:eastAsia="Arial" w:hAnsi="Arial"/>
                <w:sz w:val="18"/>
                <w:szCs w:val="18"/>
                <w:b w:val="1"/>
                <w:bCs w:val="1"/>
                <w:color w:val="auto"/>
                <w:w w:val="87"/>
              </w:rPr>
              <w:t>80-0812659</w:t>
            </w:r>
          </w:p>
        </w:tc>
      </w:tr>
      <w:tr>
        <w:trPr>
          <w:trHeight w:val="193"/>
        </w:trPr>
        <w:tc>
          <w:tcPr>
            <w:tcW w:w="2040" w:type="dxa"/>
            <w:vAlign w:val="bottom"/>
          </w:tcPr>
          <w:p>
            <w:pPr>
              <w:jc w:val="center"/>
              <w:ind w:right="484"/>
              <w:spacing w:after="0"/>
              <w:rPr>
                <w:sz w:val="20"/>
                <w:szCs w:val="20"/>
                <w:color w:val="auto"/>
              </w:rPr>
            </w:pPr>
            <w:r>
              <w:rPr>
                <w:rFonts w:ascii="Arial" w:cs="Arial" w:eastAsia="Arial" w:hAnsi="Arial"/>
                <w:sz w:val="14"/>
                <w:szCs w:val="14"/>
                <w:color w:val="auto"/>
                <w:w w:val="92"/>
              </w:rPr>
              <w:t>(State or other jurisdiction</w:t>
            </w:r>
          </w:p>
        </w:tc>
        <w:tc>
          <w:tcPr>
            <w:tcW w:w="5400" w:type="dxa"/>
            <w:vAlign w:val="bottom"/>
          </w:tcPr>
          <w:p>
            <w:pPr>
              <w:jc w:val="center"/>
              <w:ind w:right="37"/>
              <w:spacing w:after="0"/>
              <w:rPr>
                <w:sz w:val="20"/>
                <w:szCs w:val="20"/>
                <w:color w:val="auto"/>
              </w:rPr>
            </w:pPr>
            <w:r>
              <w:rPr>
                <w:rFonts w:ascii="Arial" w:cs="Arial" w:eastAsia="Arial" w:hAnsi="Arial"/>
                <w:sz w:val="14"/>
                <w:szCs w:val="14"/>
                <w:color w:val="auto"/>
                <w:w w:val="93"/>
              </w:rPr>
              <w:t>(Commission</w:t>
            </w:r>
          </w:p>
        </w:tc>
        <w:tc>
          <w:tcPr>
            <w:tcW w:w="1700" w:type="dxa"/>
            <w:vAlign w:val="bottom"/>
          </w:tcPr>
          <w:p>
            <w:pPr>
              <w:jc w:val="center"/>
              <w:ind w:left="604"/>
              <w:spacing w:after="0"/>
              <w:rPr>
                <w:sz w:val="20"/>
                <w:szCs w:val="20"/>
                <w:color w:val="auto"/>
              </w:rPr>
            </w:pPr>
            <w:r>
              <w:rPr>
                <w:rFonts w:ascii="Arial" w:cs="Arial" w:eastAsia="Arial" w:hAnsi="Arial"/>
                <w:sz w:val="14"/>
                <w:szCs w:val="14"/>
                <w:color w:val="auto"/>
                <w:w w:val="94"/>
              </w:rPr>
              <w:t>(IRS Employer</w:t>
            </w:r>
          </w:p>
        </w:tc>
      </w:tr>
      <w:tr>
        <w:trPr>
          <w:trHeight w:val="179"/>
        </w:trPr>
        <w:tc>
          <w:tcPr>
            <w:tcW w:w="2040" w:type="dxa"/>
            <w:vAlign w:val="bottom"/>
          </w:tcPr>
          <w:p>
            <w:pPr>
              <w:jc w:val="center"/>
              <w:ind w:right="484"/>
              <w:spacing w:after="0"/>
              <w:rPr>
                <w:sz w:val="20"/>
                <w:szCs w:val="20"/>
                <w:color w:val="auto"/>
              </w:rPr>
            </w:pPr>
            <w:r>
              <w:rPr>
                <w:rFonts w:ascii="Arial" w:cs="Arial" w:eastAsia="Arial" w:hAnsi="Arial"/>
                <w:sz w:val="14"/>
                <w:szCs w:val="14"/>
                <w:color w:val="auto"/>
                <w:w w:val="94"/>
              </w:rPr>
              <w:t>of incorporation)</w:t>
            </w:r>
          </w:p>
        </w:tc>
        <w:tc>
          <w:tcPr>
            <w:tcW w:w="5400" w:type="dxa"/>
            <w:vAlign w:val="bottom"/>
          </w:tcPr>
          <w:p>
            <w:pPr>
              <w:jc w:val="center"/>
              <w:ind w:right="37"/>
              <w:spacing w:after="0"/>
              <w:rPr>
                <w:sz w:val="20"/>
                <w:szCs w:val="20"/>
                <w:color w:val="auto"/>
              </w:rPr>
            </w:pPr>
            <w:r>
              <w:rPr>
                <w:rFonts w:ascii="Arial" w:cs="Arial" w:eastAsia="Arial" w:hAnsi="Arial"/>
                <w:sz w:val="14"/>
                <w:szCs w:val="14"/>
                <w:color w:val="auto"/>
                <w:w w:val="93"/>
              </w:rPr>
              <w:t>File Number)</w:t>
            </w:r>
          </w:p>
        </w:tc>
        <w:tc>
          <w:tcPr>
            <w:tcW w:w="1700" w:type="dxa"/>
            <w:vAlign w:val="bottom"/>
          </w:tcPr>
          <w:p>
            <w:pPr>
              <w:jc w:val="center"/>
              <w:ind w:left="584"/>
              <w:spacing w:after="0"/>
              <w:rPr>
                <w:sz w:val="20"/>
                <w:szCs w:val="20"/>
                <w:color w:val="auto"/>
              </w:rPr>
            </w:pPr>
            <w:r>
              <w:rPr>
                <w:rFonts w:ascii="Arial" w:cs="Arial" w:eastAsia="Arial" w:hAnsi="Arial"/>
                <w:sz w:val="14"/>
                <w:szCs w:val="14"/>
                <w:color w:val="auto"/>
                <w:w w:val="95"/>
              </w:rPr>
              <w:t>Identification No.)</w:t>
            </w:r>
          </w:p>
        </w:tc>
      </w:tr>
      <w:tr>
        <w:trPr>
          <w:trHeight w:val="42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Arial" w:cs="Arial" w:eastAsia="Arial" w:hAnsi="Arial"/>
                <w:sz w:val="18"/>
                <w:szCs w:val="18"/>
                <w:b w:val="1"/>
                <w:bCs w:val="1"/>
                <w:color w:val="auto"/>
                <w:w w:val="88"/>
              </w:rPr>
              <w:t>350 Fifth Avenue, 20th Floor</w:t>
            </w:r>
          </w:p>
        </w:tc>
        <w:tc>
          <w:tcPr>
            <w:tcW w:w="1700" w:type="dxa"/>
            <w:vAlign w:val="bottom"/>
          </w:tcPr>
          <w:p>
            <w:pPr>
              <w:spacing w:after="0"/>
              <w:rPr>
                <w:sz w:val="24"/>
                <w:szCs w:val="24"/>
                <w:color w:val="auto"/>
              </w:rPr>
            </w:pPr>
          </w:p>
        </w:tc>
      </w:tr>
      <w:tr>
        <w:trPr>
          <w:trHeight w:val="217"/>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New York, NY 10118</w:t>
            </w:r>
          </w:p>
        </w:tc>
        <w:tc>
          <w:tcPr>
            <w:tcW w:w="1700" w:type="dxa"/>
            <w:vAlign w:val="bottom"/>
          </w:tcPr>
          <w:p>
            <w:pPr>
              <w:spacing w:after="0"/>
              <w:rPr>
                <w:sz w:val="18"/>
                <w:szCs w:val="18"/>
                <w:color w:val="auto"/>
              </w:rPr>
            </w:pPr>
          </w:p>
        </w:tc>
      </w:tr>
      <w:tr>
        <w:trPr>
          <w:trHeight w:val="222"/>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Arial" w:cs="Arial" w:eastAsia="Arial" w:hAnsi="Arial"/>
                <w:sz w:val="18"/>
                <w:szCs w:val="18"/>
                <w:color w:val="auto"/>
                <w:w w:val="89"/>
              </w:rPr>
              <w:t>(646) 710-3417</w:t>
            </w:r>
          </w:p>
        </w:tc>
        <w:tc>
          <w:tcPr>
            <w:tcW w:w="1700" w:type="dxa"/>
            <w:vAlign w:val="bottom"/>
          </w:tcPr>
          <w:p>
            <w:pPr>
              <w:spacing w:after="0"/>
              <w:rPr>
                <w:sz w:val="24"/>
                <w:szCs w:val="24"/>
                <w:color w:val="auto"/>
              </w:rPr>
            </w:pPr>
          </w:p>
        </w:tc>
      </w:tr>
    </w:tbl>
    <w:p>
      <w:pPr>
        <w:spacing w:after="0" w:line="94"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6"/>
          <w:szCs w:val="16"/>
          <w:color w:val="auto"/>
        </w:rPr>
        <w:t>Written communications pursuant to Rule 425 under the Securities Act (17 CFR 230.425)</w:t>
      </w:r>
    </w:p>
    <w:p>
      <w:pPr>
        <w:spacing w:after="0" w:line="85"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53"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0"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9"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7"/>
              </w:rPr>
              <w:t>Title of each class</w:t>
            </w: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Trading symbol</w:t>
            </w:r>
          </w:p>
        </w:tc>
        <w:tc>
          <w:tcPr>
            <w:tcW w:w="4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SSTK</w:t>
            </w:r>
          </w:p>
        </w:tc>
        <w:tc>
          <w:tcPr>
            <w:tcW w:w="4120" w:type="dxa"/>
            <w:vAlign w:val="bottom"/>
          </w:tcPr>
          <w:p>
            <w:pPr>
              <w:jc w:val="center"/>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261" w:lineRule="exact"/>
        <w:rPr>
          <w:sz w:val="24"/>
          <w:szCs w:val="24"/>
          <w:color w:val="auto"/>
        </w:rPr>
      </w:pPr>
    </w:p>
    <w:p>
      <w:pPr>
        <w:ind w:left="620" w:right="16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60" w:hanging="458"/>
        <w:spacing w:after="0" w:line="261" w:lineRule="auto"/>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1322070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106045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81280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32"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ind w:firstLine="439"/>
        <w:spacing w:after="0" w:line="324" w:lineRule="auto"/>
        <w:rPr>
          <w:sz w:val="20"/>
          <w:szCs w:val="20"/>
          <w:color w:val="auto"/>
        </w:rPr>
      </w:pPr>
      <w:r>
        <w:rPr>
          <w:rFonts w:ascii="Arial" w:cs="Arial" w:eastAsia="Arial" w:hAnsi="Arial"/>
          <w:sz w:val="16"/>
          <w:szCs w:val="16"/>
          <w:color w:val="auto"/>
        </w:rPr>
        <w:t>On October 31, 2023, Shutterstock, Inc. (the “Company”) issued a press release announcing its financial results for the fiscal period ended September 30, 2023. A copy of the press release is furnished as Exhibit 99.1 to this current report and is incorporated herein by reference.</w:t>
      </w:r>
    </w:p>
    <w:p>
      <w:pPr>
        <w:spacing w:after="0" w:line="30"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7" w:lineRule="exact"/>
        <w:rPr>
          <w:sz w:val="20"/>
          <w:szCs w:val="20"/>
          <w:color w:val="auto"/>
        </w:rPr>
      </w:pPr>
    </w:p>
    <w:p>
      <w:pPr>
        <w:ind w:left="740" w:hanging="34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0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entitled “Shutterstock Reports Third Quarter 2023 Financial Results” dated October 31, 2023</w:t>
      </w:r>
    </w:p>
    <w:p>
      <w:pPr>
        <w:spacing w:after="0" w:line="10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1150620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20" w:type="dxa"/>
            <w:vAlign w:val="bottom"/>
            <w:gridSpan w:val="2"/>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201"/>
        </w:trPr>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9420" w:type="dxa"/>
            <w:vAlign w:val="bottom"/>
            <w:gridSpan w:val="2"/>
          </w:tcPr>
          <w:p>
            <w:pPr>
              <w:ind w:left="4100"/>
              <w:spacing w:after="0"/>
              <w:rPr>
                <w:sz w:val="20"/>
                <w:szCs w:val="20"/>
                <w:color w:val="auto"/>
              </w:rPr>
            </w:pPr>
            <w:r>
              <w:rPr>
                <w:rFonts w:ascii="Arial" w:cs="Arial" w:eastAsia="Arial" w:hAnsi="Arial"/>
                <w:sz w:val="14"/>
                <w:szCs w:val="14"/>
                <w:b w:val="1"/>
                <w:bCs w:val="1"/>
                <w:color w:val="auto"/>
              </w:rPr>
              <w:t>Exhibit Description</w:t>
            </w:r>
          </w:p>
        </w:tc>
      </w:tr>
      <w:tr>
        <w:trPr>
          <w:trHeight w:val="24"/>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401"/>
        </w:trPr>
        <w:tc>
          <w:tcPr>
            <w:tcW w:w="1240" w:type="dxa"/>
            <w:vAlign w:val="bottom"/>
          </w:tcPr>
          <w:p>
            <w:pPr>
              <w:jc w:val="right"/>
              <w:ind w:right="398"/>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0000FF"/>
              </w:rPr>
              <w:t>Press release entitled “Shutterstock Reports Third Quarter 2023 Financial Results” dated October 31, 2023</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5"/>
        </w:trPr>
        <w:tc>
          <w:tcPr>
            <w:tcW w:w="1240" w:type="dxa"/>
            <w:vAlign w:val="bottom"/>
          </w:tcPr>
          <w:p>
            <w:pPr>
              <w:jc w:val="right"/>
              <w:ind w:right="418"/>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130810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440" w:right="559" w:bottom="1440" w:gutter="0" w:footer="0" w:header="0"/>
        </w:sectPr>
      </w:pPr>
    </w:p>
    <w:bookmarkStart w:id="3" w:name="page4"/>
    <w:bookmarkEnd w:id="3"/>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 w:lineRule="exact"/>
        <w:rPr>
          <w:sz w:val="20"/>
          <w:szCs w:val="20"/>
          <w:color w:val="auto"/>
        </w:rPr>
      </w:pPr>
    </w:p>
    <w:p>
      <w:pPr>
        <w:ind w:right="780" w:firstLine="439"/>
        <w:spacing w:after="0" w:line="24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8020" w:type="dxa"/>
            <w:vAlign w:val="bottom"/>
            <w:gridSpan w:val="2"/>
          </w:tcPr>
          <w:p>
            <w:pPr>
              <w:ind w:left="1440"/>
              <w:spacing w:after="0"/>
              <w:rPr>
                <w:sz w:val="20"/>
                <w:szCs w:val="20"/>
                <w:color w:val="auto"/>
              </w:rPr>
            </w:pPr>
            <w:r>
              <w:rPr>
                <w:rFonts w:ascii="Arial" w:cs="Arial" w:eastAsia="Arial" w:hAnsi="Arial"/>
                <w:sz w:val="18"/>
                <w:szCs w:val="18"/>
                <w:b w:val="1"/>
                <w:bCs w:val="1"/>
                <w:color w:val="auto"/>
              </w:rPr>
              <w:t>SHUTTERSTOCK, INC.</w:t>
            </w:r>
          </w:p>
        </w:tc>
      </w:tr>
      <w:tr>
        <w:trPr>
          <w:trHeight w:val="408"/>
        </w:trPr>
        <w:tc>
          <w:tcPr>
            <w:tcW w:w="3200" w:type="dxa"/>
            <w:vAlign w:val="bottom"/>
          </w:tcPr>
          <w:p>
            <w:pPr>
              <w:spacing w:after="0"/>
              <w:rPr>
                <w:sz w:val="20"/>
                <w:szCs w:val="20"/>
                <w:color w:val="auto"/>
              </w:rPr>
            </w:pPr>
            <w:r>
              <w:rPr>
                <w:rFonts w:ascii="Arial" w:cs="Arial" w:eastAsia="Arial" w:hAnsi="Arial"/>
                <w:sz w:val="18"/>
                <w:szCs w:val="18"/>
                <w:color w:val="auto"/>
              </w:rPr>
              <w:t>Dated: October 31, 2023</w:t>
            </w:r>
          </w:p>
        </w:tc>
        <w:tc>
          <w:tcPr>
            <w:tcW w:w="2040" w:type="dxa"/>
            <w:vAlign w:val="bottom"/>
          </w:tcPr>
          <w:p>
            <w:pPr>
              <w:ind w:left="1440"/>
              <w:spacing w:after="0"/>
              <w:rPr>
                <w:sz w:val="20"/>
                <w:szCs w:val="20"/>
                <w:color w:val="auto"/>
              </w:rPr>
            </w:pPr>
            <w:r>
              <w:rPr>
                <w:rFonts w:ascii="Arial" w:cs="Arial" w:eastAsia="Arial" w:hAnsi="Arial"/>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Jarrod Yahes</w:t>
            </w:r>
          </w:p>
        </w:tc>
      </w:tr>
      <w:tr>
        <w:trPr>
          <w:trHeight w:val="217"/>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Jarrod Yahes</w:t>
            </w:r>
          </w:p>
        </w:tc>
      </w:tr>
      <w:tr>
        <w:trPr>
          <w:trHeight w:val="224"/>
        </w:trPr>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80645</wp:posOffset>
            </wp:positionV>
            <wp:extent cx="342582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582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Reports Third Quarter 2023 Financial Results</w:t>
      </w:r>
    </w:p>
    <w:p>
      <w:pPr>
        <w:spacing w:after="0" w:line="109"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b w:val="1"/>
          <w:bCs w:val="1"/>
          <w:color w:val="auto"/>
        </w:rPr>
        <w:t xml:space="preserve">New York, NY - October 31, 2023 - </w:t>
      </w:r>
      <w:r>
        <w:rPr>
          <w:rFonts w:ascii="Arial" w:cs="Arial" w:eastAsia="Arial" w:hAnsi="Arial"/>
          <w:sz w:val="15"/>
          <w:szCs w:val="15"/>
          <w:color w:val="auto"/>
        </w:rPr>
        <w:t>Shutterstock, Inc. (NYSE: SSTK) (the “Company”), a leading global creative platform offering high-quality creative</w:t>
      </w:r>
      <w:r>
        <w:rPr>
          <w:rFonts w:ascii="Arial" w:cs="Arial" w:eastAsia="Arial" w:hAnsi="Arial"/>
          <w:sz w:val="15"/>
          <w:szCs w:val="15"/>
          <w:b w:val="1"/>
          <w:bCs w:val="1"/>
          <w:color w:val="auto"/>
        </w:rPr>
        <w:t xml:space="preserve"> </w:t>
      </w:r>
      <w:r>
        <w:rPr>
          <w:rFonts w:ascii="Arial" w:cs="Arial" w:eastAsia="Arial" w:hAnsi="Arial"/>
          <w:sz w:val="15"/>
          <w:szCs w:val="15"/>
          <w:color w:val="auto"/>
        </w:rPr>
        <w:t>content for transformative brands, digital media and marketing companies, today announced financial results for the third quarter ended September 30, 2023.</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Commenting on the Company’s performance, Paul Hennessy, the Company’s Chief Executive Officer, said, “In the third quarter, Shutterstock’s data and creative engines fueled faster growth and furthered the transformation of our business. Enterprise demand picked up, and we expect a further acceleration in the fourth quarter. We are seeing stabilization and expect a recovery in E-commerce over the next several quarters supported by marketing and product innovation. Based on our strong year to date performance, and improved confidence and visibility in our business, we are again raising both revenue and EBITDA guidance for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highlights as compared to third quarter 2022:</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14% to $233.2 million.</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decreased 40% to $17.2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increased 23% to $28.4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15% to $64.7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per diluted share increased $0.15 to $0.79.</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per diluted share increased $0.26 to $1.26.</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cash flows decreased $27.7 million to $10.0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decreased $8.7 million to $12.7 million.</w:t>
      </w:r>
    </w:p>
    <w:p>
      <w:pPr>
        <w:spacing w:after="0" w:line="33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Key Operating Metrics</w:t>
      </w:r>
    </w:p>
    <w:p>
      <w:pPr>
        <w:spacing w:after="0" w:line="109" w:lineRule="exact"/>
        <w:rPr>
          <w:sz w:val="20"/>
          <w:szCs w:val="20"/>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Subscribers decreased to 551,000.</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Subscriber revenue increased to $88.3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revenue per customer increased to $401.</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Paid downloads decreased to 36.4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download increased to $4.76.</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Image collection expanded to 757 million images.</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Footage collection expanded to 52 million clips.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7"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Third quarter revenue of $233.2 million increased $29.2 million or 14% as compared to the third quarter of 2022. Revenue generated from our Enterprise sales channel increased 60% as compared to the third quarter of 2022, to $127.2 million, and represented 55% of third quarter revenue in 2023. The increase in Enterprise revenues was primarily driven by growth in our computer vision data partnerships which generated $45.5 million during the third quarter, compared to $1.5 million in the third quarter of 2022. Revenue from our E-commerce sales channel decreased 15% as compared to the third quarter of 2022, to</w:t>
      </w:r>
    </w:p>
    <w:p>
      <w:pPr>
        <w:ind w:right="320"/>
        <w:spacing w:after="0" w:line="248" w:lineRule="auto"/>
        <w:rPr>
          <w:sz w:val="20"/>
          <w:szCs w:val="20"/>
          <w:color w:val="auto"/>
        </w:rPr>
      </w:pPr>
      <w:r>
        <w:rPr>
          <w:rFonts w:ascii="Arial" w:cs="Arial" w:eastAsia="Arial" w:hAnsi="Arial"/>
          <w:sz w:val="18"/>
          <w:szCs w:val="18"/>
          <w:color w:val="auto"/>
        </w:rPr>
        <w:t>$106.0 million, and represented 45% of total revenue in the third quarter of 2023. The decline in E-commerce revenue was primarily driven by weakness in new customer acquisition.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56"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color w:val="auto"/>
        </w:rPr>
        <w:t>On a constant currency basis, revenue increased 12% in the third quarter of 2023 as compared to the third quarter of 2022. On a constant currency basis, Enterprise revenues increased by 57%, and E-commerce revenue decreased by 16% in the third quarter of 2023, as compared to 2022.</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net income per diluted share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income of $28.4 million increased $5.4 million as compared to $23.0 million for the third quarter in 2022. Net income per diluted share was $0.79, as compared to $0.64 for the same period in 2022.</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quarter 2023 net income was favorably impacted by a non-taxable bargain purchase gain of $9.9 million associated with the our acquisition of Giphy which occurred in the second quarter. Third quarter 2023 net income was also favorably impacted our growth in revenue and unfavorably impacted by expenses associated with reimbursable costs paid to the Giphy workforce.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 per diluted share was $1.26 as compared to $1.00 for the third quarter of 2022, an increase of $0.26 per diluted share.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EBITDA of $64.7 million for the third quarter of 2023 increased by $8.7 million, or 15%, as compared to the third quarter of 2022, due primarily to revenue growth partially offset by higher operating expenses. The adjusted EBITDA margin of 27.7% for third quarter of 2023 increased by 28 basis points, as compared to 27.5% in the third quarter of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LIQUIDITY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cash and cash equivalents decreased by $11.9 million to $75.2 million at September 30, 2023, as compared with $87.1 million as of June 30, 2023. This decrease was driven by $25.3 million of net cash used in financing activities, partially offset by $10.0 million of net cash provided by our operating activities and $4.2 million of net cash provided by investing activities.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our operating activities was driven by our operating income, in addition to changes in the timing of cash collections from our customers and payments pertaining to operating expenses. Operating cash flows were unfavorably impacted by payments made to the Giphy workforce, the reimbursement of which is reflected in Investing Activities.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investing activities primarily consists of $19.0 million related to the receipt of the Giphy Retention Compensation, as reimbursed by the Giphy seller, partially offset by $16.3 million related to capital expenditures and content acquisition.</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used in financing activities primarily consists of $15.0 million paid for the repurchase of common stock under our share repurchase program, $9.6 million related to the payment of the quarterly cash dividend and $0.7 million paid in settlement of tax withholding obligations related to employee stock-based compensation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Free cash flow was $12.7 million for the third quarter of 2023, a decrease of $8.7 million from the third quarter of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2023, the Company declared and paid a cash dividend of $0.27 per common share or $9.6 million.</w:t>
      </w:r>
    </w:p>
    <w:p>
      <w:pPr>
        <w:spacing w:after="0" w:line="13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On October 23, 2023, the Board of Directors declared a dividend of $0.27 per share of outstanding common stock, payable on December 14, 2023 to stockholders of record at the close of business on November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80" w:type="dxa"/>
            <w:vAlign w:val="bottom"/>
          </w:tcPr>
          <w:p>
            <w:pPr>
              <w:spacing w:after="0"/>
              <w:rPr>
                <w:sz w:val="14"/>
                <w:szCs w:val="14"/>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4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5"/>
              <w:spacing w:after="0"/>
              <w:rPr>
                <w:sz w:val="20"/>
                <w:szCs w:val="20"/>
                <w:color w:val="auto"/>
              </w:rPr>
            </w:pPr>
            <w:r>
              <w:rPr>
                <w:rFonts w:ascii="Arial" w:cs="Arial" w:eastAsia="Arial" w:hAnsi="Arial"/>
                <w:sz w:val="12"/>
                <w:szCs w:val="12"/>
                <w:b w:val="1"/>
                <w:bCs w:val="1"/>
                <w:color w:val="auto"/>
              </w:rPr>
              <w:t>2023</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2"/>
                <w:szCs w:val="12"/>
                <w:b w:val="1"/>
                <w:bCs w:val="1"/>
                <w:color w:val="auto"/>
              </w:rPr>
              <w:t>2022</w:t>
            </w:r>
          </w:p>
        </w:tc>
      </w:tr>
      <w:tr>
        <w:trPr>
          <w:trHeight w:val="52"/>
        </w:trPr>
        <w:tc>
          <w:tcPr>
            <w:tcW w:w="4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Subscribers (end of period)</w:t>
            </w:r>
            <w:r>
              <w:rPr>
                <w:rFonts w:ascii="Arial" w:cs="Arial" w:eastAsia="Arial" w:hAnsi="Arial"/>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551,000</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607,000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551,000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607,000</w:t>
            </w:r>
          </w:p>
        </w:tc>
      </w:tr>
      <w:tr>
        <w:trPr>
          <w:trHeight w:val="211"/>
        </w:trPr>
        <w:tc>
          <w:tcPr>
            <w:tcW w:w="4780" w:type="dxa"/>
            <w:vAlign w:val="bottom"/>
          </w:tcPr>
          <w:p>
            <w:pPr>
              <w:ind w:left="20"/>
              <w:spacing w:after="0" w:line="210" w:lineRule="exact"/>
              <w:rPr>
                <w:sz w:val="20"/>
                <w:szCs w:val="20"/>
                <w:color w:val="auto"/>
              </w:rPr>
            </w:pPr>
            <w:r>
              <w:rPr>
                <w:rFonts w:ascii="Arial" w:cs="Arial" w:eastAsia="Arial" w:hAnsi="Arial"/>
                <w:sz w:val="16"/>
                <w:szCs w:val="16"/>
                <w:color w:val="auto"/>
              </w:rPr>
              <w:t>Subscriber revenue (in millions)</w:t>
            </w:r>
            <w:r>
              <w:rPr>
                <w:rFonts w:ascii="Arial" w:cs="Arial" w:eastAsia="Arial" w:hAnsi="Arial"/>
                <w:sz w:val="20"/>
                <w:szCs w:val="20"/>
                <w:color w:val="auto"/>
                <w:vertAlign w:val="superscript"/>
              </w:rPr>
              <w:t>(2)</w:t>
            </w: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88.3</w:t>
            </w:r>
          </w:p>
        </w:tc>
        <w:tc>
          <w:tcPr>
            <w:tcW w:w="98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266.3</w:t>
            </w:r>
          </w:p>
        </w:tc>
        <w:tc>
          <w:tcPr>
            <w:tcW w:w="4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92"/>
        </w:trPr>
        <w:tc>
          <w:tcPr>
            <w:tcW w:w="47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211"/>
        </w:trPr>
        <w:tc>
          <w:tcPr>
            <w:tcW w:w="4780" w:type="dxa"/>
            <w:vAlign w:val="bottom"/>
          </w:tcPr>
          <w:p>
            <w:pPr>
              <w:ind w:left="20"/>
              <w:spacing w:after="0" w:line="210" w:lineRule="exact"/>
              <w:rPr>
                <w:sz w:val="20"/>
                <w:szCs w:val="20"/>
                <w:color w:val="auto"/>
              </w:rPr>
            </w:pPr>
            <w:r>
              <w:rPr>
                <w:rFonts w:ascii="Arial" w:cs="Arial" w:eastAsia="Arial" w:hAnsi="Arial"/>
                <w:sz w:val="16"/>
                <w:szCs w:val="16"/>
                <w:color w:val="auto"/>
              </w:rPr>
              <w:t>Average revenue per customer (last twelve months)</w:t>
            </w:r>
            <w:r>
              <w:rPr>
                <w:rFonts w:ascii="Arial" w:cs="Arial" w:eastAsia="Arial" w:hAnsi="Arial"/>
                <w:sz w:val="20"/>
                <w:szCs w:val="20"/>
                <w:color w:val="auto"/>
                <w:vertAlign w:val="superscript"/>
              </w:rPr>
              <w:t>(3)</w:t>
            </w: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401</w:t>
            </w:r>
          </w:p>
        </w:tc>
        <w:tc>
          <w:tcPr>
            <w:tcW w:w="98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401</w:t>
            </w:r>
          </w:p>
        </w:tc>
        <w:tc>
          <w:tcPr>
            <w:tcW w:w="4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Paid downloads (in millions)</w:t>
            </w:r>
            <w:r>
              <w:rPr>
                <w:rFonts w:ascii="Arial" w:cs="Arial" w:eastAsia="Arial" w:hAnsi="Arial"/>
                <w:sz w:val="20"/>
                <w:szCs w:val="20"/>
                <w:color w:val="auto"/>
                <w:vertAlign w:val="superscript"/>
              </w:rPr>
              <w:t>(4)</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36.4</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117.6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r>
      <w:tr>
        <w:trPr>
          <w:trHeight w:val="211"/>
        </w:trPr>
        <w:tc>
          <w:tcPr>
            <w:tcW w:w="4780" w:type="dxa"/>
            <w:vAlign w:val="bottom"/>
          </w:tcPr>
          <w:p>
            <w:pPr>
              <w:ind w:left="20"/>
              <w:spacing w:after="0" w:line="210" w:lineRule="exact"/>
              <w:rPr>
                <w:sz w:val="20"/>
                <w:szCs w:val="20"/>
                <w:color w:val="auto"/>
              </w:rPr>
            </w:pPr>
            <w:r>
              <w:rPr>
                <w:rFonts w:ascii="Arial" w:cs="Arial" w:eastAsia="Arial" w:hAnsi="Arial"/>
                <w:sz w:val="16"/>
                <w:szCs w:val="16"/>
                <w:color w:val="auto"/>
              </w:rPr>
              <w:t>Revenue per download</w:t>
            </w:r>
            <w:r>
              <w:rPr>
                <w:rFonts w:ascii="Arial" w:cs="Arial" w:eastAsia="Arial" w:hAnsi="Arial"/>
                <w:sz w:val="20"/>
                <w:szCs w:val="20"/>
                <w:color w:val="auto"/>
                <w:vertAlign w:val="superscript"/>
              </w:rPr>
              <w:t>(5)</w:t>
            </w: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4.76</w:t>
            </w:r>
          </w:p>
        </w:tc>
        <w:tc>
          <w:tcPr>
            <w:tcW w:w="98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4.63</w:t>
            </w:r>
          </w:p>
        </w:tc>
        <w:tc>
          <w:tcPr>
            <w:tcW w:w="4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1"/>
        </w:trPr>
        <w:tc>
          <w:tcPr>
            <w:tcW w:w="47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Content in our collection (end of period, in millions)</w:t>
            </w:r>
            <w:r>
              <w:rPr>
                <w:rFonts w:ascii="Arial" w:cs="Arial" w:eastAsia="Arial" w:hAnsi="Arial"/>
                <w:sz w:val="20"/>
                <w:szCs w:val="20"/>
                <w:color w:val="auto"/>
                <w:vertAlign w:val="superscript"/>
              </w:rPr>
              <w:t>(6)</w:t>
            </w: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4780" w:type="dxa"/>
            <w:vAlign w:val="bottom"/>
          </w:tcPr>
          <w:p>
            <w:pPr>
              <w:ind w:left="140"/>
              <w:spacing w:after="0"/>
              <w:rPr>
                <w:sz w:val="20"/>
                <w:szCs w:val="20"/>
                <w:color w:val="auto"/>
              </w:rPr>
            </w:pPr>
            <w:r>
              <w:rPr>
                <w:rFonts w:ascii="Arial" w:cs="Arial" w:eastAsia="Arial" w:hAnsi="Arial"/>
                <w:sz w:val="16"/>
                <w:szCs w:val="16"/>
                <w:color w:val="auto"/>
              </w:rPr>
              <w:t>Images</w:t>
            </w:r>
          </w:p>
        </w:tc>
        <w:tc>
          <w:tcPr>
            <w:tcW w:w="88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757</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757</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14"/>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Footage clips</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52</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ind w:right="200"/>
        <w:spacing w:after="0" w:line="278" w:lineRule="auto"/>
        <w:rPr>
          <w:sz w:val="20"/>
          <w:szCs w:val="20"/>
          <w:color w:val="auto"/>
        </w:rPr>
      </w:pPr>
      <w:r>
        <w:rPr>
          <w:rFonts w:ascii="Arial" w:cs="Arial" w:eastAsia="Arial" w:hAnsi="Arial"/>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73"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Arial" w:cs="Arial" w:eastAsia="Arial" w:hAnsi="Arial"/>
          <w:sz w:val="12"/>
          <w:szCs w:val="12"/>
          <w:color w:val="auto"/>
        </w:rPr>
      </w:pPr>
    </w:p>
    <w:p>
      <w:pPr>
        <w:ind w:left="180" w:hanging="175"/>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Subscriber revenue is defined as the revenue generated from subscribers during the period.</w:t>
      </w:r>
    </w:p>
    <w:p>
      <w:pPr>
        <w:spacing w:after="0" w:line="112" w:lineRule="exact"/>
        <w:rPr>
          <w:rFonts w:ascii="Arial" w:cs="Arial" w:eastAsia="Arial" w:hAnsi="Arial"/>
          <w:sz w:val="12"/>
          <w:szCs w:val="12"/>
          <w:color w:val="auto"/>
        </w:rPr>
      </w:pPr>
    </w:p>
    <w:p>
      <w:pPr>
        <w:ind w:right="20" w:firstLine="5"/>
        <w:spacing w:after="0" w:line="282"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83" w:lineRule="exact"/>
        <w:rPr>
          <w:rFonts w:ascii="Arial" w:cs="Arial" w:eastAsia="Arial" w:hAnsi="Arial"/>
          <w:sz w:val="12"/>
          <w:szCs w:val="12"/>
          <w:color w:val="auto"/>
        </w:rPr>
      </w:pPr>
    </w:p>
    <w:p>
      <w:pPr>
        <w:ind w:right="20" w:firstLine="5"/>
        <w:spacing w:after="0" w:line="282"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70" w:lineRule="exact"/>
        <w:rPr>
          <w:rFonts w:ascii="Arial" w:cs="Arial" w:eastAsia="Arial" w:hAnsi="Arial"/>
          <w:sz w:val="12"/>
          <w:szCs w:val="12"/>
          <w:color w:val="auto"/>
        </w:rPr>
      </w:pPr>
    </w:p>
    <w:p>
      <w:pPr>
        <w:ind w:right="480" w:firstLine="5"/>
        <w:spacing w:after="0" w:line="282"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70" w:lineRule="exact"/>
        <w:rPr>
          <w:rFonts w:ascii="Arial" w:cs="Arial" w:eastAsia="Arial" w:hAnsi="Arial"/>
          <w:sz w:val="12"/>
          <w:szCs w:val="12"/>
          <w:color w:val="auto"/>
        </w:rPr>
      </w:pPr>
    </w:p>
    <w:p>
      <w:pPr>
        <w:jc w:val="both"/>
        <w:ind w:right="20" w:firstLine="5"/>
        <w:spacing w:after="0" w:line="278"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increased its guidance for the full year 2023, to the following:</w:t>
      </w:r>
    </w:p>
    <w:p>
      <w:pPr>
        <w:spacing w:after="0" w:line="214"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$869 million to $886 million, representing annual growth of 5% to 7%.</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of between $240 million to $245 million.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per diluted share of between $4.18 to $4.30.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free cash flow.</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Shutterstock defines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interest income and expense and income taxes; adjusted EBITDA margin as the ratio of adjusted EBITDA to revenue; adjusted net income as net income adjusted for the impact of non-cash equity-based compensation, amortization of acquisition-related intangible assets, bargain purchase gain related to the acquisition of Giphy, Giphy Retention Compensation Expense - non-recurring, severance costs associated with strategic workforce optimizations and the estimated tax impact of such adjustments; adjusted net income per diluted share as adjusted net income divided by weighted average diluted shares;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free cash flow as cash provided by operating activities, adjusted for capital expenditures, content acquisition and cash received related to Giphy Retention Compensation in connection with the acquisition of Giphy.</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September 30, 2023, the Company also incurred $6.5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Shutterstock’s management believes that adjusted EBITDA, adjusted EBITDA margin, adjusted net income, adjusted net income per diluted share, revenue growth (including by distribution channel) on a constant currency basis (expressed as a percentage), billings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Shutterstock’s management also uses the non-GAAP financial measures adjusted EBITDA, adjusted EBITDA margin, adjusted net income, adjusted net income per diluted share, revenue growth (including by distribution channel) on a constant currency basis (expressed as a percentage), billings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Reconciliations of the differences between adjusted EBITDA, adjusted EBITDA margin, adjusted net income, adjusted net income per diluted share, revenue growth (including by distribution channel) on a constant currency basis (expressed as a percentage), billings, free cash flow, and the most comparable financial measures calculated and presented in accordance with GAAP, are presented under the headings “Reconciliation of Non-GAAP Financial Information to GAAP” and “Supplemental Financial Data” immediately following the Consolidated Balance Sheets.</w:t>
      </w:r>
    </w:p>
    <w:p>
      <w:pPr>
        <w:spacing w:after="0" w:line="3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do not provide a reconciliation of adjusted EBITDA guidance to net income guidance or a reconciliation of adjusted net income per diluted share guidance to net income per diluted share guidance, because we are unable to calculate with reasonable certainty the impact of potential future transactions, including, but not limited to, capital structure transactions, restructuring, acquisitions, divestitures or other events and asset impairments, without unreasonable effort. These amounts depend on various factors and could have a material impact on net income and net income per diluted share, but may be excluded from adjusted EBITDA and adjusted net income per diluted share. In addition, we believe such reconciliations would imply a degree of precision that would be confusing or misleading to investors. For the same reasons, the Company is unable to address the probable significance of the unavailable information.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TELECONFERENCE INFORMATION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will discuss its third quarter and full year financial results during a teleconference today, October 31, 2023, at 8:30 AM Eastern Time. The conference call is being webcast live at the Company's website at http://investor.shutterstock.com/. The webcast is listen-only. Those interested in participating in the question-and-answer session should register using the link below.</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Participants may register for the call here (https://edge.media-server.com/mmc/p/cmuiaecy). It is recommended that you join 10 minutes prior to the event start (although you may register and join at any time during the call).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 webcast replay of the call will be available on the Company's website beginning on October 31, 2023 at approximately 10:30 AM Eastern Time.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SHUTTERSTOCK</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Shutterstock, Inc. (NYSE: SSTK) is a leading global creative platform offering high-quality creative content for transformative brands, digital media and marketing companies. Fueled by millions of creators around the world, a growing data engine and a dedication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technology—Shutterstock offers the most comprehensive selection of resources to bring storytelling to life.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Learn more at www.shutterstock.com and follow us on LinkedIn, Instagram, Twitter,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particularly in the discussion under the caption “2023 Guidance.”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risks related to the Giphy, Inc. transaction, such as potential litigation; potential business disruption; the impact of transaction costs; our ability to achieve the benefits of the transaction, including monetization; our ability to effectively integrate the acquired operations into our operations; our ability to retain and hire key target personnel; and the effects of any unknown liabilities; as well as those risks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240"/>
          </w:cols>
          <w:pgMar w:left="320" w:top="1440" w:right="339" w:bottom="1440" w:gutter="0" w:footer="0" w:header="0"/>
        </w:sect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Investor Relations Contact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Chris Suh</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ir@shutterstock.com</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646-257-4825</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Lori Rodney</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press@shutterstock.com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70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610,100</w:t>
            </w: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94,219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79,911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226,381</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155,335</w:t>
            </w:r>
          </w:p>
        </w:tc>
        <w:tc>
          <w:tcPr>
            <w:tcW w:w="0" w:type="dxa"/>
            <w:vAlign w:val="bottom"/>
          </w:tcPr>
          <w:p>
            <w:pPr>
              <w:spacing w:after="0"/>
              <w:rPr>
                <w:sz w:val="1"/>
                <w:szCs w:val="1"/>
                <w:color w:val="auto"/>
              </w:rPr>
            </w:pP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28,098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48,322</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37,574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94,085</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216,056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524,123</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85,977</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Bargain purchase gain</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9,864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00"/>
        </w:trPr>
        <w:tc>
          <w:tcPr>
            <w:tcW w:w="522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27,613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120,408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82,528</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 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13,471</w:t>
            </w:r>
          </w:p>
        </w:tc>
        <w:tc>
          <w:tcPr>
            <w:tcW w:w="0" w:type="dxa"/>
            <w:vAlign w:val="bottom"/>
          </w:tcPr>
          <w:p>
            <w:pPr>
              <w:spacing w:after="0"/>
              <w:rPr>
                <w:sz w:val="1"/>
                <w:szCs w:val="1"/>
                <w:color w:val="auto"/>
              </w:rPr>
            </w:pPr>
          </w:p>
        </w:tc>
      </w:tr>
      <w:tr>
        <w:trPr>
          <w:trHeight w:val="177"/>
        </w:trPr>
        <w:tc>
          <w:tcPr>
            <w:tcW w:w="5220" w:type="dxa"/>
            <w:vAlign w:val="bottom"/>
          </w:tcPr>
          <w:p>
            <w:pPr>
              <w:ind w:left="240"/>
              <w:spacing w:after="0" w:line="178" w:lineRule="exact"/>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28,419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23,040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111,275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69,057</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47"/>
        </w:trPr>
        <w:tc>
          <w:tcPr>
            <w:tcW w:w="5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35,912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36,117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36,081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36,681</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7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5"/>
                <w:szCs w:val="15"/>
                <w:color w:val="auto"/>
              </w:rPr>
            </w:pPr>
          </w:p>
        </w:tc>
        <w:tc>
          <w:tcPr>
            <w:tcW w:w="1480" w:type="dxa"/>
            <w:vAlign w:val="bottom"/>
          </w:tcPr>
          <w:p>
            <w:pPr>
              <w:jc w:val="right"/>
              <w:ind w:right="18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115,154</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Accounts receivable, net of allowance of $6,022 and $5,830</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85,406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67,249</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108,831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33,268</w:t>
            </w:r>
          </w:p>
        </w:tc>
        <w:tc>
          <w:tcPr>
            <w:tcW w:w="0" w:type="dxa"/>
            <w:vAlign w:val="bottom"/>
          </w:tcPr>
          <w:p>
            <w:pPr>
              <w:spacing w:after="0"/>
              <w:rPr>
                <w:sz w:val="1"/>
                <w:szCs w:val="1"/>
                <w:color w:val="auto"/>
              </w:rPr>
            </w:pPr>
          </w:p>
        </w:tc>
      </w:tr>
      <w:tr>
        <w:trPr>
          <w:trHeight w:val="200"/>
        </w:trPr>
        <w:tc>
          <w:tcPr>
            <w:tcW w:w="7820" w:type="dxa"/>
            <w:vAlign w:val="bottom"/>
          </w:tcPr>
          <w:p>
            <w:pPr>
              <w:ind w:left="5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269,465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215,671</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54,548</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Right-of-use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17,593</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Intangibles assets,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173,087</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381,920</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16,533</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1,015,920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89,387</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Contributor royalties payable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38,649</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187,070</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383,734</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Deferred tax liability,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483,957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433,702</w:t>
            </w:r>
          </w:p>
        </w:tc>
        <w:tc>
          <w:tcPr>
            <w:tcW w:w="0" w:type="dxa"/>
            <w:vAlign w:val="bottom"/>
          </w:tcPr>
          <w:p>
            <w:pPr>
              <w:spacing w:after="0"/>
              <w:rPr>
                <w:sz w:val="1"/>
                <w:szCs w:val="1"/>
                <w:color w:val="auto"/>
              </w:rPr>
            </w:pPr>
          </w:p>
        </w:tc>
      </w:tr>
      <w:tr>
        <w:trPr>
          <w:trHeight w:val="194"/>
        </w:trPr>
        <w:tc>
          <w:tcPr>
            <w:tcW w:w="7820" w:type="dxa"/>
            <w:vAlign w:val="bottom"/>
          </w:tcPr>
          <w:p>
            <w:pPr>
              <w:ind w:left="140"/>
              <w:spacing w:after="0"/>
              <w:rPr>
                <w:sz w:val="20"/>
                <w:szCs w:val="20"/>
                <w:color w:val="auto"/>
              </w:rPr>
            </w:pPr>
            <w:r>
              <w:rPr>
                <w:rFonts w:ascii="Arial" w:cs="Arial" w:eastAsia="Arial" w:hAnsi="Arial"/>
                <w:sz w:val="16"/>
                <w:szCs w:val="16"/>
                <w:color w:val="auto"/>
              </w:rPr>
              <w:t>Commitment and contingencies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820" w:type="dxa"/>
            <w:vAlign w:val="bottom"/>
          </w:tcPr>
          <w:p>
            <w:pPr>
              <w:ind w:left="340"/>
              <w:spacing w:after="0" w:line="161" w:lineRule="exact"/>
              <w:rPr>
                <w:sz w:val="20"/>
                <w:szCs w:val="20"/>
                <w:color w:val="auto"/>
              </w:rPr>
            </w:pPr>
            <w:r>
              <w:rPr>
                <w:rFonts w:ascii="Arial" w:cs="Arial" w:eastAsia="Arial" w:hAnsi="Arial"/>
                <w:sz w:val="16"/>
                <w:szCs w:val="16"/>
                <w:color w:val="auto"/>
                <w:w w:val="94"/>
              </w:rPr>
              <w:t>Common stock, $0.01 par value; 200,000 shares authorized; 39,956 and 39,605 shares issued and 35,749 and</w:t>
            </w: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35,829 shares outstanding as of September 30, 2023 and December 31, 2022, respectively</w:t>
            </w:r>
          </w:p>
        </w:tc>
        <w:tc>
          <w:tcPr>
            <w:tcW w:w="1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stock, at cost; 4,207 and 3,776 shares as of September 30, 2023 and December 31, 2022</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(200,008)</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412,861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391,482</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(15,439)</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271,051</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447,482</w:t>
            </w:r>
          </w:p>
        </w:tc>
        <w:tc>
          <w:tcPr>
            <w:tcW w:w="0" w:type="dxa"/>
            <w:vAlign w:val="bottom"/>
          </w:tcPr>
          <w:p>
            <w:pPr>
              <w:spacing w:after="0"/>
              <w:rPr>
                <w:sz w:val="1"/>
                <w:szCs w:val="1"/>
                <w:color w:val="auto"/>
              </w:rPr>
            </w:pPr>
          </w:p>
        </w:tc>
      </w:tr>
      <w:tr>
        <w:trPr>
          <w:trHeight w:val="200"/>
        </w:trPr>
        <w:tc>
          <w:tcPr>
            <w:tcW w:w="7820" w:type="dxa"/>
            <w:vAlign w:val="bottom"/>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1,015,920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74" w:right="339" w:bottom="1440" w:gutter="0" w:footer="0" w:header="0"/>
        </w:sectPr>
      </w:pPr>
    </w:p>
    <w:bookmarkStart w:id="12" w:name="page13"/>
    <w:bookmarkEnd w:id="12"/>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par value amount)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86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6"/>
                <w:szCs w:val="16"/>
                <w:color w:val="auto"/>
              </w:rPr>
            </w:pPr>
          </w:p>
        </w:tc>
        <w:tc>
          <w:tcPr>
            <w:tcW w:w="186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September 30,</w:t>
            </w:r>
          </w:p>
        </w:tc>
      </w:tr>
      <w:tr>
        <w:trPr>
          <w:trHeight w:val="233"/>
        </w:trPr>
        <w:tc>
          <w:tcPr>
            <w:tcW w:w="67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r>
      <w:tr>
        <w:trPr>
          <w:trHeight w:val="208"/>
        </w:trPr>
        <w:tc>
          <w:tcPr>
            <w:tcW w:w="67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69,057</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49,834</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Deferred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(6,874)</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Non-cash equity-based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23,958</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Bad debt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Bargain purchase gain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Prepaid expenses and other current and non-current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(3,157)</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other current and non-current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(32,927)</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Contributor royalties payable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5,236</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r>
      <w:tr>
        <w:trPr>
          <w:trHeight w:val="241"/>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97,289</w:t>
            </w:r>
          </w:p>
        </w:tc>
      </w:tr>
      <w:tr>
        <w:trPr>
          <w:trHeight w:val="208"/>
        </w:trPr>
        <w:tc>
          <w:tcPr>
            <w:tcW w:w="67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(32,922)</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Business combination, net of cash acquired</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(53,721)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(211,843)</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Cash received related to Giphy Retention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Asset acquisitions</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Content acquisitions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r>
      <w:tr>
        <w:trPr>
          <w:trHeight w:val="207"/>
        </w:trPr>
        <w:tc>
          <w:tcPr>
            <w:tcW w:w="6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Security deposit release / (payment)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0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 (used in) investing activities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(61,915)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(257,905)</w:t>
            </w:r>
          </w:p>
        </w:tc>
      </w:tr>
      <w:tr>
        <w:trPr>
          <w:trHeight w:val="33"/>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Repurchase of treasury shares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(73,488)</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Cash paid related to settlement of employee taxes related to RSU vesting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(21,976)</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Payment of cash dividend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(26,004)</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Proceeds from credit facility</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Payment of credit facility</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07"/>
        </w:trPr>
        <w:tc>
          <w:tcPr>
            <w:tcW w:w="6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(83,234)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(70,277)</w:t>
            </w:r>
          </w:p>
        </w:tc>
      </w:tr>
      <w:tr>
        <w:trPr>
          <w:trHeight w:val="33"/>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foreign exchange rate changes on cash</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w:t>
            </w:r>
          </w:p>
        </w:tc>
      </w:tr>
      <w:tr>
        <w:trPr>
          <w:trHeight w:val="236"/>
        </w:trPr>
        <w:tc>
          <w:tcPr>
            <w:tcW w:w="67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(11,918)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(7,802)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(39,926)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(237,773)</w:t>
            </w:r>
          </w:p>
        </w:tc>
      </w:tr>
      <w:tr>
        <w:trPr>
          <w:trHeight w:val="207"/>
        </w:trPr>
        <w:tc>
          <w:tcPr>
            <w:tcW w:w="6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314,017</w:t>
            </w:r>
          </w:p>
        </w:tc>
      </w:tr>
      <w:tr>
        <w:trPr>
          <w:trHeight w:val="22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76,244</w:t>
            </w:r>
          </w:p>
        </w:tc>
      </w:tr>
      <w:tr>
        <w:trPr>
          <w:trHeight w:val="21"/>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Information: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6,776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15,970</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19,476</w:t>
            </w: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480" w:top="144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Adjusted EBITDA, adjusted EBITDA margin, adjusted net income, adjusted net income per diluted share, revenue growth (including by distribution channel) on a constant currency basis (expressed as a percentage), billings and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49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2022</w:t>
            </w:r>
          </w:p>
        </w:tc>
      </w:tr>
      <w:tr>
        <w:trPr>
          <w:trHeight w:val="19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3"/>
              </w:rPr>
              <w:t>28,419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88"/>
              </w:rPr>
              <w:t>23,040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111,275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69,057</w:t>
            </w:r>
          </w:p>
        </w:tc>
      </w:tr>
      <w:tr>
        <w:trPr>
          <w:trHeight w:val="188"/>
        </w:trPr>
        <w:tc>
          <w:tcPr>
            <w:tcW w:w="4960" w:type="dxa"/>
            <w:vAlign w:val="bottom"/>
          </w:tcPr>
          <w:p>
            <w:pPr>
              <w:ind w:left="140"/>
              <w:spacing w:after="0"/>
              <w:rPr>
                <w:sz w:val="20"/>
                <w:szCs w:val="20"/>
                <w:color w:val="auto"/>
              </w:rPr>
            </w:pPr>
            <w:r>
              <w:rPr>
                <w:rFonts w:ascii="Arial" w:cs="Arial" w:eastAsia="Arial" w:hAnsi="Arial"/>
                <w:sz w:val="14"/>
                <w:szCs w:val="14"/>
                <w:color w:val="auto"/>
              </w:rPr>
              <w:t>Add / (less) Non-GAAP adjustments: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7"/>
        </w:trPr>
        <w:tc>
          <w:tcPr>
            <w:tcW w:w="4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3"/>
              </w:rPr>
              <w:t>21,271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88"/>
              </w:rPr>
              <w:t>18,259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59,373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49,834</w:t>
            </w:r>
          </w:p>
        </w:tc>
      </w:tr>
      <w:tr>
        <w:trPr>
          <w:trHeight w:val="188"/>
        </w:trPr>
        <w:tc>
          <w:tcPr>
            <w:tcW w:w="4960" w:type="dxa"/>
            <w:vAlign w:val="bottom"/>
          </w:tcPr>
          <w:p>
            <w:pPr>
              <w:ind w:left="220"/>
              <w:spacing w:after="0"/>
              <w:rPr>
                <w:sz w:val="20"/>
                <w:szCs w:val="20"/>
                <w:color w:val="auto"/>
              </w:rPr>
            </w:pPr>
            <w:r>
              <w:rPr>
                <w:rFonts w:ascii="Arial" w:cs="Arial" w:eastAsia="Arial" w:hAnsi="Arial"/>
                <w:sz w:val="14"/>
                <w:szCs w:val="14"/>
                <w:color w:val="auto"/>
              </w:rPr>
              <w:t>Non-cash equity-based compensation</w:t>
            </w:r>
          </w:p>
        </w:tc>
        <w:tc>
          <w:tcPr>
            <w:tcW w:w="88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w w:val="93"/>
              </w:rPr>
              <w:t>13,003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9,088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36,589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23,958</w:t>
            </w:r>
          </w:p>
        </w:tc>
      </w:tr>
      <w:tr>
        <w:trPr>
          <w:trHeight w:val="207"/>
        </w:trPr>
        <w:tc>
          <w:tcPr>
            <w:tcW w:w="4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Bargain purchase gain</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9"/>
              </w:rPr>
              <w:t>(9,864)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(51,804)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r>
      <w:tr>
        <w:trPr>
          <w:trHeight w:val="188"/>
        </w:trPr>
        <w:tc>
          <w:tcPr>
            <w:tcW w:w="4960" w:type="dxa"/>
            <w:vAlign w:val="bottom"/>
          </w:tcPr>
          <w:p>
            <w:pPr>
              <w:ind w:left="220"/>
              <w:spacing w:after="0"/>
              <w:rPr>
                <w:sz w:val="20"/>
                <w:szCs w:val="20"/>
                <w:color w:val="auto"/>
              </w:rPr>
            </w:pPr>
            <w:r>
              <w:rPr>
                <w:rFonts w:ascii="Arial" w:cs="Arial" w:eastAsia="Arial" w:hAnsi="Arial"/>
                <w:sz w:val="14"/>
                <w:szCs w:val="14"/>
                <w:color w:val="auto"/>
              </w:rPr>
              <w:t>Giphy Retention Compensation Expense - non-recurring</w:t>
            </w:r>
          </w:p>
        </w:tc>
        <w:tc>
          <w:tcPr>
            <w:tcW w:w="88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8,198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25,389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207"/>
        </w:trPr>
        <w:tc>
          <w:tcPr>
            <w:tcW w:w="4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adjustments, net </w:t>
            </w:r>
            <w:r>
              <w:rPr>
                <w:rFonts w:ascii="Arial" w:cs="Arial" w:eastAsia="Arial" w:hAnsi="Arial"/>
                <w:sz w:val="18"/>
                <w:szCs w:val="18"/>
                <w:color w:val="auto"/>
                <w:vertAlign w:val="superscript"/>
              </w:rPr>
              <w:t>(1)</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4,469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3,449</w:t>
            </w:r>
          </w:p>
        </w:tc>
      </w:tr>
      <w:tr>
        <w:trPr>
          <w:trHeight w:val="191"/>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(Benefit) / Provision for income taxes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(806)</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4,099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9,133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13,471</w:t>
            </w:r>
          </w:p>
        </w:tc>
      </w:tr>
      <w:tr>
        <w:trPr>
          <w:trHeight w:val="222"/>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93"/>
              </w:rPr>
              <w:t>64,690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88"/>
              </w:rPr>
              <w:t>56,033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194,509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159,769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96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27.7 %</w:t>
            </w: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26.2 %</w:t>
            </w: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Other adjustments, net includes unrealized foreign currency transaction gains and losses, severance costs associated with strategic workforce optimizations and interest income and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5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2"/>
                <w:szCs w:val="12"/>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2022</w:t>
            </w:r>
          </w:p>
        </w:tc>
      </w:tr>
      <w:tr>
        <w:trPr>
          <w:trHeight w:val="196"/>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7"/>
              </w:rPr>
              <w:t>28,419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23,040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69,057</w:t>
            </w:r>
          </w:p>
        </w:tc>
      </w:tr>
      <w:tr>
        <w:trPr>
          <w:trHeight w:val="188"/>
        </w:trPr>
        <w:tc>
          <w:tcPr>
            <w:tcW w:w="5220" w:type="dxa"/>
            <w:vAlign w:val="bottom"/>
          </w:tcPr>
          <w:p>
            <w:pPr>
              <w:ind w:left="140"/>
              <w:spacing w:after="0"/>
              <w:rPr>
                <w:sz w:val="20"/>
                <w:szCs w:val="20"/>
                <w:color w:val="auto"/>
              </w:rPr>
            </w:pPr>
            <w:r>
              <w:rPr>
                <w:rFonts w:ascii="Arial" w:cs="Arial" w:eastAsia="Arial" w:hAnsi="Arial"/>
                <w:sz w:val="14"/>
                <w:szCs w:val="14"/>
                <w:color w:val="auto"/>
              </w:rPr>
              <w:t>Add / (less) Non-GAAP adjustments: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equity-based compensation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7"/>
              </w:rPr>
              <w:t>13,003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23,958</w:t>
            </w:r>
          </w:p>
        </w:tc>
      </w:tr>
      <w:tr>
        <w:trPr>
          <w:trHeight w:val="188"/>
        </w:trPr>
        <w:tc>
          <w:tcPr>
            <w:tcW w:w="5220" w:type="dxa"/>
            <w:vAlign w:val="bottom"/>
          </w:tcPr>
          <w:p>
            <w:pPr>
              <w:ind w:left="220"/>
              <w:spacing w:after="0"/>
              <w:rPr>
                <w:sz w:val="20"/>
                <w:szCs w:val="20"/>
                <w:color w:val="auto"/>
              </w:rPr>
            </w:pPr>
            <w:r>
              <w:rPr>
                <w:rFonts w:ascii="Arial" w:cs="Arial" w:eastAsia="Arial" w:hAnsi="Arial"/>
                <w:sz w:val="14"/>
                <w:szCs w:val="14"/>
                <w:color w:val="auto"/>
              </w:rPr>
              <w:t xml:space="preserve">Tax effect of non-cash equity-based compensation </w:t>
            </w:r>
            <w:r>
              <w:rPr>
                <w:rFonts w:ascii="Arial" w:cs="Arial" w:eastAsia="Arial" w:hAnsi="Arial"/>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(3,056)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(5,629)</w:t>
            </w: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Acquisition-related amortization expense </w:t>
            </w:r>
            <w:r>
              <w:rPr>
                <w:rFonts w:ascii="Arial" w:cs="Arial" w:eastAsia="Arial" w:hAnsi="Arial"/>
                <w:sz w:val="9"/>
                <w:szCs w:val="9"/>
                <w:color w:val="auto"/>
              </w:rPr>
              <w:t>(3)</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9,052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21,224</w:t>
            </w:r>
          </w:p>
        </w:tc>
      </w:tr>
      <w:tr>
        <w:trPr>
          <w:trHeight w:val="188"/>
        </w:trPr>
        <w:tc>
          <w:tcPr>
            <w:tcW w:w="5220" w:type="dxa"/>
            <w:vAlign w:val="bottom"/>
          </w:tcPr>
          <w:p>
            <w:pPr>
              <w:ind w:left="220"/>
              <w:spacing w:after="0"/>
              <w:rPr>
                <w:sz w:val="20"/>
                <w:szCs w:val="20"/>
                <w:color w:val="auto"/>
              </w:rPr>
            </w:pPr>
            <w:r>
              <w:rPr>
                <w:rFonts w:ascii="Arial" w:cs="Arial" w:eastAsia="Arial" w:hAnsi="Arial"/>
                <w:sz w:val="14"/>
                <w:szCs w:val="14"/>
                <w:color w:val="auto"/>
              </w:rPr>
              <w:t xml:space="preserve">Tax effect of acquisition-related amortization expense </w:t>
            </w:r>
            <w:r>
              <w:rPr>
                <w:rFonts w:ascii="Arial" w:cs="Arial" w:eastAsia="Arial" w:hAnsi="Arial"/>
                <w:sz w:val="9"/>
                <w:szCs w:val="9"/>
                <w:color w:val="auto"/>
              </w:rPr>
              <w:t>(2)</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(1,896)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(4,988)</w:t>
            </w: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Bargain purchase gain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5220" w:type="dxa"/>
            <w:vAlign w:val="bottom"/>
          </w:tcPr>
          <w:p>
            <w:pPr>
              <w:ind w:left="220"/>
              <w:spacing w:after="0"/>
              <w:rPr>
                <w:sz w:val="20"/>
                <w:szCs w:val="20"/>
                <w:color w:val="auto"/>
              </w:rPr>
            </w:pPr>
            <w:r>
              <w:rPr>
                <w:rFonts w:ascii="Arial" w:cs="Arial" w:eastAsia="Arial" w:hAnsi="Arial"/>
                <w:sz w:val="14"/>
                <w:szCs w:val="14"/>
                <w:color w:val="auto"/>
              </w:rPr>
              <w:t>Giphy Retention Compensation Expense - non-recurring</w:t>
            </w:r>
          </w:p>
        </w:tc>
        <w:tc>
          <w:tcPr>
            <w:tcW w:w="92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8,198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effect of Giphy Retention Compensation Expense - non-recurring</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5220" w:type="dxa"/>
            <w:vAlign w:val="bottom"/>
          </w:tcPr>
          <w:p>
            <w:pPr>
              <w:ind w:left="220"/>
              <w:spacing w:after="0"/>
              <w:rPr>
                <w:sz w:val="20"/>
                <w:szCs w:val="20"/>
                <w:color w:val="auto"/>
              </w:rPr>
            </w:pPr>
            <w:r>
              <w:rPr>
                <w:rFonts w:ascii="Arial" w:cs="Arial" w:eastAsia="Arial" w:hAnsi="Arial"/>
                <w:sz w:val="14"/>
                <w:szCs w:val="14"/>
                <w:color w:val="auto"/>
              </w:rPr>
              <w:t>Other</w:t>
            </w:r>
          </w:p>
        </w:tc>
        <w:tc>
          <w:tcPr>
            <w:tcW w:w="92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4,969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effect of other</w:t>
            </w:r>
            <w:r>
              <w:rPr>
                <w:rFonts w:ascii="Arial" w:cs="Arial" w:eastAsia="Arial" w:hAnsi="Arial"/>
                <w:sz w:val="9"/>
                <w:szCs w:val="9"/>
                <w:color w:val="auto"/>
              </w:rPr>
              <w:t>(2)</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5220" w:type="dxa"/>
            <w:vAlign w:val="bottom"/>
          </w:tcPr>
          <w:p>
            <w:pPr>
              <w:ind w:left="20"/>
              <w:spacing w:after="0" w:line="159" w:lineRule="exact"/>
              <w:rPr>
                <w:sz w:val="20"/>
                <w:szCs w:val="20"/>
                <w:color w:val="auto"/>
              </w:rPr>
            </w:pPr>
            <w:r>
              <w:rPr>
                <w:rFonts w:ascii="Arial" w:cs="Arial" w:eastAsia="Arial" w:hAnsi="Arial"/>
                <w:sz w:val="14"/>
                <w:szCs w:val="14"/>
                <w:color w:val="auto"/>
              </w:rPr>
              <w:t>Adjusted net income</w:t>
            </w: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7"/>
              </w:rPr>
              <w:t>45,549</w:t>
            </w: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36,166</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131,741</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103,622</w:t>
            </w:r>
          </w:p>
        </w:tc>
      </w:tr>
      <w:tr>
        <w:trPr>
          <w:trHeight w:val="51"/>
        </w:trPr>
        <w:tc>
          <w:tcPr>
            <w:tcW w:w="52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1"/>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income per diluted share</w:t>
            </w:r>
          </w:p>
        </w:tc>
        <w:tc>
          <w:tcPr>
            <w:tcW w:w="920" w:type="dxa"/>
            <w:vAlign w:val="bottom"/>
            <w:tcBorders>
              <w:top w:val="single" w:sz="8" w:color="CCEEFF"/>
              <w:bottom w:val="single" w:sz="8" w:color="auto"/>
            </w:tcBorders>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bottom w:val="single" w:sz="8" w:color="auto"/>
            </w:tcBorders>
          </w:tcPr>
          <w:p>
            <w:pPr>
              <w:jc w:val="right"/>
              <w:ind w:right="10"/>
              <w:spacing w:after="0"/>
              <w:rPr>
                <w:sz w:val="20"/>
                <w:szCs w:val="20"/>
                <w:color w:val="auto"/>
              </w:rPr>
            </w:pPr>
            <w:r>
              <w:rPr>
                <w:rFonts w:ascii="Arial" w:cs="Arial" w:eastAsia="Arial" w:hAnsi="Arial"/>
                <w:sz w:val="14"/>
                <w:szCs w:val="14"/>
                <w:color w:val="auto"/>
              </w:rPr>
              <w:t>0.79</w:t>
            </w: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CCEEFF"/>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Adjusted net income per diluted share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Weighted average diluted shares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7"/>
              </w:rPr>
              <w:t>36,081</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36,269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36,352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36,681</w:t>
            </w: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w:t>
      </w:r>
    </w:p>
    <w:p>
      <w:pPr>
        <w:spacing w:after="0" w:line="106"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Statutory tax rates are used to calculate the tax effect of the adjustments.</w:t>
      </w:r>
    </w:p>
    <w:p>
      <w:pPr>
        <w:spacing w:after="0" w:line="16" w:lineRule="exact"/>
        <w:rPr>
          <w:rFonts w:ascii="Arial" w:cs="Arial" w:eastAsia="Arial" w:hAnsi="Arial"/>
          <w:sz w:val="12"/>
          <w:szCs w:val="12"/>
          <w:color w:val="auto"/>
        </w:rPr>
      </w:pPr>
    </w:p>
    <w:p>
      <w:pPr>
        <w:ind w:left="640" w:right="160" w:hanging="319"/>
        <w:spacing w:after="0" w:line="264" w:lineRule="auto"/>
        <w:tabs>
          <w:tab w:leader="none" w:pos="638" w:val="left"/>
        </w:tabs>
        <w:numPr>
          <w:ilvl w:val="0"/>
          <w:numId w:val="10"/>
        </w:numPr>
        <w:rPr>
          <w:rFonts w:ascii="Arial" w:cs="Arial" w:eastAsia="Arial" w:hAnsi="Arial"/>
          <w:sz w:val="12"/>
          <w:szCs w:val="12"/>
          <w:color w:val="auto"/>
        </w:rPr>
      </w:pPr>
      <w:r>
        <w:rPr>
          <w:rFonts w:ascii="Arial" w:cs="Arial" w:eastAsia="Arial" w:hAnsi="Arial"/>
          <w:sz w:val="12"/>
          <w:szCs w:val="12"/>
          <w:color w:val="auto"/>
        </w:rPr>
        <w:t>Of these amounts, $8.1 million and $7.5 million are included in cost of revenue for the three months ended September 30, 2023 and 2022,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1"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260"/>
              <w:spacing w:after="0"/>
              <w:rPr>
                <w:sz w:val="20"/>
                <w:szCs w:val="20"/>
                <w:color w:val="auto"/>
              </w:rPr>
            </w:pPr>
            <w:r>
              <w:rPr>
                <w:rFonts w:ascii="Arial" w:cs="Arial" w:eastAsia="Arial" w:hAnsi="Arial"/>
                <w:sz w:val="12"/>
                <w:szCs w:val="12"/>
                <w:b w:val="1"/>
                <w:bCs w:val="1"/>
                <w:color w:val="auto"/>
              </w:rPr>
              <w:t>Three Months Ended September 30,</w:t>
            </w:r>
          </w:p>
        </w:tc>
        <w:tc>
          <w:tcPr>
            <w:tcW w:w="360" w:type="dxa"/>
            <w:vAlign w:val="bottom"/>
          </w:tcPr>
          <w:p>
            <w:pPr>
              <w:spacing w:after="0"/>
              <w:rPr>
                <w:sz w:val="14"/>
                <w:szCs w:val="14"/>
                <w:color w:val="auto"/>
              </w:rPr>
            </w:pPr>
          </w:p>
        </w:tc>
        <w:tc>
          <w:tcPr>
            <w:tcW w:w="2740" w:type="dxa"/>
            <w:vAlign w:val="bottom"/>
            <w:gridSpan w:val="4"/>
          </w:tcPr>
          <w:p>
            <w:pPr>
              <w:jc w:val="right"/>
              <w:ind w:right="551"/>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49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2022</w:t>
            </w:r>
          </w:p>
        </w:tc>
      </w:tr>
      <w:tr>
        <w:trPr>
          <w:trHeight w:val="19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233,248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204,096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657,368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610,100</w:t>
            </w:r>
          </w:p>
        </w:tc>
      </w:tr>
      <w:tr>
        <w:trPr>
          <w:trHeight w:val="92"/>
        </w:trPr>
        <w:tc>
          <w:tcPr>
            <w:tcW w:w="4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 growth</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7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Revenue growth on a constant currency basis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11"/>
        </w:trPr>
        <w:tc>
          <w:tcPr>
            <w:tcW w:w="4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E-commerce revenue</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106,037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124,594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337,694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379,052</w:t>
            </w:r>
          </w:p>
        </w:tc>
      </w:tr>
      <w:tr>
        <w:trPr>
          <w:trHeight w:val="188"/>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Revenue growth: E-commerce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 growth: E-commerce on a constant currency basis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92"/>
        </w:trPr>
        <w:tc>
          <w:tcPr>
            <w:tcW w:w="4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7"/>
        </w:trPr>
        <w:tc>
          <w:tcPr>
            <w:tcW w:w="490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i w:val="1"/>
                <w:iCs w:val="1"/>
                <w:color w:val="auto"/>
              </w:rPr>
              <w:t>Enterprise revenue</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127,211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79,502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319,674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231,048</w:t>
            </w:r>
          </w:p>
        </w:tc>
      </w:tr>
      <w:tr>
        <w:trPr>
          <w:trHeight w:val="188"/>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Revenue growth: Enterprise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 growth: Enterprise on a constant currency basis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bl>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1 - Enterprise revenue includes $45.5 million and $1.5 million, related to our computer vision data partnerships, for the three months ended September 30, 2023 and 2022, respectively. Enterprise revenue includes $79.5 million and $4.4 million, related to our computer vision data partnerships, for the six months ended September 30, 2023 and 2022, respectively.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491"/>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2022</w:t>
            </w:r>
          </w:p>
        </w:tc>
      </w:tr>
      <w:tr>
        <w:trPr>
          <w:trHeight w:val="196"/>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97,289</w:t>
            </w:r>
          </w:p>
        </w:tc>
      </w:tr>
      <w:tr>
        <w:trPr>
          <w:trHeight w:val="188"/>
        </w:trPr>
        <w:tc>
          <w:tcPr>
            <w:tcW w:w="52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(11,845)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(12,125)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(32,922)</w:t>
            </w:r>
          </w:p>
        </w:tc>
      </w:tr>
      <w:tr>
        <w:trPr>
          <w:trHeight w:val="20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Content acquisitions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(11,191)</w:t>
            </w:r>
          </w:p>
        </w:tc>
      </w:tr>
      <w:tr>
        <w:trPr>
          <w:trHeight w:val="191"/>
        </w:trPr>
        <w:tc>
          <w:tcPr>
            <w:tcW w:w="5220" w:type="dxa"/>
            <w:vAlign w:val="bottom"/>
          </w:tcPr>
          <w:p>
            <w:pPr>
              <w:ind w:left="140"/>
              <w:spacing w:after="0"/>
              <w:rPr>
                <w:sz w:val="20"/>
                <w:szCs w:val="20"/>
                <w:color w:val="auto"/>
              </w:rPr>
            </w:pPr>
            <w:r>
              <w:rPr>
                <w:rFonts w:ascii="Arial" w:cs="Arial" w:eastAsia="Arial" w:hAnsi="Arial"/>
                <w:sz w:val="14"/>
                <w:szCs w:val="14"/>
                <w:color w:val="auto"/>
              </w:rPr>
              <w:t>Cash received related to Giphy Retention Compensation</w:t>
            </w:r>
          </w:p>
        </w:tc>
        <w:tc>
          <w:tcPr>
            <w:tcW w:w="88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18,955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12,651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96,870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53,176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83"/>
        </w:trPr>
        <w:tc>
          <w:tcPr>
            <w:tcW w:w="5220" w:type="dxa"/>
            <w:vAlign w:val="bottom"/>
          </w:tcPr>
          <w:p>
            <w:pPr>
              <w:spacing w:after="0"/>
              <w:rPr>
                <w:sz w:val="24"/>
                <w:szCs w:val="2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491"/>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2022</w:t>
            </w:r>
          </w:p>
        </w:tc>
      </w:tr>
      <w:tr>
        <w:trPr>
          <w:trHeight w:val="196"/>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E-commerce revenue</w:t>
            </w:r>
          </w:p>
        </w:tc>
        <w:tc>
          <w:tcPr>
            <w:tcW w:w="88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0"/>
              </w:rPr>
              <w:t>106,037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124,594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379,052</w:t>
            </w:r>
          </w:p>
        </w:tc>
      </w:tr>
      <w:tr>
        <w:trPr>
          <w:trHeight w:val="19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Enterprise revenue</w:t>
            </w:r>
          </w:p>
        </w:tc>
        <w:tc>
          <w:tcPr>
            <w:tcW w:w="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0"/>
              </w:rPr>
              <w:t>127,211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79,502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319,674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231,048</w:t>
            </w:r>
          </w:p>
        </w:tc>
      </w:tr>
      <w:tr>
        <w:trPr>
          <w:trHeight w:val="191"/>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0"/>
              </w:rPr>
              <w:t>233,248</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204,096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657,368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610,100</w:t>
            </w:r>
          </w:p>
        </w:tc>
      </w:tr>
      <w:tr>
        <w:trPr>
          <w:trHeight w:val="92"/>
        </w:trPr>
        <w:tc>
          <w:tcPr>
            <w:tcW w:w="5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97"/>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total deferred revenue</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(10,300)</w:t>
            </w:r>
          </w:p>
        </w:tc>
      </w:tr>
      <w:tr>
        <w:trPr>
          <w:trHeight w:val="184"/>
        </w:trPr>
        <w:tc>
          <w:tcPr>
            <w:tcW w:w="5220" w:type="dxa"/>
            <w:vAlign w:val="bottom"/>
          </w:tcPr>
          <w:p>
            <w:pPr>
              <w:ind w:left="140"/>
              <w:spacing w:after="0" w:line="159" w:lineRule="exact"/>
              <w:rPr>
                <w:sz w:val="20"/>
                <w:szCs w:val="20"/>
                <w:color w:val="auto"/>
              </w:rPr>
            </w:pPr>
            <w:r>
              <w:rPr>
                <w:rFonts w:ascii="Arial" w:cs="Arial" w:eastAsia="Arial" w:hAnsi="Arial"/>
                <w:sz w:val="14"/>
                <w:szCs w:val="14"/>
                <w:color w:val="auto"/>
              </w:rPr>
              <w:t>Total billings</w:t>
            </w:r>
          </w:p>
        </w:tc>
        <w:tc>
          <w:tcPr>
            <w:tcW w:w="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0"/>
              </w:rPr>
              <w:t>228,865</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200,127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673,398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599,800</w:t>
            </w:r>
          </w:p>
        </w:tc>
      </w:tr>
      <w:tr>
        <w:trPr>
          <w:trHeight w:val="26"/>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21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4"/>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9/30/23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9"/>
              </w:rPr>
              <w:t>6/30/23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9"/>
              </w:rPr>
              <w:t>3/31/23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8"/>
              </w:rPr>
              <w:t>12/31/22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9"/>
              </w:rPr>
              <w:t>9/30/22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9"/>
              </w:rPr>
              <w:t>6/30/22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9"/>
              </w:rPr>
              <w:t>3/31/22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w w:val="98"/>
              </w:rPr>
              <w:t>12/31/21</w:t>
            </w:r>
          </w:p>
        </w:tc>
      </w:tr>
      <w:tr>
        <w:trPr>
          <w:trHeight w:val="263"/>
        </w:trPr>
        <w:tc>
          <w:tcPr>
            <w:tcW w:w="4580" w:type="dxa"/>
            <w:vAlign w:val="bottom"/>
          </w:tcPr>
          <w:p>
            <w:pPr>
              <w:ind w:left="20"/>
              <w:spacing w:after="0"/>
              <w:rPr>
                <w:sz w:val="20"/>
                <w:szCs w:val="20"/>
                <w:color w:val="auto"/>
              </w:rPr>
            </w:pPr>
            <w:r>
              <w:rPr>
                <w:rFonts w:ascii="Arial" w:cs="Arial" w:eastAsia="Arial" w:hAnsi="Arial"/>
                <w:sz w:val="16"/>
                <w:szCs w:val="16"/>
                <w:color w:val="auto"/>
              </w:rPr>
              <w:t xml:space="preserve">Subscribers (end of period, in thousands) </w:t>
            </w:r>
            <w:r>
              <w:rPr>
                <w:rFonts w:ascii="Arial" w:cs="Arial" w:eastAsia="Arial" w:hAnsi="Arial"/>
                <w:sz w:val="20"/>
                <w:szCs w:val="20"/>
                <w:color w:val="auto"/>
                <w:vertAlign w:val="superscript"/>
              </w:rPr>
              <w:t>(1)</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343</w:t>
            </w:r>
          </w:p>
        </w:tc>
      </w:tr>
      <w:tr>
        <w:trPr>
          <w:trHeight w:val="211"/>
        </w:trPr>
        <w:tc>
          <w:tcPr>
            <w:tcW w:w="4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Subscriber revenue (in millions) </w:t>
            </w:r>
            <w:r>
              <w:rPr>
                <w:rFonts w:ascii="Arial" w:cs="Arial" w:eastAsia="Arial" w:hAnsi="Arial"/>
                <w:sz w:val="20"/>
                <w:szCs w:val="20"/>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r>
      <w:tr>
        <w:trPr>
          <w:trHeight w:val="92"/>
        </w:trPr>
        <w:tc>
          <w:tcPr>
            <w:tcW w:w="4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1"/>
        </w:trPr>
        <w:tc>
          <w:tcPr>
            <w:tcW w:w="4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Average revenue per customer (last twelve months) </w:t>
            </w:r>
            <w:r>
              <w:rPr>
                <w:rFonts w:ascii="Arial" w:cs="Arial" w:eastAsia="Arial" w:hAnsi="Arial"/>
                <w:sz w:val="20"/>
                <w:szCs w:val="20"/>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211"/>
        </w:trPr>
        <w:tc>
          <w:tcPr>
            <w:tcW w:w="45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Paid downloads (in millions) </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11"/>
        </w:trPr>
        <w:tc>
          <w:tcPr>
            <w:tcW w:w="4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Revenue per download </w:t>
            </w:r>
            <w:r>
              <w:rPr>
                <w:rFonts w:ascii="Arial" w:cs="Arial" w:eastAsia="Arial" w:hAnsi="Arial"/>
                <w:sz w:val="20"/>
                <w:szCs w:val="20"/>
                <w:color w:val="auto"/>
                <w:vertAlign w:val="superscript"/>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211"/>
        </w:trPr>
        <w:tc>
          <w:tcPr>
            <w:tcW w:w="45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Content in our collection (end of period, in millions): </w:t>
            </w:r>
            <w:r>
              <w:rPr>
                <w:rFonts w:ascii="Arial" w:cs="Arial" w:eastAsia="Arial" w:hAnsi="Arial"/>
                <w:sz w:val="20"/>
                <w:szCs w:val="20"/>
                <w:color w:val="auto"/>
                <w:vertAlign w:val="superscript"/>
              </w:rPr>
              <w:t>(6)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1"/>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Images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Footage clips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r>
    </w:tbl>
    <w:p>
      <w:pPr>
        <w:spacing w:after="0" w:line="190" w:lineRule="exact"/>
        <w:rPr>
          <w:sz w:val="20"/>
          <w:szCs w:val="20"/>
          <w:color w:val="auto"/>
        </w:rPr>
      </w:pPr>
    </w:p>
    <w:p>
      <w:pPr>
        <w:ind w:right="200"/>
        <w:spacing w:after="0" w:line="266" w:lineRule="auto"/>
        <w:rPr>
          <w:sz w:val="20"/>
          <w:szCs w:val="20"/>
          <w:color w:val="auto"/>
        </w:rPr>
      </w:pPr>
      <w:r>
        <w:rPr>
          <w:rFonts w:ascii="Arial" w:cs="Arial" w:eastAsia="Arial" w:hAnsi="Arial"/>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81" w:lineRule="exact"/>
        <w:rPr>
          <w:sz w:val="20"/>
          <w:szCs w:val="20"/>
          <w:color w:val="auto"/>
        </w:rPr>
      </w:pPr>
    </w:p>
    <w:p>
      <w:pPr>
        <w:ind w:left="180" w:hanging="175"/>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Arial" w:cs="Arial" w:eastAsia="Arial" w:hAnsi="Arial"/>
          <w:sz w:val="12"/>
          <w:szCs w:val="12"/>
          <w:color w:val="auto"/>
        </w:rPr>
      </w:pPr>
    </w:p>
    <w:p>
      <w:pPr>
        <w:ind w:left="180" w:hanging="175"/>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Subscriber revenue is defined as the revenue generated from subscribers during the period.</w:t>
      </w:r>
    </w:p>
    <w:p>
      <w:pPr>
        <w:spacing w:after="0" w:line="125" w:lineRule="exact"/>
        <w:rPr>
          <w:rFonts w:ascii="Arial" w:cs="Arial" w:eastAsia="Arial" w:hAnsi="Arial"/>
          <w:sz w:val="12"/>
          <w:szCs w:val="12"/>
          <w:color w:val="auto"/>
        </w:rPr>
      </w:pPr>
    </w:p>
    <w:p>
      <w:pPr>
        <w:ind w:right="20" w:firstLine="5"/>
        <w:spacing w:after="0" w:line="282"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70" w:lineRule="exact"/>
        <w:rPr>
          <w:rFonts w:ascii="Arial" w:cs="Arial" w:eastAsia="Arial" w:hAnsi="Arial"/>
          <w:sz w:val="12"/>
          <w:szCs w:val="12"/>
          <w:color w:val="auto"/>
        </w:rPr>
      </w:pPr>
    </w:p>
    <w:p>
      <w:pPr>
        <w:ind w:right="20" w:firstLine="5"/>
        <w:spacing w:after="0" w:line="282"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70" w:lineRule="exact"/>
        <w:rPr>
          <w:rFonts w:ascii="Arial" w:cs="Arial" w:eastAsia="Arial" w:hAnsi="Arial"/>
          <w:sz w:val="12"/>
          <w:szCs w:val="12"/>
          <w:color w:val="auto"/>
        </w:rPr>
      </w:pPr>
    </w:p>
    <w:p>
      <w:pPr>
        <w:ind w:right="480" w:firstLine="5"/>
        <w:spacing w:after="0" w:line="304"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58" w:lineRule="exact"/>
        <w:rPr>
          <w:rFonts w:ascii="Arial" w:cs="Arial" w:eastAsia="Arial" w:hAnsi="Arial"/>
          <w:sz w:val="12"/>
          <w:szCs w:val="12"/>
          <w:color w:val="auto"/>
        </w:rPr>
      </w:pPr>
    </w:p>
    <w:p>
      <w:pPr>
        <w:jc w:val="both"/>
        <w:ind w:right="20" w:firstLine="5"/>
        <w:spacing w:after="0" w:line="266"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1"/>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w w:val="99"/>
              </w:rPr>
              <w:t>9/30/23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w w:val="99"/>
              </w:rPr>
              <w:t>6/30/23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3/31/23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8"/>
              </w:rPr>
              <w:t>12/31/22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w w:val="99"/>
              </w:rPr>
              <w:t>9/30/22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6/30/22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w w:val="94"/>
              </w:rPr>
              <w:t>12/31/21</w:t>
            </w:r>
          </w:p>
        </w:tc>
      </w:tr>
      <w:tr>
        <w:trPr>
          <w:trHeight w:val="260"/>
        </w:trPr>
        <w:tc>
          <w:tcPr>
            <w:tcW w:w="4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14"/>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r>
      <w:tr>
        <w:trPr>
          <w:trHeight w:val="207"/>
        </w:trPr>
        <w:tc>
          <w:tcPr>
            <w:tcW w:w="4560" w:type="dxa"/>
            <w:vAlign w:val="bottom"/>
          </w:tcPr>
          <w:p>
            <w:pPr>
              <w:ind w:left="2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4"/>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6,612</w:t>
            </w:r>
          </w:p>
        </w:tc>
      </w:tr>
      <w:tr>
        <w:trPr>
          <w:trHeight w:val="187"/>
        </w:trPr>
        <w:tc>
          <w:tcPr>
            <w:tcW w:w="4560" w:type="dxa"/>
            <w:vAlign w:val="bottom"/>
          </w:tcPr>
          <w:p>
            <w:pPr>
              <w:ind w:left="240"/>
              <w:spacing w:after="0"/>
              <w:rPr>
                <w:sz w:val="20"/>
                <w:szCs w:val="20"/>
                <w:color w:val="auto"/>
              </w:rPr>
            </w:pPr>
            <w:r>
              <w:rPr>
                <w:rFonts w:ascii="Arial" w:cs="Arial" w:eastAsia="Arial" w:hAnsi="Arial"/>
                <w:sz w:val="16"/>
                <w:szCs w:val="16"/>
                <w:color w:val="auto"/>
              </w:rPr>
              <w:t>Total non-cash equity-based compensation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11,782</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w:t>
            </w:r>
          </w:p>
        </w:tc>
      </w:tr>
      <w:tr>
        <w:trPr>
          <w:trHeight w:val="23"/>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91"/>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9/30/23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w w:val="99"/>
              </w:rPr>
              <w:t>6/30/23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w w:val="99"/>
              </w:rPr>
              <w:t>3/31/23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w w:val="98"/>
              </w:rPr>
              <w:t>12/31/22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w w:val="99"/>
              </w:rPr>
              <w:t>9/30/22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6/30/22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3/31/22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8"/>
              </w:rPr>
              <w:t>12/31/21</w:t>
            </w:r>
          </w:p>
        </w:tc>
      </w:tr>
      <w:tr>
        <w:trPr>
          <w:trHeight w:val="260"/>
        </w:trPr>
        <w:tc>
          <w:tcPr>
            <w:tcW w:w="45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19,872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18,134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17,866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17,341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16,856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15,172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13,682</w:t>
            </w:r>
          </w:p>
        </w:tc>
      </w:tr>
      <w:tr>
        <w:trPr>
          <w:trHeight w:val="214"/>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w:t>
            </w:r>
          </w:p>
        </w:tc>
      </w:tr>
      <w:tr>
        <w:trPr>
          <w:trHeight w:val="187"/>
        </w:trPr>
        <w:tc>
          <w:tcPr>
            <w:tcW w:w="4540" w:type="dxa"/>
            <w:vAlign w:val="bottom"/>
          </w:tcPr>
          <w:p>
            <w:pPr>
              <w:ind w:left="240"/>
              <w:spacing w:after="0"/>
              <w:rPr>
                <w:sz w:val="20"/>
                <w:szCs w:val="20"/>
                <w:color w:val="auto"/>
              </w:rPr>
            </w:pPr>
            <w:r>
              <w:rPr>
                <w:rFonts w:ascii="Arial" w:cs="Arial" w:eastAsia="Arial" w:hAnsi="Arial"/>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15,040</w:t>
            </w:r>
          </w:p>
        </w:tc>
      </w:tr>
      <w:tr>
        <w:trPr>
          <w:trHeight w:val="23"/>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2023-10-31T06:09:41Z</dcterms:created>
  <dcterms:modified xsi:type="dcterms:W3CDTF">2023-10-31T06:09:41Z</dcterms:modified>
</cp:coreProperties>
</file>