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457200</wp:posOffset>
            </wp:positionH>
            <wp:positionV relativeFrom="page">
              <wp:posOffset>974725</wp:posOffset>
            </wp:positionV>
            <wp:extent cx="695198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1980" cy="16510"/>
                    </a:xfrm>
                    <a:prstGeom prst="rect">
                      <a:avLst/>
                    </a:prstGeom>
                    <a:noFill/>
                  </pic:spPr>
                </pic:pic>
              </a:graphicData>
            </a:graphic>
          </wp:anchor>
        </w:drawing>
        <w:drawing>
          <wp:anchor simplePos="0" relativeHeight="251657728" behindDoc="1" locked="0" layoutInCell="0" allowOverlap="1">
            <wp:simplePos x="0" y="0"/>
            <wp:positionH relativeFrom="page">
              <wp:posOffset>457200</wp:posOffset>
            </wp:positionH>
            <wp:positionV relativeFrom="page">
              <wp:posOffset>1016635</wp:posOffset>
            </wp:positionV>
            <wp:extent cx="69519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jc w:val="center"/>
        <w:ind w:left="380"/>
        <w:spacing w:after="0"/>
        <w:rPr>
          <w:sz w:val="20"/>
          <w:szCs w:val="20"/>
          <w:color w:val="auto"/>
        </w:rPr>
      </w:pPr>
      <w:r>
        <w:rPr>
          <w:rFonts w:ascii="Arial" w:cs="Arial" w:eastAsia="Arial" w:hAnsi="Arial"/>
          <w:sz w:val="28"/>
          <w:szCs w:val="28"/>
          <w:b w:val="1"/>
          <w:bCs w:val="1"/>
          <w:color w:val="auto"/>
        </w:rPr>
        <w:t>UNITED STATES</w:t>
      </w:r>
    </w:p>
    <w:p>
      <w:pPr>
        <w:spacing w:after="0" w:line="125" w:lineRule="exact"/>
        <w:rPr>
          <w:sz w:val="24"/>
          <w:szCs w:val="24"/>
          <w:color w:val="auto"/>
        </w:rPr>
      </w:pPr>
    </w:p>
    <w:p>
      <w:pPr>
        <w:jc w:val="center"/>
        <w:ind w:left="380"/>
        <w:spacing w:after="0"/>
        <w:rPr>
          <w:sz w:val="20"/>
          <w:szCs w:val="20"/>
          <w:color w:val="auto"/>
        </w:rPr>
      </w:pPr>
      <w:r>
        <w:rPr>
          <w:rFonts w:ascii="Arial" w:cs="Arial" w:eastAsia="Arial" w:hAnsi="Arial"/>
          <w:sz w:val="28"/>
          <w:szCs w:val="28"/>
          <w:b w:val="1"/>
          <w:bCs w:val="1"/>
          <w:color w:val="auto"/>
        </w:rPr>
        <w:t>SECURITIES AND EXCHANGE COMMISSION</w:t>
      </w:r>
    </w:p>
    <w:p>
      <w:pPr>
        <w:spacing w:after="0" w:line="126"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97790</wp:posOffset>
            </wp:positionV>
            <wp:extent cx="5715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pacing w:after="0" w:line="145" w:lineRule="exact"/>
        <w:rPr>
          <w:sz w:val="24"/>
          <w:szCs w:val="24"/>
          <w:color w:val="auto"/>
        </w:rPr>
      </w:pPr>
    </w:p>
    <w:p>
      <w:pPr>
        <w:ind w:left="464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43180</wp:posOffset>
            </wp:positionV>
            <wp:extent cx="57150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pacing w:after="0" w:line="113"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CURRENT REPORT</w:t>
      </w:r>
    </w:p>
    <w:p>
      <w:pPr>
        <w:spacing w:after="0" w:line="32"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Pursuant to Section 13 or 15(d)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Securities Exchange Act of 1934</w:t>
      </w:r>
    </w:p>
    <w:p>
      <w:pPr>
        <w:spacing w:after="0" w:line="99" w:lineRule="exact"/>
        <w:rPr>
          <w:sz w:val="24"/>
          <w:szCs w:val="24"/>
          <w:color w:val="auto"/>
        </w:rPr>
      </w:pPr>
    </w:p>
    <w:p>
      <w:pPr>
        <w:ind w:left="22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17,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38735</wp:posOffset>
            </wp:positionV>
            <wp:extent cx="57150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pacing w:after="0" w:line="106" w:lineRule="exact"/>
        <w:rPr>
          <w:sz w:val="24"/>
          <w:szCs w:val="24"/>
          <w:color w:val="auto"/>
        </w:rPr>
      </w:pPr>
    </w:p>
    <w:p>
      <w:pPr>
        <w:jc w:val="center"/>
        <w:ind w:left="380"/>
        <w:spacing w:after="0"/>
        <w:rPr>
          <w:sz w:val="20"/>
          <w:szCs w:val="20"/>
          <w:color w:val="auto"/>
        </w:rPr>
      </w:pPr>
      <w:r>
        <w:rPr>
          <w:rFonts w:ascii="Arial" w:cs="Arial" w:eastAsia="Arial" w:hAnsi="Arial"/>
          <w:sz w:val="32"/>
          <w:szCs w:val="32"/>
          <w:b w:val="1"/>
          <w:bCs w:val="1"/>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76200</wp:posOffset>
            </wp:positionV>
            <wp:extent cx="5715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pacing w:after="0" w:line="128"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26670</wp:posOffset>
            </wp:positionV>
            <wp:extent cx="5715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p>
      <w:pPr>
        <w:spacing w:after="0" w:line="287" w:lineRule="exact"/>
        <w:rPr>
          <w:sz w:val="24"/>
          <w:szCs w:val="24"/>
          <w:color w:val="auto"/>
        </w:rPr>
      </w:pPr>
    </w:p>
    <w:p>
      <w:pPr>
        <w:ind w:left="13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jc w:val="center"/>
        <w:ind w:right="2400"/>
        <w:spacing w:after="0"/>
        <w:rPr>
          <w:sz w:val="20"/>
          <w:szCs w:val="20"/>
          <w:color w:val="auto"/>
        </w:rPr>
      </w:pPr>
      <w:r>
        <w:rPr>
          <w:rFonts w:ascii="Arial" w:cs="Arial" w:eastAsia="Arial" w:hAnsi="Arial"/>
          <w:sz w:val="15"/>
          <w:szCs w:val="15"/>
          <w:b w:val="1"/>
          <w:bCs w:val="1"/>
          <w:color w:val="auto"/>
        </w:rPr>
        <w:t>001-35669</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80-0812659</w:t>
      </w:r>
    </w:p>
    <w:p>
      <w:pPr>
        <w:spacing w:after="0" w:line="79" w:lineRule="exact"/>
        <w:rPr>
          <w:sz w:val="24"/>
          <w:szCs w:val="24"/>
          <w:color w:val="auto"/>
        </w:rPr>
      </w:pPr>
    </w:p>
    <w:p>
      <w:pPr>
        <w:sectPr>
          <w:pgSz w:w="11900" w:h="16838" w:orient="portrait"/>
          <w:cols w:equalWidth="0" w:num="3">
            <w:col w:w="4540" w:space="720"/>
            <w:col w:w="3160" w:space="720"/>
            <w:col w:w="2200"/>
          </w:cols>
          <w:pgMar w:left="320" w:top="1440" w:right="239" w:bottom="1440" w:gutter="0" w:footer="0" w:header="0"/>
          <w:type w:val="continuous"/>
        </w:sectPr>
      </w:pPr>
    </w:p>
    <w:p>
      <w:pPr>
        <w:jc w:val="center"/>
        <w:ind w:right="1180"/>
        <w:spacing w:after="0"/>
        <w:rPr>
          <w:sz w:val="20"/>
          <w:szCs w:val="20"/>
          <w:color w:val="auto"/>
        </w:rPr>
      </w:pPr>
      <w:r>
        <w:rPr>
          <w:rFonts w:ascii="Arial" w:cs="Arial" w:eastAsia="Arial" w:hAnsi="Arial"/>
          <w:sz w:val="12"/>
          <w:szCs w:val="12"/>
          <w:color w:val="auto"/>
        </w:rPr>
        <w:t>(State or other jurisdiction</w:t>
      </w:r>
    </w:p>
    <w:p>
      <w:pPr>
        <w:spacing w:after="0" w:line="41" w:lineRule="exact"/>
        <w:rPr>
          <w:sz w:val="24"/>
          <w:szCs w:val="24"/>
          <w:color w:val="auto"/>
        </w:rPr>
      </w:pPr>
    </w:p>
    <w:p>
      <w:pPr>
        <w:jc w:val="center"/>
        <w:ind w:right="1180"/>
        <w:spacing w:after="0"/>
        <w:rPr>
          <w:sz w:val="20"/>
          <w:szCs w:val="20"/>
          <w:color w:val="auto"/>
        </w:rPr>
      </w:pPr>
      <w:r>
        <w:rPr>
          <w:rFonts w:ascii="Arial" w:cs="Arial" w:eastAsia="Arial" w:hAnsi="Arial"/>
          <w:sz w:val="14"/>
          <w:szCs w:val="14"/>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w:t>
      </w:r>
    </w:p>
    <w:p>
      <w:pPr>
        <w:spacing w:after="0" w:line="29" w:lineRule="exact"/>
        <w:rPr>
          <w:sz w:val="24"/>
          <w:szCs w:val="24"/>
          <w:color w:val="auto"/>
        </w:rPr>
      </w:pPr>
    </w:p>
    <w:p>
      <w:pPr>
        <w:spacing w:after="0"/>
        <w:rPr>
          <w:sz w:val="20"/>
          <w:szCs w:val="20"/>
          <w:color w:val="auto"/>
        </w:rPr>
      </w:pPr>
      <w:r>
        <w:rPr>
          <w:rFonts w:ascii="Arial" w:cs="Arial" w:eastAsia="Arial" w:hAnsi="Arial"/>
          <w:sz w:val="13"/>
          <w:szCs w:val="13"/>
          <w:color w:val="auto"/>
        </w:rPr>
        <w:t>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4"/>
          <w:szCs w:val="14"/>
          <w:color w:val="auto"/>
        </w:rPr>
        <w:t>(IRS Employer</w:t>
      </w:r>
    </w:p>
    <w:p>
      <w:pPr>
        <w:spacing w:after="0" w:line="18" w:lineRule="exact"/>
        <w:rPr>
          <w:sz w:val="24"/>
          <w:szCs w:val="24"/>
          <w:color w:val="auto"/>
        </w:rPr>
      </w:pPr>
    </w:p>
    <w:p>
      <w:pPr>
        <w:jc w:val="center"/>
        <w:ind w:right="1240"/>
        <w:spacing w:after="0"/>
        <w:rPr>
          <w:sz w:val="20"/>
          <w:szCs w:val="20"/>
          <w:color w:val="auto"/>
        </w:rPr>
      </w:pPr>
      <w:r>
        <w:rPr>
          <w:rFonts w:ascii="Arial" w:cs="Arial" w:eastAsia="Arial" w:hAnsi="Arial"/>
          <w:sz w:val="13"/>
          <w:szCs w:val="13"/>
          <w:color w:val="auto"/>
        </w:rPr>
        <w:t>Identification No.)</w:t>
      </w:r>
    </w:p>
    <w:p>
      <w:pPr>
        <w:spacing w:after="0" w:line="211" w:lineRule="exact"/>
        <w:rPr>
          <w:sz w:val="24"/>
          <w:szCs w:val="24"/>
          <w:color w:val="auto"/>
        </w:rPr>
      </w:pPr>
    </w:p>
    <w:p>
      <w:pPr>
        <w:sectPr>
          <w:pgSz w:w="11900" w:h="16838" w:orient="portrait"/>
          <w:cols w:equalWidth="0" w:num="3">
            <w:col w:w="4540" w:space="720"/>
            <w:col w:w="3080" w:space="720"/>
            <w:col w:w="2280"/>
          </w:cols>
          <w:pgMar w:left="320" w:top="1440" w:right="239" w:bottom="1440" w:gutter="0" w:footer="0" w:header="0"/>
          <w:type w:val="continuous"/>
        </w:sectPr>
      </w:pPr>
    </w:p>
    <w:p>
      <w:pPr>
        <w:spacing w:after="0" w:line="13"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350 Fifth Avenue, 20st Floor</w:t>
      </w:r>
    </w:p>
    <w:p>
      <w:pPr>
        <w:spacing w:after="0" w:line="21"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New York, NY 10118</w:t>
      </w:r>
    </w:p>
    <w:p>
      <w:pPr>
        <w:spacing w:after="0" w:line="4"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1"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(646) 710-3417</w:t>
      </w:r>
    </w:p>
    <w:p>
      <w:pPr>
        <w:spacing w:after="0" w:line="115"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(Registrant’s telephone number, including area code)</w:t>
      </w:r>
    </w:p>
    <w:p>
      <w:pPr>
        <w:spacing w:after="0" w:line="15" w:lineRule="exact"/>
        <w:rPr>
          <w:sz w:val="24"/>
          <w:szCs w:val="24"/>
          <w:color w:val="auto"/>
        </w:rPr>
      </w:pPr>
    </w:p>
    <w:p>
      <w:pPr>
        <w:jc w:val="center"/>
        <w:ind w:left="380"/>
        <w:spacing w:after="0"/>
        <w:rPr>
          <w:sz w:val="20"/>
          <w:szCs w:val="20"/>
          <w:color w:val="auto"/>
        </w:rPr>
      </w:pPr>
      <w:r>
        <w:rPr>
          <w:rFonts w:ascii="Arial" w:cs="Arial" w:eastAsia="Arial" w:hAnsi="Arial"/>
          <w:sz w:val="18"/>
          <w:szCs w:val="18"/>
          <w:color w:val="auto"/>
        </w:rPr>
        <w:t>Not applicable</w:t>
      </w:r>
    </w:p>
    <w:p>
      <w:pPr>
        <w:spacing w:after="0" w:line="4" w:lineRule="exact"/>
        <w:rPr>
          <w:sz w:val="24"/>
          <w:szCs w:val="24"/>
          <w:color w:val="auto"/>
        </w:rPr>
      </w:pPr>
    </w:p>
    <w:p>
      <w:pPr>
        <w:jc w:val="center"/>
        <w:ind w:left="380"/>
        <w:spacing w:after="0"/>
        <w:rPr>
          <w:sz w:val="20"/>
          <w:szCs w:val="20"/>
          <w:color w:val="auto"/>
        </w:rPr>
      </w:pPr>
      <w:r>
        <w:rPr>
          <w:rFonts w:ascii="Arial" w:cs="Arial" w:eastAsia="Arial" w:hAnsi="Arial"/>
          <w:sz w:val="15"/>
          <w:szCs w:val="15"/>
          <w:color w:val="auto"/>
        </w:rPr>
        <w:t>(Former name, former address and former fiscal year, if changed since last report)</w:t>
      </w:r>
    </w:p>
    <w:p>
      <w:pPr>
        <w:sectPr>
          <w:pgSz w:w="11900" w:h="16838" w:orient="portrait"/>
          <w:cols w:equalWidth="0" w:num="1">
            <w:col w:w="11340"/>
          </w:cols>
          <w:pgMar w:left="320" w:top="1440" w:right="239" w:bottom="1440" w:gutter="0" w:footer="0" w:header="0"/>
          <w:type w:val="continuous"/>
        </w:sectPr>
      </w:pPr>
    </w:p>
    <w:p>
      <w:pPr>
        <w:spacing w:after="0" w:line="38" w:lineRule="exact"/>
        <w:rPr>
          <w:sz w:val="24"/>
          <w:szCs w:val="24"/>
          <w:color w:val="auto"/>
        </w:rPr>
      </w:pPr>
    </w:p>
    <w:p>
      <w:pPr>
        <w:ind w:right="660" w:firstLine="395"/>
        <w:spacing w:after="0" w:line="24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3" w:lineRule="exact"/>
        <w:rPr>
          <w:sz w:val="24"/>
          <w:szCs w:val="24"/>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 w:lineRule="exact"/>
        <w:rPr>
          <w:rFonts w:ascii="MS PGothic" w:cs="MS PGothic" w:eastAsia="MS PGothic" w:hAnsi="MS PGothic"/>
          <w:sz w:val="18"/>
          <w:szCs w:val="18"/>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9" w:lineRule="exact"/>
        <w:rPr>
          <w:rFonts w:ascii="MS PGothic" w:cs="MS PGothic" w:eastAsia="MS PGothic" w:hAnsi="MS PGothic"/>
          <w:sz w:val="18"/>
          <w:szCs w:val="18"/>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 w:lineRule="exact"/>
        <w:rPr>
          <w:rFonts w:ascii="MS PGothic" w:cs="MS PGothic" w:eastAsia="MS PGothic" w:hAnsi="MS PGothic"/>
          <w:sz w:val="18"/>
          <w:szCs w:val="18"/>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1" w:lineRule="exact"/>
        <w:rPr>
          <w:sz w:val="24"/>
          <w:szCs w:val="24"/>
          <w:color w:val="auto"/>
        </w:rPr>
      </w:pPr>
    </w:p>
    <w:p>
      <w:pPr>
        <w:ind w:left="326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6" w:lineRule="exact"/>
        <w:rPr>
          <w:sz w:val="24"/>
          <w:szCs w:val="24"/>
          <w:color w:val="auto"/>
        </w:rPr>
      </w:pPr>
    </w:p>
    <w:tbl>
      <w:tblPr>
        <w:tblLayout w:type="fixed"/>
        <w:tblInd w:w="400" w:type="dxa"/>
        <w:tblCellMar>
          <w:top w:w="0" w:type="dxa"/>
          <w:left w:w="0" w:type="dxa"/>
          <w:bottom w:w="0" w:type="dxa"/>
          <w:right w:w="0" w:type="dxa"/>
        </w:tblCellMar>
      </w:tblPr>
      <w:tr>
        <w:trPr>
          <w:trHeight w:val="197"/>
        </w:trPr>
        <w:tc>
          <w:tcPr>
            <w:tcW w:w="3840" w:type="dxa"/>
            <w:vAlign w:val="bottom"/>
            <w:tcBorders>
              <w:top w:val="single" w:sz="8" w:color="auto"/>
              <w:bottom w:val="single" w:sz="8" w:color="auto"/>
            </w:tcBorders>
          </w:tcPr>
          <w:p>
            <w:pPr>
              <w:jc w:val="center"/>
              <w:ind w:left="250"/>
              <w:spacing w:after="0"/>
              <w:rPr>
                <w:sz w:val="20"/>
                <w:szCs w:val="20"/>
                <w:color w:val="auto"/>
              </w:rPr>
            </w:pPr>
            <w:r>
              <w:rPr>
                <w:rFonts w:ascii="Arial" w:cs="Arial" w:eastAsia="Arial" w:hAnsi="Arial"/>
                <w:sz w:val="14"/>
                <w:szCs w:val="14"/>
                <w:b w:val="1"/>
                <w:bCs w:val="1"/>
                <w:color w:val="auto"/>
                <w:w w:val="85"/>
              </w:rPr>
              <w:t>Class</w:t>
            </w:r>
          </w:p>
        </w:tc>
        <w:tc>
          <w:tcPr>
            <w:tcW w:w="1840" w:type="dxa"/>
            <w:vAlign w:val="bottom"/>
            <w:tcBorders>
              <w:top w:val="single" w:sz="8" w:color="auto"/>
              <w:bottom w:val="single" w:sz="8" w:color="auto"/>
            </w:tcBorders>
          </w:tcPr>
          <w:p>
            <w:pPr>
              <w:jc w:val="center"/>
              <w:ind w:left="70"/>
              <w:spacing w:after="0"/>
              <w:rPr>
                <w:sz w:val="20"/>
                <w:szCs w:val="20"/>
                <w:color w:val="auto"/>
              </w:rPr>
            </w:pPr>
            <w:r>
              <w:rPr>
                <w:rFonts w:ascii="Arial" w:cs="Arial" w:eastAsia="Arial" w:hAnsi="Arial"/>
                <w:sz w:val="14"/>
                <w:szCs w:val="14"/>
                <w:b w:val="1"/>
                <w:bCs w:val="1"/>
                <w:color w:val="auto"/>
                <w:w w:val="90"/>
              </w:rPr>
              <w:t>Trading symbol</w:t>
            </w:r>
          </w:p>
        </w:tc>
        <w:tc>
          <w:tcPr>
            <w:tcW w:w="346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auto"/>
                <w:w w:val="87"/>
              </w:rPr>
              <w:t>Name of each exchange on which registered</w:t>
            </w:r>
          </w:p>
        </w:tc>
      </w:tr>
      <w:tr>
        <w:trPr>
          <w:trHeight w:val="177"/>
        </w:trPr>
        <w:tc>
          <w:tcPr>
            <w:tcW w:w="3840" w:type="dxa"/>
            <w:vAlign w:val="bottom"/>
          </w:tcPr>
          <w:p>
            <w:pPr>
              <w:jc w:val="center"/>
              <w:ind w:left="230"/>
              <w:spacing w:after="0"/>
              <w:rPr>
                <w:sz w:val="20"/>
                <w:szCs w:val="20"/>
                <w:color w:val="auto"/>
              </w:rPr>
            </w:pPr>
            <w:r>
              <w:rPr>
                <w:rFonts w:ascii="Arial" w:cs="Arial" w:eastAsia="Arial" w:hAnsi="Arial"/>
                <w:sz w:val="14"/>
                <w:szCs w:val="14"/>
                <w:b w:val="1"/>
                <w:bCs w:val="1"/>
                <w:color w:val="auto"/>
                <w:w w:val="89"/>
              </w:rPr>
              <w:t>Common Stock, $0.01 par value per share</w:t>
            </w:r>
          </w:p>
        </w:tc>
        <w:tc>
          <w:tcPr>
            <w:tcW w:w="1840" w:type="dxa"/>
            <w:vAlign w:val="bottom"/>
          </w:tcPr>
          <w:p>
            <w:pPr>
              <w:jc w:val="center"/>
              <w:ind w:left="90"/>
              <w:spacing w:after="0"/>
              <w:rPr>
                <w:sz w:val="20"/>
                <w:szCs w:val="20"/>
                <w:color w:val="auto"/>
              </w:rPr>
            </w:pPr>
            <w:r>
              <w:rPr>
                <w:rFonts w:ascii="Arial" w:cs="Arial" w:eastAsia="Arial" w:hAnsi="Arial"/>
                <w:sz w:val="14"/>
                <w:szCs w:val="14"/>
                <w:b w:val="1"/>
                <w:bCs w:val="1"/>
                <w:color w:val="auto"/>
                <w:w w:val="96"/>
              </w:rPr>
              <w:t>SSTK</w:t>
            </w:r>
          </w:p>
        </w:tc>
        <w:tc>
          <w:tcPr>
            <w:tcW w:w="3460" w:type="dxa"/>
            <w:vAlign w:val="bottom"/>
          </w:tcPr>
          <w:p>
            <w:pPr>
              <w:jc w:val="center"/>
              <w:ind w:right="90"/>
              <w:spacing w:after="0"/>
              <w:rPr>
                <w:sz w:val="20"/>
                <w:szCs w:val="20"/>
                <w:color w:val="auto"/>
              </w:rPr>
            </w:pPr>
            <w:r>
              <w:rPr>
                <w:rFonts w:ascii="Arial" w:cs="Arial" w:eastAsia="Arial" w:hAnsi="Arial"/>
                <w:sz w:val="14"/>
                <w:szCs w:val="14"/>
                <w:b w:val="1"/>
                <w:bCs w:val="1"/>
                <w:color w:val="auto"/>
                <w:w w:val="89"/>
              </w:rPr>
              <w:t>New York Stock Exchange</w:t>
            </w:r>
          </w:p>
        </w:tc>
      </w:tr>
    </w:tbl>
    <w:p>
      <w:pPr>
        <w:spacing w:after="0" w:line="134" w:lineRule="exact"/>
        <w:rPr>
          <w:sz w:val="24"/>
          <w:szCs w:val="24"/>
          <w:color w:val="auto"/>
        </w:rPr>
      </w:pPr>
    </w:p>
    <w:p>
      <w:pPr>
        <w:ind w:left="920"/>
        <w:spacing w:after="0" w:line="22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ind w:left="920" w:hanging="502"/>
        <w:spacing w:after="0"/>
        <w:tabs>
          <w:tab w:leader="none" w:pos="9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82" w:lineRule="exact"/>
        <w:rPr>
          <w:rFonts w:ascii="MS PGothic" w:cs="MS PGothic" w:eastAsia="MS PGothic" w:hAnsi="MS PGothic"/>
          <w:sz w:val="18"/>
          <w:szCs w:val="18"/>
          <w:color w:val="auto"/>
        </w:rPr>
      </w:pPr>
    </w:p>
    <w:p>
      <w:pPr>
        <w:ind w:left="920" w:hanging="502"/>
        <w:spacing w:after="0" w:line="228" w:lineRule="auto"/>
        <w:tabs>
          <w:tab w:leader="none" w:pos="9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1675765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267970</wp:posOffset>
            </wp:positionV>
            <wp:extent cx="6951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292735</wp:posOffset>
            </wp:positionV>
            <wp:extent cx="695198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1980" cy="165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type w:val="continuous"/>
        </w:sectPr>
      </w:pPr>
    </w:p>
    <w:bookmarkStart w:id="1" w:name="page2"/>
    <w:bookmarkEnd w:id="1"/>
    <w:p>
      <w:pPr>
        <w:ind w:left="420"/>
        <w:spacing w:after="0"/>
        <w:tabs>
          <w:tab w:leader="none" w:pos="15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07"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On July 17, 2023, the Board of Directors of the Company, declared a cash dividend of $0.27 per common share for shareholders of record as of August 31, 2023, payable on September 14, 2023.</w:t>
      </w:r>
    </w:p>
    <w:p>
      <w:pPr>
        <w:spacing w:after="0" w:line="200" w:lineRule="exact"/>
        <w:rPr>
          <w:sz w:val="20"/>
          <w:szCs w:val="20"/>
          <w:color w:val="auto"/>
        </w:rPr>
      </w:pPr>
    </w:p>
    <w:p>
      <w:pPr>
        <w:spacing w:after="0" w:line="31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00"/>
          </w:cols>
          <w:pgMar w:left="320" w:top="911" w:right="57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8"/>
          <w:szCs w:val="18"/>
          <w:b w:val="1"/>
          <w:bCs w:val="1"/>
          <w:color w:val="auto"/>
        </w:rPr>
        <w:t>SIGNATURE</w:t>
      </w:r>
    </w:p>
    <w:p>
      <w:pPr>
        <w:spacing w:after="0" w:line="21" w:lineRule="exact"/>
        <w:rPr>
          <w:sz w:val="20"/>
          <w:szCs w:val="20"/>
          <w:color w:val="auto"/>
        </w:rPr>
      </w:pPr>
    </w:p>
    <w:p>
      <w:pPr>
        <w:ind w:right="900" w:firstLine="439"/>
        <w:spacing w:after="0" w:line="24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20" w:lineRule="exact"/>
        <w:rPr>
          <w:sz w:val="20"/>
          <w:szCs w:val="20"/>
          <w:color w:val="auto"/>
        </w:rPr>
      </w:pPr>
    </w:p>
    <w:tbl>
      <w:tblPr>
        <w:tblLayout w:type="fixed"/>
        <w:tblInd w:w="420" w:type="dxa"/>
        <w:tblCellMar>
          <w:top w:w="0" w:type="dxa"/>
          <w:left w:w="0" w:type="dxa"/>
          <w:bottom w:w="0" w:type="dxa"/>
          <w:right w:w="0" w:type="dxa"/>
        </w:tblCellMar>
      </w:tblPr>
      <w:tr>
        <w:trPr>
          <w:trHeight w:val="228"/>
        </w:trPr>
        <w:tc>
          <w:tcPr>
            <w:tcW w:w="3040" w:type="dxa"/>
            <w:vAlign w:val="bottom"/>
          </w:tcPr>
          <w:p>
            <w:pPr>
              <w:spacing w:after="0"/>
              <w:rPr>
                <w:sz w:val="19"/>
                <w:szCs w:val="19"/>
                <w:color w:val="auto"/>
              </w:rPr>
            </w:pPr>
          </w:p>
        </w:tc>
        <w:tc>
          <w:tcPr>
            <w:tcW w:w="7880" w:type="dxa"/>
            <w:vAlign w:val="bottom"/>
            <w:gridSpan w:val="2"/>
          </w:tcPr>
          <w:p>
            <w:pPr>
              <w:ind w:left="1600"/>
              <w:spacing w:after="0"/>
              <w:rPr>
                <w:sz w:val="20"/>
                <w:szCs w:val="20"/>
                <w:color w:val="auto"/>
              </w:rPr>
            </w:pPr>
            <w:r>
              <w:rPr>
                <w:rFonts w:ascii="Arial" w:cs="Arial" w:eastAsia="Arial" w:hAnsi="Arial"/>
                <w:sz w:val="18"/>
                <w:szCs w:val="18"/>
                <w:b w:val="1"/>
                <w:bCs w:val="1"/>
                <w:color w:val="auto"/>
              </w:rPr>
              <w:t>SHUTTERSTOCK, INC.</w:t>
            </w:r>
          </w:p>
        </w:tc>
      </w:tr>
      <w:tr>
        <w:trPr>
          <w:trHeight w:val="369"/>
        </w:trPr>
        <w:tc>
          <w:tcPr>
            <w:tcW w:w="3040" w:type="dxa"/>
            <w:vAlign w:val="bottom"/>
          </w:tcPr>
          <w:p>
            <w:pPr>
              <w:spacing w:after="0"/>
              <w:rPr>
                <w:sz w:val="20"/>
                <w:szCs w:val="20"/>
                <w:color w:val="auto"/>
              </w:rPr>
            </w:pPr>
            <w:r>
              <w:rPr>
                <w:rFonts w:ascii="Arial" w:cs="Arial" w:eastAsia="Arial" w:hAnsi="Arial"/>
                <w:sz w:val="18"/>
                <w:szCs w:val="18"/>
                <w:color w:val="auto"/>
              </w:rPr>
              <w:t>Dated: July 18, 2023</w:t>
            </w:r>
          </w:p>
        </w:tc>
        <w:tc>
          <w:tcPr>
            <w:tcW w:w="2200" w:type="dxa"/>
            <w:vAlign w:val="bottom"/>
          </w:tcPr>
          <w:p>
            <w:pPr>
              <w:ind w:left="1600"/>
              <w:spacing w:after="0"/>
              <w:rPr>
                <w:sz w:val="20"/>
                <w:szCs w:val="20"/>
                <w:color w:val="auto"/>
              </w:rPr>
            </w:pPr>
            <w:r>
              <w:rPr>
                <w:rFonts w:ascii="Arial" w:cs="Arial" w:eastAsia="Arial" w:hAnsi="Arial"/>
                <w:sz w:val="18"/>
                <w:szCs w:val="18"/>
                <w:color w:val="auto"/>
              </w:rPr>
              <w:t>By:</w:t>
            </w: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Jarrod Yahes</w:t>
            </w:r>
          </w:p>
        </w:tc>
      </w:tr>
      <w:tr>
        <w:trPr>
          <w:trHeight w:val="217"/>
        </w:trPr>
        <w:tc>
          <w:tcPr>
            <w:tcW w:w="30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Jarrod Yahes</w:t>
            </w:r>
          </w:p>
        </w:tc>
      </w:tr>
      <w:tr>
        <w:trPr>
          <w:trHeight w:val="237"/>
        </w:trPr>
        <w:tc>
          <w:tcPr>
            <w:tcW w:w="30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w:t>
      </w:r>
    </w:p>
    <w:sectPr>
      <w:pgSz w:w="11900" w:h="16838" w:orient="portrait"/>
      <w:cols w:equalWidth="0" w:num="1">
        <w:col w:w="11340"/>
      </w:cols>
      <w:pgMar w:left="320" w:top="13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2023-07-18T15:59:43Z</dcterms:created>
  <dcterms:modified xsi:type="dcterms:W3CDTF">2023-07-18T15:59:43Z</dcterms:modified>
</cp:coreProperties>
</file>