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99060</wp:posOffset>
            </wp:positionV>
            <wp:extent cx="571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46990</wp:posOffset>
            </wp:positionV>
            <wp:extent cx="5715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5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6"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48895</wp:posOffset>
            </wp:positionV>
            <wp:extent cx="5715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88900</wp:posOffset>
            </wp:positionV>
            <wp:extent cx="5715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30480</wp:posOffset>
            </wp:positionV>
            <wp:extent cx="5715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p>
      <w:pPr>
        <w:spacing w:after="0" w:line="29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6"/>
          <w:szCs w:val="16"/>
          <w:b w:val="1"/>
          <w:bCs w:val="1"/>
          <w:color w:val="auto"/>
        </w:rPr>
        <w:t>001-35669</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80-0812659</w:t>
      </w:r>
    </w:p>
    <w:p>
      <w:pPr>
        <w:spacing w:after="0" w:line="77" w:lineRule="exact"/>
        <w:rPr>
          <w:sz w:val="24"/>
          <w:szCs w:val="24"/>
          <w:color w:val="auto"/>
        </w:rPr>
      </w:pPr>
    </w:p>
    <w:p>
      <w:pPr>
        <w:sectPr>
          <w:pgSz w:w="11900" w:h="16838" w:orient="portrait"/>
          <w:cols w:equalWidth="0" w:num="3">
            <w:col w:w="4520" w:space="720"/>
            <w:col w:w="3180" w:space="720"/>
            <w:col w:w="2200"/>
          </w:cols>
          <w:pgMar w:left="320" w:top="1440" w:right="239" w:bottom="1440" w:gutter="0" w:footer="0" w:header="0"/>
          <w:type w:val="continuous"/>
        </w:sectPr>
      </w:pPr>
    </w:p>
    <w:p>
      <w:pPr>
        <w:jc w:val="center"/>
        <w:ind w:right="116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1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4"/>
          <w:szCs w:val="14"/>
          <w:color w:val="auto"/>
        </w:rPr>
        <w:t>(IRS Employer</w:t>
      </w:r>
    </w:p>
    <w:p>
      <w:pPr>
        <w:spacing w:after="0" w:line="13"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300"/>
          </w:cols>
          <w:pgMar w:left="320" w:top="1440" w:right="239" w:bottom="1440" w:gutter="0" w:footer="0" w:header="0"/>
          <w:type w:val="continuous"/>
        </w:sectPr>
      </w:pPr>
    </w:p>
    <w:p>
      <w:pPr>
        <w:spacing w:after="0" w:line="2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350 Fifth Avenue, 20st Floor</w:t>
      </w:r>
    </w:p>
    <w:p>
      <w:pPr>
        <w:spacing w:after="0" w:line="2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1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ectPr>
          <w:pgSz w:w="11900" w:h="16838" w:orient="portrait"/>
          <w:cols w:equalWidth="0" w:num="1">
            <w:col w:w="11340"/>
          </w:cols>
          <w:pgMar w:left="320" w:top="1440" w:right="239" w:bottom="1440" w:gutter="0" w:footer="0" w:header="0"/>
          <w:type w:val="continuous"/>
        </w:sectPr>
      </w:pPr>
    </w:p>
    <w:p>
      <w:pPr>
        <w:spacing w:after="0" w:line="27" w:lineRule="exact"/>
        <w:rPr>
          <w:sz w:val="24"/>
          <w:szCs w:val="24"/>
          <w:color w:val="auto"/>
        </w:rPr>
      </w:pPr>
    </w:p>
    <w:p>
      <w:pPr>
        <w:ind w:right="660" w:firstLine="395"/>
        <w:spacing w:after="0" w:line="24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7" w:lineRule="exact"/>
        <w:rPr>
          <w:sz w:val="24"/>
          <w:szCs w:val="24"/>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8" w:lineRule="exact"/>
        <w:rPr>
          <w:sz w:val="24"/>
          <w:szCs w:val="24"/>
          <w:color w:val="auto"/>
        </w:rPr>
      </w:pPr>
    </w:p>
    <w:tbl>
      <w:tblPr>
        <w:tblLayout w:type="fixed"/>
        <w:tblInd w:w="400" w:type="dxa"/>
        <w:tblCellMar>
          <w:top w:w="0" w:type="dxa"/>
          <w:left w:w="0" w:type="dxa"/>
          <w:bottom w:w="0" w:type="dxa"/>
          <w:right w:w="0" w:type="dxa"/>
        </w:tblCellMar>
      </w:tblPr>
      <w:tr>
        <w:trPr>
          <w:trHeight w:val="204"/>
        </w:trPr>
        <w:tc>
          <w:tcPr>
            <w:tcW w:w="3840" w:type="dxa"/>
            <w:vAlign w:val="bottom"/>
            <w:tcBorders>
              <w:top w:val="single" w:sz="8" w:color="auto"/>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820" w:type="dxa"/>
            <w:vAlign w:val="bottom"/>
            <w:tcBorders>
              <w:top w:val="single" w:sz="8" w:color="auto"/>
              <w:bottom w:val="single" w:sz="8" w:color="auto"/>
            </w:tcBorders>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48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4"/>
        </w:trPr>
        <w:tc>
          <w:tcPr>
            <w:tcW w:w="384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182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4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126" w:lineRule="exact"/>
        <w:rPr>
          <w:sz w:val="24"/>
          <w:szCs w:val="24"/>
          <w:color w:val="auto"/>
        </w:rPr>
      </w:pPr>
    </w:p>
    <w:p>
      <w:pPr>
        <w:ind w:left="900"/>
        <w:spacing w:after="0" w:line="23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900" w:hanging="482"/>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69" w:lineRule="exact"/>
        <w:rPr>
          <w:rFonts w:ascii="MS PGothic" w:cs="MS PGothic" w:eastAsia="MS PGothic" w:hAnsi="MS PGothic"/>
          <w:sz w:val="18"/>
          <w:szCs w:val="18"/>
          <w:color w:val="auto"/>
        </w:rPr>
      </w:pPr>
    </w:p>
    <w:p>
      <w:pPr>
        <w:ind w:left="900" w:hanging="482"/>
        <w:spacing w:after="0" w:line="231" w:lineRule="auto"/>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1517650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293370</wp:posOffset>
            </wp:positionV>
            <wp:extent cx="69469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9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268605</wp:posOffset>
            </wp:positionV>
            <wp:extent cx="6946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9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1" w:name="page2"/>
    <w:bookmarkEnd w:id="1"/>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0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On July 21, 2025, the Board of Directors of the Company declared a cash dividend of $0.33 per common share for shareholders of record as of September 4, 2025, payable on September 18, 2025.</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sectPr>
      </w:pPr>
    </w:p>
    <w:bookmarkStart w:id="2" w:name="page3"/>
    <w:bookmarkEnd w:id="2"/>
    <w:p>
      <w:pPr>
        <w:spacing w:after="0" w:line="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8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786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36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Dated: July 21, 2025</w:t>
            </w:r>
          </w:p>
        </w:tc>
        <w:tc>
          <w:tcPr>
            <w:tcW w:w="21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Rik Powell</w:t>
            </w:r>
          </w:p>
        </w:tc>
      </w:tr>
      <w:tr>
        <w:trPr>
          <w:trHeight w:val="212"/>
        </w:trPr>
        <w:tc>
          <w:tcPr>
            <w:tcW w:w="30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Rik Powell</w:t>
            </w:r>
          </w:p>
        </w:tc>
      </w:tr>
      <w:tr>
        <w:trPr>
          <w:trHeight w:val="228"/>
        </w:trPr>
        <w:tc>
          <w:tcPr>
            <w:tcW w:w="30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2025-07-21T15:58:14Z</dcterms:created>
  <dcterms:modified xsi:type="dcterms:W3CDTF">2025-07-21T15:58:14Z</dcterms:modified>
</cp:coreProperties>
</file>