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0000FF"/>
        </w:rPr>
        <w:t>Shutterstock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825690100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825690100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185,822.00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1,776,228.00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1,776,228.00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80"/>
          </w:cols>
          <w:pgMar w:left="320" w:top="166" w:right="439" w:bottom="0" w:gutter="0" w:footer="0" w:header="0"/>
        </w:sectPr>
      </w:pPr>
    </w:p>
    <w:p>
      <w:pPr>
        <w:spacing w:after="0" w:line="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As of that date, The Vanguard Group, Inc. no longer performs portfolio management services or administers proxy voting. In accordance with SEC Release No. 34-39538 (January 12, 1998), The Vanguard Group, Inc. anticipates that certain subsidiaries or business divisions of subsidiaries of The Vanguard Group, Inc., that currently have, or are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Shutterstock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Empire State Building, 350 Fifth Avenue, 21st Floor, New York, NY, 10118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825690100</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44" w:lineRule="exact"/>
        <w:rPr>
          <w:sz w:val="20"/>
          <w:szCs w:val="20"/>
          <w:color w:val="auto"/>
        </w:rPr>
      </w:pPr>
    </w:p>
    <w:p>
      <w:pPr>
        <w:ind w:left="40"/>
        <w:spacing w:after="0"/>
        <w:tabs>
          <w:tab w:leader="none" w:pos="946"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ectPr>
          <w:pgSz w:w="11900" w:h="16838" w:orient="portrait"/>
          <w:cols w:equalWidth="0" w:num="1">
            <w:col w:w="11140"/>
          </w:cols>
          <w:pgMar w:left="320" w:top="166" w:right="439" w:bottom="0" w:gutter="0" w:footer="0" w:header="0"/>
          <w:type w:val="continuous"/>
        </w:sectPr>
      </w:pPr>
    </w:p>
    <w:bookmarkStart w:id="2" w:name="page3"/>
    <w:bookmarkEnd w:id="2"/>
    <w:p>
      <w:pPr>
        <w:spacing w:after="0" w:line="35"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1776228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7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185822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1776228</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74"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01/30/2026</w:t>
      </w:r>
    </w:p>
    <w:sectPr>
      <w:pgSz w:w="11900" w:h="16838" w:orient="portrait"/>
      <w:cols w:equalWidth="0" w:num="1">
        <w:col w:w="10920"/>
      </w:cols>
      <w:pgMar w:left="580" w:top="13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2026-01-30T14:51:32Z</dcterms:created>
  <dcterms:modified xsi:type="dcterms:W3CDTF">2026-01-30T14:51:32Z</dcterms:modified>
</cp:coreProperties>
</file>