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BIXBY TIMOTHY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SHUTTERSTOCK,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FIFTH AVENUE, 21ST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Shutterstock,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SSTK</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10118</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3"/>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3"/>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rPr>
              <w:t>03/04/2015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7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2,067</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58.54</w:t>
            </w:r>
            <w:r>
              <w:rPr>
                <w:rFonts w:ascii="Arial" w:cs="Arial" w:eastAsia="Arial" w:hAnsi="Arial"/>
                <w:sz w:val="22"/>
                <w:szCs w:val="22"/>
                <w:color w:val="008000"/>
                <w:w w:val="84"/>
                <w:vertAlign w:val="superscript"/>
              </w:rPr>
              <w:t>(2)</w:t>
            </w:r>
          </w:p>
        </w:tc>
        <w:tc>
          <w:tcPr>
            <w:tcW w:w="1220" w:type="dxa"/>
            <w:vAlign w:val="bottom"/>
            <w:tcBorders>
              <w:bottom w:val="single" w:sz="8" w:color="2C2C2C"/>
            </w:tcBorders>
            <w:gridSpan w:val="2"/>
          </w:tcPr>
          <w:p>
            <w:pPr>
              <w:jc w:val="center"/>
              <w:ind w:right="237"/>
              <w:spacing w:after="0"/>
              <w:rPr>
                <w:sz w:val="20"/>
                <w:szCs w:val="20"/>
                <w:color w:val="auto"/>
              </w:rPr>
            </w:pPr>
            <w:r>
              <w:rPr>
                <w:rFonts w:ascii="Arial" w:cs="Arial" w:eastAsia="Arial" w:hAnsi="Arial"/>
                <w:sz w:val="18"/>
                <w:szCs w:val="18"/>
                <w:color w:val="0000FF"/>
              </w:rPr>
              <w:t>14,651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40"/>
              <w:spacing w:after="0"/>
              <w:rPr>
                <w:sz w:val="20"/>
                <w:szCs w:val="20"/>
                <w:color w:val="auto"/>
              </w:rPr>
            </w:pPr>
            <w:r>
              <w:rPr>
                <w:rFonts w:ascii="Arial" w:cs="Arial" w:eastAsia="Arial" w:hAnsi="Arial"/>
                <w:sz w:val="18"/>
                <w:szCs w:val="18"/>
                <w:color w:val="0000FF"/>
              </w:rPr>
              <w:t>03/04/2015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9"/>
              <w:spacing w:after="0"/>
              <w:rPr>
                <w:sz w:val="20"/>
                <w:szCs w:val="20"/>
                <w:color w:val="auto"/>
              </w:rPr>
            </w:pPr>
            <w:r>
              <w:rPr>
                <w:rFonts w:ascii="Arial" w:cs="Arial" w:eastAsia="Arial" w:hAnsi="Arial"/>
                <w:sz w:val="14"/>
                <w:szCs w:val="14"/>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8"/>
              </w:rPr>
              <w:t>20,000</w:t>
            </w:r>
            <w:r>
              <w:rPr>
                <w:rFonts w:ascii="Arial" w:cs="Arial" w:eastAsia="Arial" w:hAnsi="Arial"/>
                <w:sz w:val="22"/>
                <w:szCs w:val="22"/>
                <w:color w:val="008000"/>
                <w:w w:val="98"/>
                <w:vertAlign w:val="superscript"/>
              </w:rPr>
              <w:t>(4)</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2"/>
          </w:tcPr>
          <w:p>
            <w:pPr>
              <w:jc w:val="center"/>
              <w:ind w:right="2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3"/>
              </w:rPr>
              <w:t>34,651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20" w:type="dxa"/>
            <w:vAlign w:val="bottom"/>
            <w:gridSpan w:val="10"/>
          </w:tcPr>
          <w:p>
            <w:pPr>
              <w:jc w:val="center"/>
              <w:ind w:left="2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purpose of this sale was to cover tax obligations of the Reporting Person in connection with the vesting of certain equity awards.</w:t>
      </w:r>
    </w:p>
    <w:p>
      <w:pPr>
        <w:spacing w:after="0" w:line="41"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$58.50 to $58.54; the price reported above reflects the weighted average sale price. The Reporting Person hereby undertakes to provide full information regarding the number of shares and prices at which the transactions were effected upon request to the SEC staff, the Issuer, or a security holder of the Issuer.</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December 1, 2014, the Reporting Person acquired 234 shares of the Issuer's common stock under the Issuer's 2012 Employee Stock Purchase Plan.</w:t>
      </w:r>
    </w:p>
    <w:p>
      <w:pPr>
        <w:spacing w:after="0" w:line="41" w:lineRule="exact"/>
        <w:rPr>
          <w:rFonts w:ascii="Arial" w:cs="Arial" w:eastAsia="Arial" w:hAnsi="Arial"/>
          <w:sz w:val="14"/>
          <w:szCs w:val="14"/>
          <w:color w:val="008000"/>
        </w:rPr>
      </w:pPr>
    </w:p>
    <w:p>
      <w:pPr>
        <w:ind w:left="40" w:right="3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a restricted stock unit award made pursuant to the Issuer's 2012 Omnibus Equity Incentive Plan, and each restricted stock unit represents a contingent right to receive one share of the Issuer's common stock. This award vests in three equal annual installments beginning March 4, 2016, subject to the Reporting Person's employment on such vesting date. Vested shares will be delivered to the Reporting Person as soon as practicable following each vesting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Laurie Harrison,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03/06/2015</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Jonathan Oringer, Chief Executive Officer of Shutterstock, Inc. (the "Company"), Laurie Harrison, General Counsel of the Company, and Brian Margolis of Orrick, Herrington &amp; Sutcliffe LLP, and each of them acting or signing alone, as his or her true and lawful attorney-in-fact to:</w:t>
      </w:r>
    </w:p>
    <w:p>
      <w:pPr>
        <w:spacing w:after="0" w:line="209" w:lineRule="exact"/>
        <w:rPr>
          <w:sz w:val="20"/>
          <w:szCs w:val="20"/>
          <w:color w:val="auto"/>
        </w:rPr>
      </w:pPr>
    </w:p>
    <w:p>
      <w:pPr>
        <w:jc w:val="both"/>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stockholder of the Company, any and all reports required to be filed by the undersigned in accordance with Section 16(a) of the Securities Exchange Act of 1934 and the rules thereunder;</w:t>
      </w:r>
    </w:p>
    <w:p>
      <w:pPr>
        <w:spacing w:after="0" w:line="208" w:lineRule="exact"/>
        <w:rPr>
          <w:rFonts w:ascii="Courier New" w:cs="Courier New" w:eastAsia="Courier New" w:hAnsi="Courier New"/>
          <w:sz w:val="18"/>
          <w:szCs w:val="18"/>
          <w:color w:val="auto"/>
        </w:rPr>
      </w:pPr>
    </w:p>
    <w:p>
      <w:pPr>
        <w:jc w:val="both"/>
        <w:ind w:left="1280" w:right="1779" w:hanging="640"/>
        <w:spacing w:after="0" w:line="273" w:lineRule="auto"/>
        <w:tabs>
          <w:tab w:leader="none" w:pos="12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or other required report and timely file such report with the United States Securities and Exchange Commission and any stock exchange or similar authority; and</w:t>
      </w:r>
    </w:p>
    <w:p>
      <w:pPr>
        <w:spacing w:after="0" w:line="184" w:lineRule="exact"/>
        <w:rPr>
          <w:rFonts w:ascii="Courier New" w:cs="Courier New" w:eastAsia="Courier New" w:hAnsi="Courier New"/>
          <w:sz w:val="16"/>
          <w:szCs w:val="16"/>
          <w:color w:val="auto"/>
        </w:rPr>
      </w:pPr>
    </w:p>
    <w:p>
      <w:pPr>
        <w:jc w:val="both"/>
        <w:ind w:left="1280" w:right="1779" w:hanging="640"/>
        <w:spacing w:after="0" w:line="237" w:lineRule="auto"/>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 fact may approve in his or her discretion.</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 fact, in serving in such capacity at the request of the undersigned, is hereby assuming, nor is the Company hereby assuming, any of the undersigned's responsibilities to comply with Section 16 of the Securities Exchange Act of 1934.</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reports under Section 16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effective as of the 6th day of March, 2015.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E. Bixby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Timothy E. Bixby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42" TargetMode="External"/><Relationship Id="rId13" Type="http://schemas.openxmlformats.org/officeDocument/2006/relationships/hyperlink" Target="http://www.sec.gov/cgi-bin/browse-edgar?action=getcompany&amp;CIK=00015493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2019-12-23T22:12:47Z</dcterms:created>
  <dcterms:modified xsi:type="dcterms:W3CDTF">2019-12-23T22:12:47Z</dcterms:modified>
</cp:coreProperties>
</file>