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-220345</wp:posOffset>
            </wp:positionV>
            <wp:extent cx="70980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27940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4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27, 2022</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513"/>
        </w:trPr>
        <w:tc>
          <w:tcPr>
            <w:tcW w:w="3560" w:type="dxa"/>
            <w:vAlign w:val="bottom"/>
            <w:tcBorders>
              <w:top w:val="single" w:sz="8" w:color="auto"/>
              <w:bottom w:val="single" w:sz="8" w:color="auto"/>
            </w:tcBorders>
          </w:tcPr>
          <w:p>
            <w:pPr>
              <w:spacing w:after="0"/>
              <w:rPr>
                <w:sz w:val="24"/>
                <w:szCs w:val="24"/>
                <w:color w:val="auto"/>
              </w:rPr>
            </w:pPr>
          </w:p>
        </w:tc>
        <w:tc>
          <w:tcPr>
            <w:tcW w:w="4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43"/>
                <w:szCs w:val="43"/>
                <w:b w:val="1"/>
                <w:bCs w:val="1"/>
                <w:color w:val="auto"/>
              </w:rPr>
              <w:t>Shutterstock, Inc.</w:t>
            </w:r>
          </w:p>
        </w:tc>
        <w:tc>
          <w:tcPr>
            <w:tcW w:w="3200" w:type="dxa"/>
            <w:vAlign w:val="bottom"/>
            <w:tcBorders>
              <w:top w:val="single" w:sz="8" w:color="auto"/>
              <w:bottom w:val="single" w:sz="8" w:color="auto"/>
            </w:tcBorders>
          </w:tcPr>
          <w:p>
            <w:pPr>
              <w:spacing w:after="0"/>
              <w:rPr>
                <w:sz w:val="24"/>
                <w:szCs w:val="24"/>
                <w:color w:val="auto"/>
              </w:rPr>
            </w:pPr>
          </w:p>
        </w:tc>
      </w:tr>
      <w:tr>
        <w:trPr>
          <w:trHeight w:val="223"/>
        </w:trPr>
        <w:tc>
          <w:tcPr>
            <w:tcW w:w="356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00" w:type="dxa"/>
            <w:vAlign w:val="bottom"/>
            <w:tcBorders>
              <w:bottom w:val="single" w:sz="8" w:color="auto"/>
            </w:tcBorders>
          </w:tcPr>
          <w:p>
            <w:pPr>
              <w:spacing w:after="0"/>
              <w:rPr>
                <w:sz w:val="19"/>
                <w:szCs w:val="19"/>
                <w:color w:val="auto"/>
              </w:rPr>
            </w:pPr>
          </w:p>
        </w:tc>
      </w:tr>
      <w:tr>
        <w:trPr>
          <w:trHeight w:val="414"/>
        </w:trPr>
        <w:tc>
          <w:tcPr>
            <w:tcW w:w="3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80" w:type="dxa"/>
            <w:vAlign w:val="bottom"/>
          </w:tcPr>
          <w:p>
            <w:pPr>
              <w:jc w:val="right"/>
              <w:ind w:right="1954"/>
              <w:spacing w:after="0"/>
              <w:rPr>
                <w:sz w:val="20"/>
                <w:szCs w:val="20"/>
                <w:color w:val="auto"/>
              </w:rPr>
            </w:pPr>
            <w:r>
              <w:rPr>
                <w:rFonts w:ascii="Times New Roman" w:cs="Times New Roman" w:eastAsia="Times New Roman" w:hAnsi="Times New Roman"/>
                <w:sz w:val="18"/>
                <w:szCs w:val="18"/>
                <w:b w:val="1"/>
                <w:bCs w:val="1"/>
                <w:color w:val="auto"/>
              </w:rPr>
              <w:t>001-35669</w:t>
            </w:r>
          </w:p>
        </w:tc>
        <w:tc>
          <w:tcPr>
            <w:tcW w:w="320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80-0812659</w:t>
            </w:r>
          </w:p>
        </w:tc>
      </w:tr>
      <w:tr>
        <w:trPr>
          <w:trHeight w:val="234"/>
        </w:trPr>
        <w:tc>
          <w:tcPr>
            <w:tcW w:w="35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480" w:type="dxa"/>
            <w:vAlign w:val="bottom"/>
          </w:tcPr>
          <w:p>
            <w:pPr>
              <w:jc w:val="center"/>
              <w:ind w:right="334"/>
              <w:spacing w:after="0"/>
              <w:rPr>
                <w:sz w:val="20"/>
                <w:szCs w:val="20"/>
                <w:color w:val="auto"/>
              </w:rPr>
            </w:pPr>
            <w:r>
              <w:rPr>
                <w:rFonts w:ascii="Times New Roman" w:cs="Times New Roman" w:eastAsia="Times New Roman" w:hAnsi="Times New Roman"/>
                <w:sz w:val="18"/>
                <w:szCs w:val="18"/>
                <w:color w:val="auto"/>
              </w:rPr>
              <w:t>(Commission File Number)</w:t>
            </w:r>
          </w:p>
        </w:tc>
        <w:tc>
          <w:tcPr>
            <w:tcW w:w="320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56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350 Fifth Avenue, 21st Floor</w:t>
            </w:r>
          </w:p>
        </w:tc>
        <w:tc>
          <w:tcPr>
            <w:tcW w:w="3200" w:type="dxa"/>
            <w:vAlign w:val="bottom"/>
          </w:tcPr>
          <w:p>
            <w:pPr>
              <w:spacing w:after="0"/>
              <w:rPr>
                <w:sz w:val="24"/>
                <w:szCs w:val="24"/>
                <w:color w:val="auto"/>
              </w:rPr>
            </w:pPr>
          </w:p>
        </w:tc>
      </w:tr>
      <w:tr>
        <w:trPr>
          <w:trHeight w:val="220"/>
        </w:trPr>
        <w:tc>
          <w:tcPr>
            <w:tcW w:w="356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NY 10118</w:t>
            </w:r>
          </w:p>
        </w:tc>
        <w:tc>
          <w:tcPr>
            <w:tcW w:w="3200" w:type="dxa"/>
            <w:vAlign w:val="bottom"/>
          </w:tcPr>
          <w:p>
            <w:pPr>
              <w:spacing w:after="0"/>
              <w:rPr>
                <w:sz w:val="19"/>
                <w:szCs w:val="19"/>
                <w:color w:val="auto"/>
              </w:rPr>
            </w:pPr>
          </w:p>
        </w:tc>
      </w:tr>
      <w:tr>
        <w:trPr>
          <w:trHeight w:val="234"/>
        </w:trPr>
        <w:tc>
          <w:tcPr>
            <w:tcW w:w="35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320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4480" w:type="dxa"/>
            <w:vAlign w:val="bottom"/>
          </w:tcPr>
          <w:p>
            <w:pPr>
              <w:jc w:val="right"/>
              <w:ind w:right="1754"/>
              <w:spacing w:after="0"/>
              <w:rPr>
                <w:sz w:val="20"/>
                <w:szCs w:val="20"/>
                <w:color w:val="auto"/>
              </w:rPr>
            </w:pPr>
            <w:r>
              <w:rPr>
                <w:rFonts w:ascii="Times New Roman" w:cs="Times New Roman" w:eastAsia="Times New Roman" w:hAnsi="Times New Roman"/>
                <w:sz w:val="18"/>
                <w:szCs w:val="18"/>
                <w:b w:val="1"/>
                <w:bCs w:val="1"/>
                <w:color w:val="auto"/>
              </w:rPr>
              <w:t>(646) 710-3417</w:t>
            </w:r>
          </w:p>
        </w:tc>
        <w:tc>
          <w:tcPr>
            <w:tcW w:w="3200" w:type="dxa"/>
            <w:vAlign w:val="bottom"/>
          </w:tcPr>
          <w:p>
            <w:pPr>
              <w:spacing w:after="0"/>
              <w:rPr>
                <w:sz w:val="24"/>
                <w:szCs w:val="24"/>
                <w:color w:val="auto"/>
              </w:rPr>
            </w:pPr>
          </w:p>
        </w:tc>
      </w:tr>
    </w:tbl>
    <w:p>
      <w:pPr>
        <w:spacing w:after="0" w:line="198"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500" w:type="dxa"/>
        <w:tblCellMar>
          <w:top w:w="0" w:type="dxa"/>
          <w:left w:w="0" w:type="dxa"/>
          <w:bottom w:w="0" w:type="dxa"/>
          <w:right w:w="0" w:type="dxa"/>
        </w:tblCellMar>
      </w:tblPr>
      <w:tr>
        <w:trPr>
          <w:trHeight w:val="245"/>
        </w:trPr>
        <w:tc>
          <w:tcPr>
            <w:tcW w:w="408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10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40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SSTK</w:t>
            </w:r>
          </w:p>
        </w:tc>
        <w:tc>
          <w:tcPr>
            <w:tcW w:w="410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202" w:lineRule="exact"/>
        <w:rPr>
          <w:sz w:val="24"/>
          <w:szCs w:val="24"/>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160" w:hanging="328"/>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April 27, 2022, Shutterstock, Inc. (the “Company”) was informed of the voluntary resignation by Stan Pavlovsky from his position as Chief Executive Officer of the Company. His resignation as Chief Executive Officer is effective on May 3, 2022. He also resigned from the Company’s board of directors (the “Board”) effective April 29, 2022. Mr. Pavlovsky resigned to pursue other business opportunities, and his resignation is not related to any disagreement with the Company on any matter relating to the registrant’s operations, policies or practices.</w:t>
      </w:r>
    </w:p>
    <w:p>
      <w:pPr>
        <w:spacing w:after="0" w:line="18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Effective May 3, 2022, the Board has appointed Jonathan Oringer, current Executive Chairman of the Board and former Chief Executive Officer of the Company, as interim Chief Executive Officer until the Company appoints a permanent Chief Executive Officer. Mr. Oringer, age 48, has served as the Company’s Executive Chairman of the Board since April 2020. Prior to assuming the role of Executive Chairman, Mr. Oringer served as Chief Executive Officer since the founding of the Company in 2003. Mr. Oringer’s compensation as a result of his interim appointment has not changed, and any future change to Mr. Oringer’s compensation as a result of the appointment will be reported in an amended Current Report on Form 8-K. The selection of Mr. Oringer to serve as Interim Chief Executive Officer was not pursuant to any arrangement or understanding with respect to any other person. In addition, there are no family relationships between Mr. Oringer and any director or other executive officer of the Company, and there are no related persons transactions between the Company and Mr. Oringer reportable under Item 404(a) of Regulation S-K.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already begun its search for a successor and is pleased with the progress so far.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executive team remains confident and passionate about the Company’s strategic outlook and, in conjunction with this announcement the Company is re-affirming its previously announced full-year 2022 guidance as set forth in our first quarter earnings press release dated April 26, 2022.</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7.01, shall not be deemed “filed” for purposes of Section 18 of the Exchange Act, or otherwise subject to the liabilities of that section, nor shall it be deemed incorporated by reference into any filing under the Securities Act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Private Securities Litigation Reform Act of 1995. All statements other than statements of historical fact are forward-looking. Examples of forward-looking statements include, but are not limited to, statements regarding guidance, industry prospects, future business, future results of operations or financial condition, future dividends, our ability to consummate acquisitions and integrate the businesses we have acquired or may acquire into our existing operations, new or planned features, products or services, management strategies, our competitive position and the COVID-19 pandemic. You can identify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those discussed under the caption “Risk Factors” in our most recent Annual Report on Form 10-K, as well as in other documents that the Company may file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The forward-looking statements contained in this Form 8-K are made only as of this date and Shutterstock assumes no obligation to update the information included in this Form 8-K or revise any forward-looking statements, whether as a result of new information, future developments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3, 2022</w:t>
      </w:r>
      <w:r>
        <w:rPr>
          <w:sz w:val="20"/>
          <w:szCs w:val="20"/>
          <w:color w:val="auto"/>
        </w:rPr>
        <w:tab/>
      </w:r>
      <w:r>
        <w:rPr>
          <w:rFonts w:ascii="Times New Roman" w:cs="Times New Roman" w:eastAsia="Times New Roman" w:hAnsi="Times New Roman"/>
          <w:sz w:val="17"/>
          <w:szCs w:val="17"/>
          <w:color w:val="auto"/>
        </w:rPr>
        <w:t>By: /s/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Jarrod Yahes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740"/>
      </w:cols>
      <w:pgMar w:left="320" w:top="11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2022-05-03T06:35:34Z</dcterms:created>
  <dcterms:modified xsi:type="dcterms:W3CDTF">2022-05-03T06:35:34Z</dcterms:modified>
</cp:coreProperties>
</file>