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402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24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1600"/>
        <w:spacing w:after="0"/>
        <w:tabs>
          <w:tab w:leader="none" w:pos="618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b w:val="1"/>
          <w:bCs w:val="1"/>
          <w:color w:val="auto"/>
        </w:rPr>
        <w:t>October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224155</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16" w:right="51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001-35669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80-0812659</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2900"/>
          </w:cols>
          <w:pgMar w:left="320" w:top="516" w:right="519" w:bottom="1440" w:gutter="0" w:footer="0" w:header="0"/>
          <w:type w:val="continuous"/>
        </w:sectPr>
      </w:pPr>
    </w:p>
    <w:p>
      <w:pPr>
        <w:spacing w:after="0" w:line="1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350 Fifth Avenue, 20th Floor</w:t>
      </w:r>
    </w:p>
    <w:p>
      <w:pPr>
        <w:spacing w:after="0" w:line="3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9"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(646) 710-3417</w:t>
      </w:r>
    </w:p>
    <w:p>
      <w:pPr>
        <w:spacing w:after="0" w:line="22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060"/>
          </w:cols>
          <w:pgMar w:left="320" w:top="516" w:right="519" w:bottom="1440" w:gutter="0" w:footer="0" w:header="0"/>
          <w:type w:val="continuous"/>
        </w:sectPr>
      </w:pPr>
    </w:p>
    <w:p>
      <w:pPr>
        <w:spacing w:after="0" w:line="225"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140" w:type="dxa"/>
        <w:tblCellMar>
          <w:top w:w="0" w:type="dxa"/>
          <w:left w:w="0" w:type="dxa"/>
          <w:bottom w:w="0" w:type="dxa"/>
          <w:right w:w="0" w:type="dxa"/>
        </w:tblCellMar>
      </w:tblPr>
      <w:tr>
        <w:trPr>
          <w:trHeight w:val="201"/>
        </w:trPr>
        <w:tc>
          <w:tcPr>
            <w:tcW w:w="40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34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w:t>
            </w: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8"/>
        </w:trPr>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SSTK</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16" w:right="519" w:bottom="1440" w:gutter="0" w:footer="0" w:header="0"/>
          <w:type w:val="continuous"/>
        </w:sectPr>
      </w:pPr>
    </w:p>
    <w:bookmarkStart w:id="1" w:name="page2"/>
    <w:bookmarkEnd w:id="1"/>
    <w:p>
      <w:pPr>
        <w:ind w:left="50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October 29, 2024, the Company issued a press release announcing its financial results for the fiscal period ended September 30, 2024. A copy of the press release is furnished as Exhibit 99.1 to this current report and is incorporated herein by reference.</w:t>
      </w:r>
    </w:p>
    <w:p>
      <w:pPr>
        <w:spacing w:after="0" w:line="121" w:lineRule="exact"/>
        <w:rPr>
          <w:sz w:val="20"/>
          <w:szCs w:val="20"/>
          <w:color w:val="auto"/>
        </w:rPr>
      </w:pPr>
    </w:p>
    <w:p>
      <w:pPr>
        <w:ind w:right="220" w:firstLine="486"/>
        <w:spacing w:after="0" w:line="231" w:lineRule="exact"/>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2.02 of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96" w:lineRule="exact"/>
        <w:rPr>
          <w:sz w:val="20"/>
          <w:szCs w:val="20"/>
          <w:color w:val="auto"/>
        </w:rPr>
      </w:pPr>
    </w:p>
    <w:p>
      <w:pPr>
        <w:ind w:left="1460" w:right="940" w:hanging="971"/>
        <w:spacing w:after="0" w:line="286"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On October 24, 2024, Jarrod Yahes notified Shutterstock, Inc. (the “Company”) of his resignation as Chief Financial Officer of the Company, effective November 1, 2024 (the “Effective Date”). Mr. Yahes’ resignation is not due to any disagreement with the Company on any matter relating to the Company’s operations, policies or practices, including accounting principles, practices and disclosures. In connection with his resignation, Mr. Yahes will receive the accrued benefits for a voluntary resignation in accordance with Section 7(c) of the Employment Agreement dated November 7, 2019 by and between the Company and Mr. Yahes, previously filed as Exhibit 10.22 to the Company’s Annual Report on Form 10-K filed with the Securities and Exchange Commission on February 26, 2024 (the “Employment Agreement”), and his outstanding unvested equity awards will be forfeited as of the Effective Date. Mr. Yahes will remain with the Company in an advisory role through December 31, 2024, during which time he will continue to earn his annual base salary until December 31, 2024 and be eligible to earn an annual cash bonus for the full 2024 fiscal year in accordance with Sections 2(a) and 2(b) of the Employment Agreement.</w:t>
      </w:r>
    </w:p>
    <w:p>
      <w:pPr>
        <w:spacing w:after="0" w:line="18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October 28, 2024, the Board of Directors of the Company (the “Board”) unanimously appointed Rik Powell, the Company’s Senior Vice President, Finance and Investor Relations since June 3, 2024, as the Company’s Chief Financial Officer, effective November 1, 2024. Prior to joining the Company, Mr. Powell, 52, was Senior Vice President, Finance and Investor Relations at Shake Shack Inc., a NYSE-traded quick services restaurant group, for two years. Mr. Powell also served as the Chief Financial Officer of Getty Images Holdings, Inc., a NYSE-traded global visual content creator and marketplace, from 2017 to 2020. Mr. Powell hails from Oxford in the United Kingdom and has been a Fellow of the UK Chartered Association of Certified Accountants for a number of years.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 connection with Mr. Powell’s appointment as Chief Financial Officer, the Compensation Committee and the Board approved the key terms of Mr.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Powell’s compensation as follows: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left="1060" w:hanging="323"/>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$450,000;</w:t>
      </w:r>
    </w:p>
    <w:p>
      <w:pPr>
        <w:spacing w:after="0" w:line="27" w:lineRule="exact"/>
        <w:rPr>
          <w:rFonts w:ascii="Times New Roman" w:cs="Times New Roman" w:eastAsia="Times New Roman" w:hAnsi="Times New Roman"/>
          <w:sz w:val="18"/>
          <w:szCs w:val="18"/>
          <w:color w:val="auto"/>
        </w:rPr>
      </w:pPr>
    </w:p>
    <w:p>
      <w:pPr>
        <w:ind w:left="1060" w:right="280" w:hanging="323"/>
        <w:spacing w:after="0" w:line="265" w:lineRule="auto"/>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bonus opportunity with a target award equal to 80% of his base salary, based on the achievement of individual and company performance-based objectives established by the Compensation Committee and pro-rated for his initial year of service at the Company;</w:t>
      </w:r>
    </w:p>
    <w:p>
      <w:pPr>
        <w:ind w:left="1060" w:hanging="323"/>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restricted stock units (“RSUs”) to be granted to Mr. Powell on November 1, 2024 (“Grant Date”).</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number of RSUs to be granted will be calculated by dividing $350,000 by the average of the Company’s closing price for a share of Common Stock on each trading day during the 30 trading days period ending on the date immediately prior to the Grant Date. Such RSUs will vest over a three (3) year period in approximately equal one-third increments on each anniversary of the Grant Date, subject to continued service with the Company through each vesting date in accordance with the terms of the Shutterstock, Inc. Form of Amended and Restated 2022 Omnibus Equity Incentive Plan Restricted Stock Unit Award Agreement previously filed as Exhibit 10.1 to the Company’s Form 8-K filed with the SEC on July 5, 2024, and the Company’s Amended and Restated 2022 Omnibus Incentive Plan previously filed as Exhibit 10.1 to the Company’s Form 8-K filed on June 7, 2024.</w:t>
      </w:r>
    </w:p>
    <w:p>
      <w:pPr>
        <w:spacing w:after="0" w:line="187" w:lineRule="exact"/>
        <w:rPr>
          <w:sz w:val="20"/>
          <w:szCs w:val="20"/>
          <w:color w:val="auto"/>
        </w:rPr>
      </w:pPr>
    </w:p>
    <w:p>
      <w:pPr>
        <w:jc w:val="both"/>
        <w:ind w:right="40" w:firstLine="405"/>
        <w:spacing w:after="0" w:line="257" w:lineRule="auto"/>
        <w:rPr>
          <w:sz w:val="20"/>
          <w:szCs w:val="20"/>
          <w:color w:val="auto"/>
        </w:rPr>
      </w:pPr>
      <w:r>
        <w:rPr>
          <w:rFonts w:ascii="Times New Roman" w:cs="Times New Roman" w:eastAsia="Times New Roman" w:hAnsi="Times New Roman"/>
          <w:sz w:val="18"/>
          <w:szCs w:val="18"/>
          <w:color w:val="auto"/>
        </w:rPr>
        <w:t>There are no arrangements or understandings between Mr. Powell and any other person pursuant to which he was selected as Chief Financial Officer. There are also no family relationships between Mr. Powell and any other director or executive officer of the Company. Mr. Powell has not been involved in any transactions with the Company that would require disclosure under Item 404(a) of Regulation S-K. To the extent any information called for by Item</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5.02(c)(3) of Form 8-K is not determined, the Company will provide such information, if required, in an amendment to this Current Report on Form 8-K within four business days after the information is determined or becomes available.</w:t>
      </w:r>
    </w:p>
    <w:p>
      <w:pPr>
        <w:spacing w:after="0" w:line="177"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8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entitled “Shutterstock Reports Third Quarter 2024 Financial Results” dated October 29, 2024</w:t>
      </w:r>
    </w:p>
    <w:p>
      <w:pPr>
        <w:spacing w:after="0" w:line="225" w:lineRule="exact"/>
        <w:rPr>
          <w:sz w:val="20"/>
          <w:szCs w:val="20"/>
          <w:color w:val="auto"/>
        </w:rPr>
      </w:pPr>
    </w:p>
    <w:p>
      <w:pPr>
        <w:ind w:left="54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October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Paul Hennessy</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17" w:right="8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156845</wp:posOffset>
            </wp:positionV>
            <wp:extent cx="3669030"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690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Reports Third Quarter 2024 Financial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Achieves Record Revenues and Adjusted EBITDA and Increases Guidance for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Departure of CFO and Appointment of Incoming CFO</w:t>
      </w:r>
    </w:p>
    <w:p>
      <w:pPr>
        <w:spacing w:after="0" w:line="20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 October 29, 2024 - </w:t>
      </w:r>
      <w:r>
        <w:rPr>
          <w:rFonts w:ascii="Times New Roman" w:cs="Times New Roman" w:eastAsia="Times New Roman" w:hAnsi="Times New Roman"/>
          <w:sz w:val="18"/>
          <w:szCs w:val="18"/>
          <w:color w:val="auto"/>
        </w:rPr>
        <w:t>Shutterstock, Inc. (NYSE: SSTK) (the “Company”), a leading global creative platform offering high-quality creative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for transformative brands, digital media and marketing companies, today announced financial results for the third quarter ended September 30, 2024.</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Commenting on the Company’s performance, Paul Hennessy, the Company’s Chief Executive Officer, said, “Shutterstock generated record Revenue and Adjusted EBITDA during the third quarter, exceeding our expectations. With the Envato acquisition now closed, we could not be more pleased with the results we are seeing. With the unlimited multi-asset subscription now part of our overall product suite, we are now well positioned to fulfill our customer needs. Content performance improved yet again in the quarter, and Data, Distribution, and Services has grown 40% year to date. As a result of this business momentum, we are pleased to be able to raise our guidance for both revenue and Adjusted EBITDA for 2024.”</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after five years at Shutterstock, Jarrod Yahes, our Chief Financial Officer, will be departing to pursue another opportunity. I want to thank Jarrod for his incredible contributions to Shutterstock and wish him the very best in the future. I’d also like to announce that Rik Powell will become our Chief Financial Officer. Rik started with the Company in June as SVP, Finance and Investor Relations and given Rik’s extensive experience, I am confident that his leadership and expertise will play a vital role in continuing to drive profitable growth for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measures as compared to Third Quarter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Financial Measures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$250.6 million compared to $233.2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$17.6 million compared to $28.4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common share was $0.50 compared to $0.79.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was $46.4 million compared to $45.5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common share was $1.31 compared to $1.26.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$70.0 million compared to $64.7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Envato Pty Ltd.</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July 22, 2024, the Company completed its acquisition of Envato Pty Ltd. (“Envato”) pursuant to a Share Purchase Agreement entered into May 1, 2024, and the Company purchased all of the issued and outstanding capital stock of Envato. The aggregate consideration paid by the Company, after customary working capital and other adjustments, was $250 million.</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revenue of $250.6 million increased $17.3 million or 7% as compared to the third quarter of 2023.</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 from our Content product offering increased $24.9 million, or 14%, as compared to the third quarter of 2023, to $203.7 million. The growth in our Content revenues was driven by revenue generated from Envato. Content revenue represented 81% of our total revenue in the third quarter of 2024. Revenue generated from our Data, Distribution, and Services product offering decreased $7.6 million, or 14%, as compared to the third quarter of 2023, to $46.9 million, and represented 19% of third quarter revenue in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not impacted on a constant currency basis in the three months ended September 30, 2024, compared to the same period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net income per diluted common share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income in the third quarter of 2024 of $17.6 million decreased $10.8 million as compared to net income of $28.4 million for the third quarter in 2023. Net income per diluted common share was $0.50, as compared to $0.79 for the same period in 2023. The 2023 net income and net income per diluted common share benefited from a one-time $9.9 million non-taxable bargain purchase gain associated with the acquisition of Giphy.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common share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Adjusted net income in the third quarter of 2024 of $46.4 million increased $0.8 million as compared to adjusted net income of $45.5 million for the third quarter in 2023. Third quarter 2024 adjusted net income was favorably impacted by the quarter’s revenue growth, partially offset by the costs associated with the acquisition of Envato.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per diluted common share was $1.31 as compared to $1.26 for the third quarter of 2023, an increase of $0.05 per diluted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of $70.0 million for the third quarter of 2024 increased by $5.3 million, or 8%, as compared to the third quarter of 2023, primarily due to the contribution from Envato. Net income margin of 7.0% for the third quarter of 2024 decreased by 5.2%, as compared to 12.2% in the third quarter of 2023. The adjusted EBITDA margin of 27.9% for the third quarter of 2024 increased by 0.2%, as compared to 27.7% in the third quarter of 2023.</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THIRD QUARTER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and cash equivalents increased by $56.5 million to $131.4 million at September 30, 2024, as compared with $74.9 million as of June 30, 2024. This increase was driven by $213.3 million of net cash provided by financing activities, partially offset by $11.6 million of net cash used in our operating activities and $147.9 million of net cash used in investing activities.</w:t>
      </w:r>
    </w:p>
    <w:p>
      <w:pPr>
        <w:spacing w:after="0" w:line="176"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8"/>
          <w:szCs w:val="18"/>
          <w:color w:val="auto"/>
        </w:rPr>
        <w:t>Net cash used in our operating activities was driven by our operating income, and changes in the timing of cash collections from our customers and payments pertaining to operating expenses. Operating cash flows were also unfavorably impacted by payments made for Envato Seller Obligations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payments made for the Giphy Retention Compensation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September 30, 2024 consisted of $159.6 million for the acquisition of Envato, net of cash acquired, and $15.4 million related to capital expenditures and content acquisition, partially offset by $26.9 million related to the receipt of the Giphy Retention Compensation, as reimbursed by the Giphy seller.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September 30, 2024 consisted of $280.0 million in new debt, used for funding the acquisition of Envato, and to pay off the existing Credit Facility. This was partially offset by $30.0 million used for the repayment of our Credit Facility, $21.0 million paid for the repurchase of common stock under our share repurchase program, $10.6 million related to the payment of the quarterly cash dividend, $2.9 million paid in settlement of tax withholding obligations related to employee stock-based compensation awards, and $2.2 million paid for debt issuance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free cash flow was $45.7 million for the third quarter of 2024, an increase of $33.0 million from the third quarter of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CASH DIVIDEND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2024, the Company declared and paid a cash dividend of $0.30 per common share or $10.6 million.</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October 21, 2024, the Board of Directors declared a dividend of $0.30 per share of outstanding common stock, payable on December 13, 2024 to stockholders of record at the close of business on November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6459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31" w:lineRule="exact"/>
        <w:rPr>
          <w:sz w:val="20"/>
          <w:szCs w:val="20"/>
          <w:color w:val="auto"/>
        </w:rPr>
      </w:pPr>
    </w:p>
    <w:p>
      <w:pPr>
        <w:ind w:right="260" w:firstLine="8"/>
        <w:spacing w:after="0" w:line="219" w:lineRule="auto"/>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connection with the purchase of Envato, Envato’s acquired cash included $63.4 million to fund payments to be made on behalf of the Envato sellers after the closing of the acquisition (the “Envato Seller Obligations”). These obligations were triggered upon the closing of the acquisition, and $45.7 million of these obligations were paid as of September 30, 2024. The acquired cash from Envato is reflected as a reduction of the purchase price in cash flows from investing activities.</w:t>
      </w:r>
    </w:p>
    <w:p>
      <w:pPr>
        <w:spacing w:after="0" w:line="199" w:lineRule="exact"/>
        <w:rPr>
          <w:sz w:val="20"/>
          <w:szCs w:val="20"/>
          <w:color w:val="auto"/>
        </w:rPr>
      </w:pPr>
    </w:p>
    <w:p>
      <w:pPr>
        <w:ind w:right="180" w:firstLine="8"/>
        <w:spacing w:after="0" w:line="224" w:lineRule="auto"/>
        <w:tabs>
          <w:tab w:leader="none" w:pos="117"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payments for Giphy Retention Compensation relate to the Company’s payments made to Giphy employees for (i) recurring salary, bonuses, and benefits, (ii) one-time employment inducement bonuses and (iii) vesting of the cash value of unvested Meta equity awards held by the employees prior to closing, which are reflected in the Company’s operating expenses. These payments were required in accordance with the terms of the acquisition and are reported in operating cash flows. The Company received reimbursement for these amounts from Meta, which are reported in cash flows from investing activities.</w:t>
      </w: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80" w:type="dxa"/>
            <w:vAlign w:val="bottom"/>
            <w:gridSpan w:val="8"/>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8"/>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60" w:type="dxa"/>
            <w:vAlign w:val="bottom"/>
            <w:gridSpan w:val="3"/>
          </w:tcPr>
          <w:p>
            <w:pPr>
              <w:jc w:val="center"/>
              <w:ind w:right="40"/>
              <w:spacing w:after="0" w:line="193" w:lineRule="exact"/>
              <w:rPr>
                <w:sz w:val="20"/>
                <w:szCs w:val="20"/>
                <w:color w:val="auto"/>
              </w:rPr>
            </w:pPr>
            <w:r>
              <w:rPr>
                <w:rFonts w:ascii="Times New Roman" w:cs="Times New Roman" w:eastAsia="Times New Roman" w:hAnsi="Times New Roman"/>
                <w:sz w:val="14"/>
                <w:szCs w:val="14"/>
                <w:b w:val="1"/>
                <w:bCs w:val="1"/>
                <w:color w:val="auto"/>
              </w:rPr>
              <w:t>Shutterstock</w:t>
            </w:r>
            <w:r>
              <w:rPr>
                <w:rFonts w:ascii="Times New Roman" w:cs="Times New Roman" w:eastAsia="Times New Roman" w:hAnsi="Times New Roman"/>
                <w:sz w:val="22"/>
                <w:szCs w:val="22"/>
                <w:b w:val="1"/>
                <w:bCs w:val="1"/>
                <w:color w:val="auto"/>
                <w:vertAlign w:val="superscript"/>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line="193" w:lineRule="exact"/>
              <w:rPr>
                <w:sz w:val="20"/>
                <w:szCs w:val="20"/>
                <w:color w:val="auto"/>
              </w:rPr>
            </w:pPr>
            <w:r>
              <w:rPr>
                <w:rFonts w:ascii="Times New Roman" w:cs="Times New Roman" w:eastAsia="Times New Roman" w:hAnsi="Times New Roman"/>
                <w:sz w:val="14"/>
                <w:szCs w:val="14"/>
                <w:b w:val="1"/>
                <w:bCs w:val="1"/>
                <w:color w:val="auto"/>
              </w:rPr>
              <w:t>Envato</w:t>
            </w:r>
            <w:r>
              <w:rPr>
                <w:rFonts w:ascii="Times New Roman" w:cs="Times New Roman" w:eastAsia="Times New Roman" w:hAnsi="Times New Roman"/>
                <w:sz w:val="22"/>
                <w:szCs w:val="22"/>
                <w:b w:val="1"/>
                <w:bCs w:val="1"/>
                <w:color w:val="auto"/>
                <w:vertAlign w:val="superscript"/>
              </w:rPr>
              <w:t>2</w:t>
            </w:r>
          </w:p>
        </w:tc>
        <w:tc>
          <w:tcPr>
            <w:tcW w:w="100" w:type="dxa"/>
            <w:vAlign w:val="bottom"/>
          </w:tcPr>
          <w:p>
            <w:pPr>
              <w:spacing w:after="0"/>
              <w:rPr>
                <w:sz w:val="16"/>
                <w:szCs w:val="16"/>
                <w:color w:val="auto"/>
              </w:rPr>
            </w:pPr>
          </w:p>
        </w:tc>
        <w:tc>
          <w:tcPr>
            <w:tcW w:w="1220" w:type="dxa"/>
            <w:vAlign w:val="bottom"/>
            <w:gridSpan w:val="3"/>
          </w:tcPr>
          <w:p>
            <w:pPr>
              <w:jc w:val="center"/>
              <w:ind w:right="300"/>
              <w:spacing w:after="0" w:line="193" w:lineRule="exact"/>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22"/>
                <w:szCs w:val="22"/>
                <w:b w:val="1"/>
                <w:bCs w:val="1"/>
                <w:color w:val="auto"/>
                <w:vertAlign w:val="superscript"/>
              </w:rPr>
              <w:t>3</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5"/>
                <w:szCs w:val="25"/>
                <w:color w:val="auto"/>
                <w:vertAlign w:val="superscript"/>
              </w:rPr>
              <w:t>(4)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635,000</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551,000</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5"/>
                <w:szCs w:val="25"/>
                <w:color w:val="auto"/>
                <w:vertAlign w:val="superscript"/>
              </w:rPr>
              <w:t>(5)</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5"/>
                <w:szCs w:val="25"/>
                <w:color w:val="auto"/>
                <w:vertAlign w:val="superscript"/>
              </w:rPr>
              <w:t>(6)</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Paid downloads (in millions)</w:t>
            </w:r>
            <w:r>
              <w:rPr>
                <w:rFonts w:ascii="Times New Roman" w:cs="Times New Roman" w:eastAsia="Times New Roman" w:hAnsi="Times New Roman"/>
                <w:sz w:val="25"/>
                <w:szCs w:val="25"/>
                <w:color w:val="auto"/>
                <w:vertAlign w:val="superscript"/>
              </w:rPr>
              <w:t>(7)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439"/>
        </w:trPr>
        <w:tc>
          <w:tcPr>
            <w:tcW w:w="5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60" w:type="dxa"/>
            <w:vAlign w:val="bottom"/>
            <w:gridSpan w:val="3"/>
          </w:tcPr>
          <w:p>
            <w:pPr>
              <w:jc w:val="center"/>
              <w:ind w:right="40"/>
              <w:spacing w:after="0" w:line="193" w:lineRule="exact"/>
              <w:rPr>
                <w:sz w:val="20"/>
                <w:szCs w:val="20"/>
                <w:color w:val="auto"/>
              </w:rPr>
            </w:pPr>
            <w:r>
              <w:rPr>
                <w:rFonts w:ascii="Times New Roman" w:cs="Times New Roman" w:eastAsia="Times New Roman" w:hAnsi="Times New Roman"/>
                <w:sz w:val="14"/>
                <w:szCs w:val="14"/>
                <w:b w:val="1"/>
                <w:bCs w:val="1"/>
                <w:color w:val="auto"/>
              </w:rPr>
              <w:t>Shutterstock</w:t>
            </w:r>
            <w:r>
              <w:rPr>
                <w:rFonts w:ascii="Times New Roman" w:cs="Times New Roman" w:eastAsia="Times New Roman" w:hAnsi="Times New Roman"/>
                <w:sz w:val="22"/>
                <w:szCs w:val="22"/>
                <w:b w:val="1"/>
                <w:bCs w:val="1"/>
                <w:color w:val="auto"/>
                <w:vertAlign w:val="superscript"/>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line="193" w:lineRule="exact"/>
              <w:rPr>
                <w:sz w:val="20"/>
                <w:szCs w:val="20"/>
                <w:color w:val="auto"/>
              </w:rPr>
            </w:pPr>
            <w:r>
              <w:rPr>
                <w:rFonts w:ascii="Times New Roman" w:cs="Times New Roman" w:eastAsia="Times New Roman" w:hAnsi="Times New Roman"/>
                <w:sz w:val="14"/>
                <w:szCs w:val="14"/>
                <w:b w:val="1"/>
                <w:bCs w:val="1"/>
                <w:color w:val="auto"/>
              </w:rPr>
              <w:t>Envato</w:t>
            </w:r>
            <w:r>
              <w:rPr>
                <w:rFonts w:ascii="Times New Roman" w:cs="Times New Roman" w:eastAsia="Times New Roman" w:hAnsi="Times New Roman"/>
                <w:sz w:val="22"/>
                <w:szCs w:val="22"/>
                <w:b w:val="1"/>
                <w:bCs w:val="1"/>
                <w:color w:val="auto"/>
                <w:vertAlign w:val="superscript"/>
              </w:rPr>
              <w:t>2</w:t>
            </w:r>
          </w:p>
        </w:tc>
        <w:tc>
          <w:tcPr>
            <w:tcW w:w="100" w:type="dxa"/>
            <w:vAlign w:val="bottom"/>
          </w:tcPr>
          <w:p>
            <w:pPr>
              <w:spacing w:after="0"/>
              <w:rPr>
                <w:sz w:val="16"/>
                <w:szCs w:val="16"/>
                <w:color w:val="auto"/>
              </w:rPr>
            </w:pPr>
          </w:p>
        </w:tc>
        <w:tc>
          <w:tcPr>
            <w:tcW w:w="1220" w:type="dxa"/>
            <w:vAlign w:val="bottom"/>
            <w:gridSpan w:val="3"/>
          </w:tcPr>
          <w:p>
            <w:pPr>
              <w:jc w:val="center"/>
              <w:ind w:right="300"/>
              <w:spacing w:after="0" w:line="193" w:lineRule="exact"/>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22"/>
                <w:szCs w:val="22"/>
                <w:b w:val="1"/>
                <w:bCs w:val="1"/>
                <w:color w:val="auto"/>
                <w:vertAlign w:val="superscript"/>
              </w:rPr>
              <w:t>3</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5"/>
                <w:szCs w:val="25"/>
                <w:color w:val="auto"/>
                <w:vertAlign w:val="superscript"/>
              </w:rPr>
              <w:t>(4)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635,000</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551,000</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5"/>
                <w:szCs w:val="25"/>
                <w:color w:val="auto"/>
                <w:vertAlign w:val="superscript"/>
              </w:rPr>
              <w:t>(5)</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5"/>
                <w:szCs w:val="25"/>
                <w:color w:val="auto"/>
                <w:vertAlign w:val="superscript"/>
              </w:rPr>
              <w:t>(6)</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Paid downloads (in millions)</w:t>
            </w:r>
            <w:r>
              <w:rPr>
                <w:rFonts w:ascii="Times New Roman" w:cs="Times New Roman" w:eastAsia="Times New Roman" w:hAnsi="Times New Roman"/>
                <w:sz w:val="25"/>
                <w:szCs w:val="25"/>
                <w:color w:val="auto"/>
                <w:vertAlign w:val="superscript"/>
              </w:rPr>
              <w:t>(7)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8"/>
        <w:spacing w:after="0" w:line="258"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Shutterstock, Inc. key operating metrics before combining the Envato related metrics. 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and, for Average Revenue per Customer, from Giphy beginning July 2024. These metrics exclude the respective counts and revenues from our acquisitions of Backgrid and Envato.</w:t>
      </w:r>
    </w:p>
    <w:p>
      <w:pPr>
        <w:spacing w:after="0" w:line="183" w:lineRule="exact"/>
        <w:rPr>
          <w:rFonts w:ascii="Times New Roman" w:cs="Times New Roman" w:eastAsia="Times New Roman" w:hAnsi="Times New Roman"/>
          <w:sz w:val="18"/>
          <w:szCs w:val="18"/>
          <w:color w:val="auto"/>
        </w:rPr>
      </w:pPr>
    </w:p>
    <w:p>
      <w:pPr>
        <w:ind w:right="160" w:firstLine="8"/>
        <w:spacing w:after="0" w:line="266"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 Subscribers and Subscriber Revenue are presented as if Envato was acquired as of the beginning of the period presented, and represent metrics incremental to amounts presented under the “Shutterstock, Inc.” heading. Envato Average revenue per customer is derived from Envato historical results over the last twelve months.</w:t>
      </w:r>
    </w:p>
    <w:p>
      <w:pPr>
        <w:spacing w:after="0" w:line="175" w:lineRule="exact"/>
        <w:rPr>
          <w:rFonts w:ascii="Times New Roman" w:cs="Times New Roman" w:eastAsia="Times New Roman" w:hAnsi="Times New Roman"/>
          <w:sz w:val="18"/>
          <w:szCs w:val="18"/>
          <w:color w:val="auto"/>
        </w:rPr>
      </w:pPr>
    </w:p>
    <w:p>
      <w:pPr>
        <w:ind w:right="62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key operating metrics are derived from (i) the Shutterstock amounts before combining with Envato and (ii) the historical Envato metrics, as discussed in footnote 2 above.</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Subscribers is defined as those customers who purchase one or more of our monthly recurring products for a continuous period of at least three months, measured as of the end of the reporting period.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revenue is defined as the revenue generated from subscribers during the period.</w:t>
      </w:r>
    </w:p>
    <w:p>
      <w:pPr>
        <w:spacing w:after="0" w:line="225"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161"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GUIDANCE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updating its guidance as follows: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guidance of $935 million to $940 million, representing growth of 7% to 7.5% year-over-year.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of between $4.22 to $4.31.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$247 million to $250 million.</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supplement Shutterstock’s consolidated financial statements presented in accordance with the accounting principles generally accepted in the United States, or GAAP, Shutterstock’s management considers certain financial measures that are not prepared in accordance with GAAP, collectively referred to as non-GAAP financial measures, including adjusted EBITDA, adjusted EBITDA margin, adjusted net income, adjusted net income per diluted share, revenue growth (including by distribution channel) on a constant currency basis (expressed as a percentage), billings and adjusted free cash flow.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Shutterstock defines adjusted EBITDA as net income adjusted for depreciation and amortization, non-cash equity-based compensation, bargain purchase gain related to the acquisition of Giphy, Giphy Retention Compensation Expense - non-recurring, foreign currency transaction gains and losses, severance costs associated with strategic workforce optimizations, unrealized losses / gains on investments, interest income and expense and income taxes; adjusted EBITDA margin as the ratio of adjusted EBITDA to revenue; adjusted net income as net income adjusted for the impact of non-cash equity-based compensation, amortization of acquisition-related intangible assets, bargain purchase gain related to the acquisition of Giphy, Giphy Retention Compensation Expense - non-recurring, severance costs associated with strategic workforce optimizations (reported in Other), unrealized losses / gains on investments and the estimated tax impact of such adjustments; adjusted net income per diluted common share as adjusted net income divided by weighted average diluted shares; revenue growth (including by product offering) on a constant currency basis (expressed as a percentage) as the increase in current period revenues over prior period revenues, utilizing fixed exchange rates for translating foreign currency revenues for all periods in the comparison; billings as revenue adjusted for the change in deferred revenue, excluding deferred revenue acquired through business combinations; and adjusted free cash flow as net cash provided by operating activities, adjusted for capital expenditures, content acquisition and cash received related to Giphy Retention Compensation in connection with the acquisition of Giphy and cash paid for Envato Seller Obligations.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United Kingdom Competition and Markets Authority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an ongoing expense necessary to operate the Company’s business. Therefore, such expenses have been included in the below adjustments for calculating adjusted EBITDA, adjusted EBITDA margin, adjusted net income and adjusted net income per diluted common share. For the three months ended September 30, 2024, the Company also incurred $4.5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figures have not been calculated in accordance with GAAP and should be considered only in addition to results prepared in accordance with GAAP and should not be considered as a substitute for, or superior to, GAAP results. Shutterstock cautions investors that non-GAAP financial measures are not based on any standardized methodology prescribed by GAAP and are not necessarily comparable to similarly-titled measures presented by other companies.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Shutterstock’s management believes that adjusted EBITDA, adjusted EBITDA margin, adjusted net income, adjusted net income per diluted common share, revenue growth (including by product offering) on a constant currency basis (expressed as a percentage), billings and adjusted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Shutterstock’s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36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Shutterstock’s management also uses the non-GAAP financial measures adjusted EBITDA, adjusted EBITDA margin, adjusted net income, adjusted net income per diluted common share, revenue growth (including by product offering) on a constant currency basis (expressed as a percentage), billings and adjusted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Reconciliations of the differences between each of our non-GAAP financial measures (adjusted EBITDA, adjusted EBITDA margin, adjusted net income, adjusted net income per diluted common share, revenue growth (including by product offering) on a constant currency basis (expressed as a percentage), billings, adjusted free cash flow), and each measure’s most directly comparable financial measure calculated and presented in accordance with GAAP, are presented under the headings “Reconciliation of Non-GAAP Financial Information to GAAP” and “Supplemental Financial Data” immediately following the Consolidated Balance Sheets.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provide a reconciliation of adjusted EBITDA guidance to net income guidance or a reconciliation of adjusted net income per diluted share guidance to net income per diluted share guidance, because this cannot be done without unreasonable effort due to the impact of potential future transactions, including, but not limited to, capital structure transactions, restructuring, acquisitions, divestitures or other events and asset impairments. These amounts which lack predictability depend on various factors and could have a material impact on net income and net income per diluted share, but may be excluded from adjusted EBITDA and adjusted net income per diluted share. For the same reasons, the Company is unable to address the probable significance of the unavailable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TELECONFERENCE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discuss its third quarter and financial results during a teleconference today, October 29, 2024, at 8:30 AM Eastern Time. The conference call is being webcast live and can be accessed by either visiting the Company's website at http://investor.shutterstock.com/ or clicking here (https://edge.media-server.com/mmc/p/j2xstbqe/) for direct access. The webcast is listen-only.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webcast replay of the call will be available on the Company's website beginning on October 29, 2024 at approximately 10:30 AM Eastern Time.</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ABOUT SHUTTERSTOCK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Shutterstock, Inc. (NYSE: SSTK) is a leading global creative platform offering high-quality creative content for transformative brands, digital media and marketing companies. Fueled by millions of creators around the world, a growing data engine and a dedication to product innovation, Shutterstock is the leading global platform for licensing from the most extensive and diverse collection of high-quality 3D models, videos, music, photographs, vectors and illustrations. From the world's largest content marketplace, to breaking news and A-list entertainment editorial access, to all-in-one content editing platform and studio production services—all using the latest in innovative technology—Shutterstock offers the most comprehensive selection of resources to bring storytelling to life.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at www.shutterstock.com and follow us on LinkedIn, Instagram, X, Facebook and YouTube.</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particularly in the discussion under the caption “2024 Guidance.” All statements other than statements of historical fact are forward-looking. Examples of forward-looking statements include, but are not limited to, statements regarding guidance, industry prospects, future business, future results of operations or financial condition, new or planned features, products or services, management strategies and our competitive position. You can identify forward-looking statements by words such as “may,” “will,” “would,” “should,” “could,” “expect,” “aim,” “anticipate,” “believe,” “estimate,” “intend,” “plan,” “predict,” “project,” “seek,” “potential,” “opportunities,” “targets,” “guidance”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risks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ectPr>
          <w:pgSz w:w="11900" w:h="16838" w:orient="portrait"/>
          <w:cols w:equalWidth="0" w:num="1">
            <w:col w:w="11240"/>
          </w:cols>
          <w:pgMar w:left="320" w:top="117" w:right="33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Rik Powell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ir@shutterstock.com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646-257-4825</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Lori Rodney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press@shutterstock.com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917-563-4991</w:t>
      </w:r>
    </w:p>
    <w:p>
      <w:pPr>
        <w:spacing w:after="0" w:line="200" w:lineRule="exact"/>
        <w:rPr>
          <w:sz w:val="20"/>
          <w:szCs w:val="20"/>
          <w:color w:val="auto"/>
        </w:rPr>
      </w:pPr>
    </w:p>
    <w:p>
      <w:pPr>
        <w:sectPr>
          <w:pgSz w:w="11900" w:h="16838" w:orient="portrait"/>
          <w:cols w:equalWidth="0" w:num="2">
            <w:col w:w="4940" w:space="720"/>
            <w:col w:w="5580"/>
          </w:cols>
          <w:pgMar w:left="320" w:top="117" w:right="339" w:bottom="1440" w:gutter="0" w:footer="0" w:header="0"/>
          <w:type w:val="continuous"/>
        </w:sectPr>
      </w:pP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233,248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684,956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657,368</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283,863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256,798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163,520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152,084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72,722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109,488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232,439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216,056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629,395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591,092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51,804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(1,286)</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120,408</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(Benefit) / Provision for income taxes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17,116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9,133</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35,912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35,486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35,938</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5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44"/>
        </w:trPr>
        <w:tc>
          <w:tcPr>
            <w:tcW w:w="5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80" w:type="dxa"/>
            <w:vAlign w:val="bottom"/>
          </w:tcPr>
          <w:p>
            <w:pPr>
              <w:spacing w:after="0"/>
              <w:rPr>
                <w:sz w:val="21"/>
                <w:szCs w:val="21"/>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414"/>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131,393</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100,490</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of $4,368 and $6,335</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91,139</w:t>
            </w:r>
          </w:p>
        </w:tc>
      </w:tr>
      <w:tr>
        <w:trPr>
          <w:trHeight w:val="223"/>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292,573</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64,300</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15,395</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184,396</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383,325</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24,874</w:t>
            </w:r>
          </w:p>
        </w:tc>
      </w:tr>
      <w:tr>
        <w:trPr>
          <w:trHeight w:val="22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71,152</w:t>
            </w:r>
          </w:p>
        </w:tc>
      </w:tr>
      <w:tr>
        <w:trPr>
          <w:trHeight w:val="223"/>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1,348,841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9,108</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131,443</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Contributor royalties payable</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54,859</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203,463</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23"/>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23,513</w:t>
            </w:r>
          </w:p>
        </w:tc>
      </w:tr>
      <w:tr>
        <w:trPr>
          <w:trHeight w:val="216"/>
        </w:trPr>
        <w:tc>
          <w:tcPr>
            <w:tcW w:w="7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452,386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4,182</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29,404</w:t>
            </w:r>
          </w:p>
        </w:tc>
      </w:tr>
      <w:tr>
        <w:trPr>
          <w:trHeight w:val="223"/>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508,921</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9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 shares authorized; 40,371 and 39,982 shares issued and</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34,850 and 35,572 shares outstanding as of September 30, 2024 and December 31, 2023, respectively</w:t>
            </w: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at cost; 5,521 and 4,410 shares as of September 30, 2024 and December 31, 2023</w:t>
            </w:r>
          </w:p>
        </w:tc>
        <w:tc>
          <w:tcPr>
            <w:tcW w:w="4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(269,804)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(228,213)</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424,229</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(9,494)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(11,974)</w:t>
            </w:r>
          </w:p>
        </w:tc>
      </w:tr>
      <w:tr>
        <w:trPr>
          <w:trHeight w:val="223"/>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348,076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527,094</w:t>
            </w:r>
          </w:p>
        </w:tc>
      </w:tr>
      <w:tr>
        <w:trPr>
          <w:trHeight w:val="223"/>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1,348,841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57"/>
        </w:trPr>
        <w:tc>
          <w:tcPr>
            <w:tcW w:w="7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44"/>
        </w:trPr>
        <w:tc>
          <w:tcPr>
            <w:tcW w:w="79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17,615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111,275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21,643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59,373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(9,269)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(20,814)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(20,960)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equity-based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15,094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36,589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(51,804)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12,474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(18,641)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and non-current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(42,167)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current and non-current liabilities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(30,534)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Envato Seller Obligations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(45,748)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Contributor royalties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 provided by operating activities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(11,585)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106,603</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(14,761)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(34,715)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net of cash acquired</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(159,597)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(179,071)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(53,721)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related to Giphy Retention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26,922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34,707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content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 payment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 provided by investing activities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(147,893)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(156,120)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(61,915)</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treasury shares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(20,999)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related to settlement of employee taxes related to RSU vesting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cash dividends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(10,611)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(9,636)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(31,938)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(29,023)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 (used in) financing activities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213,334</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162,556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(83,234)</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 (decrease)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56,522</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74,871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115,154</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131,393</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131,393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75,228</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r>
      <w:tr>
        <w:trPr>
          <w:trHeight w:val="539"/>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44"/>
        </w:trPr>
        <w:tc>
          <w:tcPr>
            <w:tcW w:w="5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Information to GAAP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net income per diluted share, revenue growth (including by distribution channel) on a constant currency basis (expressed as a percentage), billings and adjusted free cash flow are not financial measures prepared in accordance with United States generally accepted accounting principles (GAAP). Such non-GAAP financial measures should not be construed as alternatives to any other measures of performance determined in accordance with GAAP. Investors are cautioned that non-GAAP financial measures are not based on any standardized methodology prescribed by GAAP and are not necessarily comparable to similarly-titled measures presented by other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 (less) Non-GAAP adjustments: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equity-based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36,589</w:t>
            </w:r>
          </w:p>
        </w:tc>
      </w:tr>
      <w:tr>
        <w:trPr>
          <w:trHeight w:val="216"/>
        </w:trPr>
        <w:tc>
          <w:tcPr>
            <w:tcW w:w="59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Tax effect of non-cash equity-based compensation </w:t>
            </w:r>
            <w:r>
              <w:rPr>
                <w:rFonts w:ascii="Times New Roman" w:cs="Times New Roman" w:eastAsia="Times New Roman" w:hAnsi="Times New Roman"/>
                <w:sz w:val="25"/>
                <w:szCs w:val="25"/>
                <w:color w:val="auto"/>
                <w:vertAlign w:val="superscript"/>
              </w:rPr>
              <w:t>(1)(2)</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(3,547)</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(3,056)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(8,599)</w:t>
            </w:r>
          </w:p>
        </w:tc>
      </w:tr>
      <w:tr>
        <w:trPr>
          <w:trHeight w:val="216"/>
        </w:trPr>
        <w:tc>
          <w:tcPr>
            <w:tcW w:w="59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amortization expense </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25,580</w:t>
            </w:r>
          </w:p>
        </w:tc>
      </w:tr>
      <w:tr>
        <w:trPr>
          <w:trHeight w:val="216"/>
        </w:trPr>
        <w:tc>
          <w:tcPr>
            <w:tcW w:w="59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Tax effect of acquisition-related amortization expense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(2,193)</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(6,499)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Bargain purchase gain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(51,804)</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Giphy Retention Compensation Expense - non-recurring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8,198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25,389</w:t>
            </w:r>
          </w:p>
        </w:tc>
      </w:tr>
      <w:tr>
        <w:trPr>
          <w:trHeight w:val="216"/>
        </w:trPr>
        <w:tc>
          <w:tcPr>
            <w:tcW w:w="59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(2,416)</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(5,967)</w:t>
            </w:r>
          </w:p>
        </w:tc>
      </w:tr>
      <w:tr>
        <w:trPr>
          <w:trHeight w:val="216"/>
        </w:trPr>
        <w:tc>
          <w:tcPr>
            <w:tcW w:w="59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5"/>
                <w:szCs w:val="25"/>
                <w:color w:val="auto"/>
                <w:vertAlign w:val="superscript"/>
              </w:rPr>
              <w:t>(4)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6,825</w:t>
            </w:r>
          </w:p>
        </w:tc>
      </w:tr>
      <w:tr>
        <w:trPr>
          <w:trHeight w:val="216"/>
        </w:trPr>
        <w:tc>
          <w:tcPr>
            <w:tcW w:w="59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(1,536)</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5"/>
                <w:szCs w:val="25"/>
                <w:color w:val="auto"/>
                <w:vertAlign w:val="superscript"/>
              </w:rPr>
              <w:t>(4)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46,351</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45,549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115,369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131,741</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diluted common share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0.79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per diluted common share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36,081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35,838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36,352</w:t>
            </w:r>
          </w:p>
        </w:tc>
      </w:tr>
      <w:tr>
        <w:trPr>
          <w:trHeight w:val="223"/>
        </w:trPr>
        <w:tc>
          <w:tcPr>
            <w:tcW w:w="5980" w:type="dxa"/>
            <w:vAlign w:val="bottom"/>
            <w:tcBorders>
              <w:top w:val="single" w:sz="8" w:color="CCEEFF"/>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CCEEFF"/>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ind w:left="820" w:hanging="488"/>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tax rates are used to calculate the tax effect of the adjustments.</w:t>
      </w:r>
    </w:p>
    <w:p>
      <w:pPr>
        <w:spacing w:after="0" w:line="27" w:lineRule="exact"/>
        <w:rPr>
          <w:rFonts w:ascii="Times New Roman" w:cs="Times New Roman" w:eastAsia="Times New Roman" w:hAnsi="Times New Roman"/>
          <w:sz w:val="18"/>
          <w:szCs w:val="18"/>
          <w:color w:val="auto"/>
        </w:rPr>
      </w:pPr>
    </w:p>
    <w:p>
      <w:pPr>
        <w:ind w:left="820" w:right="180" w:hanging="488"/>
        <w:spacing w:after="0" w:line="250"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2024, the tax effect of non-cash equity-based compensation includes a $6.3 million add-back for the reduction of deferred tax 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spacing w:after="0" w:line="1" w:lineRule="exact"/>
        <w:rPr>
          <w:rFonts w:ascii="Times New Roman" w:cs="Times New Roman" w:eastAsia="Times New Roman" w:hAnsi="Times New Roman"/>
          <w:sz w:val="18"/>
          <w:szCs w:val="18"/>
          <w:color w:val="auto"/>
        </w:rPr>
      </w:pPr>
    </w:p>
    <w:p>
      <w:pPr>
        <w:ind w:left="820" w:right="260" w:hanging="488"/>
        <w:spacing w:after="0" w:line="250"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these amounts, $7.8 million and $8.1 million are included in cost of revenue for the three months ended September 30, 2024 and 2023, respectively, and $24.1 million and $23.4 million are included in cost of revenue for the nine months ended September 30, 2024 and 2023, respectively. The remainder of acquisition-related amortization expense is included in general and administrative expense in the Statement of Operations.</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of unrealized gains and losses on investments and severance costs associated with strategic workforce optimizations.</w:t>
      </w:r>
    </w:p>
    <w:p>
      <w:pPr>
        <w:spacing w:after="0" w:line="37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11"/>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111,275</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 (less) Non-GAAP adjustments: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tcPr>
          <w:p>
            <w:pPr>
              <w:spacing w:after="0"/>
              <w:rPr>
                <w:sz w:val="18"/>
                <w:szCs w:val="18"/>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(2,727)</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 Provision for income taxes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9,133</w:t>
            </w:r>
          </w:p>
        </w:tc>
        <w:tc>
          <w:tcPr>
            <w:tcW w:w="20" w:type="dxa"/>
            <w:vAlign w:val="bottom"/>
          </w:tcPr>
          <w:p>
            <w:pPr>
              <w:spacing w:after="0"/>
              <w:rPr>
                <w:sz w:val="18"/>
                <w:szCs w:val="18"/>
                <w:color w:val="auto"/>
              </w:rPr>
            </w:pPr>
          </w:p>
        </w:tc>
      </w:tr>
      <w:tr>
        <w:trPr>
          <w:trHeight w:val="223"/>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64,339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59,373</w:t>
            </w:r>
          </w:p>
        </w:tc>
        <w:tc>
          <w:tcPr>
            <w:tcW w:w="20" w:type="dxa"/>
            <w:vAlign w:val="bottom"/>
          </w:tcPr>
          <w:p>
            <w:pPr>
              <w:spacing w:after="0"/>
              <w:rPr>
                <w:sz w:val="19"/>
                <w:szCs w:val="19"/>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178,340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equity-based compensation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41,220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36,589</w:t>
            </w:r>
          </w:p>
        </w:tc>
        <w:tc>
          <w:tcPr>
            <w:tcW w:w="20" w:type="dxa"/>
            <w:vAlign w:val="bottom"/>
          </w:tcPr>
          <w:p>
            <w:pPr>
              <w:spacing w:after="0"/>
              <w:rPr>
                <w:sz w:val="18"/>
                <w:szCs w:val="18"/>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Bargain purchase gain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(51,804)</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Giphy Retention Compensation Expense - non-recurring</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25,389</w:t>
            </w:r>
          </w:p>
        </w:tc>
        <w:tc>
          <w:tcPr>
            <w:tcW w:w="20" w:type="dxa"/>
            <w:vAlign w:val="bottom"/>
          </w:tcPr>
          <w:p>
            <w:pPr>
              <w:spacing w:after="0"/>
              <w:rPr>
                <w:sz w:val="18"/>
                <w:szCs w:val="18"/>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(gain) / loss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(887)</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investment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3"/>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Workforce optimization - severance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6,882</w:t>
            </w:r>
          </w:p>
        </w:tc>
        <w:tc>
          <w:tcPr>
            <w:tcW w:w="20" w:type="dxa"/>
            <w:vAlign w:val="bottom"/>
          </w:tcPr>
          <w:p>
            <w:pPr>
              <w:spacing w:after="0"/>
              <w:rPr>
                <w:sz w:val="19"/>
                <w:szCs w:val="19"/>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64,690</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188,046</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194,509</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233,248</w:t>
            </w:r>
          </w:p>
        </w:tc>
        <w:tc>
          <w:tcPr>
            <w:tcW w:w="30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684,956</w:t>
            </w:r>
          </w:p>
        </w:tc>
        <w:tc>
          <w:tcPr>
            <w:tcW w:w="2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657,368</w:t>
            </w: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8"/>
                <w:szCs w:val="18"/>
                <w:color w:val="auto"/>
              </w:rPr>
            </w:pPr>
          </w:p>
        </w:tc>
      </w:tr>
      <w:tr>
        <w:trPr>
          <w:trHeight w:val="27"/>
        </w:trPr>
        <w:tc>
          <w:tcPr>
            <w:tcW w:w="5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410"/>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10"/>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w:t>
            </w:r>
          </w:p>
        </w:tc>
        <w:tc>
          <w:tcPr>
            <w:tcW w:w="20" w:type="dxa"/>
            <w:vAlign w:val="bottom"/>
          </w:tcPr>
          <w:p>
            <w:pPr>
              <w:spacing w:after="0"/>
              <w:rPr>
                <w:sz w:val="24"/>
                <w:szCs w:val="24"/>
                <w:color w:val="auto"/>
              </w:rPr>
            </w:pPr>
          </w:p>
        </w:tc>
        <w:tc>
          <w:tcPr>
            <w:tcW w:w="2760" w:type="dxa"/>
            <w:vAlign w:val="bottom"/>
            <w:gridSpan w:val="1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Revenue (in thousands)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Revenue growth</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 growth on a constant currency basis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Content reported revenue (in thousands)</w:t>
            </w:r>
          </w:p>
        </w:tc>
        <w:tc>
          <w:tcPr>
            <w:tcW w:w="4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203,713</w:t>
            </w: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178,791</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547,494</w:t>
            </w:r>
          </w:p>
        </w:tc>
        <w:tc>
          <w:tcPr>
            <w:tcW w:w="180" w:type="dxa"/>
            <w:vAlign w:val="bottom"/>
          </w:tcPr>
          <w:p>
            <w:pPr>
              <w:spacing w:after="0"/>
              <w:rPr>
                <w:sz w:val="18"/>
                <w:szCs w:val="18"/>
                <w:color w:val="auto"/>
              </w:rPr>
            </w:pPr>
          </w:p>
        </w:tc>
        <w:tc>
          <w:tcPr>
            <w:tcW w:w="2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559,738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Content revenue growth</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Content revenue growth on a constant currency basis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Data, Distribution, and Services reported revenue (in thousands)</w:t>
            </w:r>
          </w:p>
        </w:tc>
        <w:tc>
          <w:tcPr>
            <w:tcW w:w="4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46,875</w:t>
            </w: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54,457</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137,462</w:t>
            </w:r>
          </w:p>
        </w:tc>
        <w:tc>
          <w:tcPr>
            <w:tcW w:w="180" w:type="dxa"/>
            <w:vAlign w:val="bottom"/>
          </w:tcPr>
          <w:p>
            <w:pPr>
              <w:spacing w:after="0"/>
              <w:rPr>
                <w:sz w:val="18"/>
                <w:szCs w:val="18"/>
                <w:color w:val="auto"/>
              </w:rPr>
            </w:pPr>
          </w:p>
        </w:tc>
        <w:tc>
          <w:tcPr>
            <w:tcW w:w="2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Data, Distribution, and Services revenue growth</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8"/>
                <w:szCs w:val="18"/>
                <w:color w:val="auto"/>
              </w:rPr>
            </w:pPr>
          </w:p>
        </w:tc>
      </w:tr>
      <w:tr>
        <w:trPr>
          <w:trHeight w:val="196"/>
        </w:trPr>
        <w:tc>
          <w:tcPr>
            <w:tcW w:w="540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Data, Distribution, and Services revenue growth on a constant currency</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basis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20"/>
                <w:szCs w:val="20"/>
                <w:color w:val="auto"/>
              </w:rPr>
            </w:pPr>
          </w:p>
        </w:tc>
      </w:tr>
      <w:tr>
        <w:trPr>
          <w:trHeight w:val="557"/>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r>
      <w:tr>
        <w:trPr>
          <w:trHeight w:val="44"/>
        </w:trPr>
        <w:tc>
          <w:tcPr>
            <w:tcW w:w="5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 provided by operating activities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(11,585)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106,603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 provided by investing activities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(147,893)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(156,120)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(61,915)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 (used in) financing activities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(83,234)</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 provided by operating activities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(11,585)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106,603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(14,761)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(34,715)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Content acquisitions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related to Giphy Retention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34,707</w:t>
            </w:r>
          </w:p>
        </w:tc>
      </w:tr>
      <w:tr>
        <w:trPr>
          <w:trHeight w:val="223"/>
        </w:trPr>
        <w:tc>
          <w:tcPr>
            <w:tcW w:w="59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Cash paid for Envato Seller Obligations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45,748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500" w:right="8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 Seller Obligations relate to payments made on behalf of the Envato sellers’ after the closing of the acquisition. These liabilities were funded from the acquired cash on the Envato balance sheet and are not indicative of obligations and cash flows to be incurred prospectively.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547,494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559,738</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Data, Distribution, and Services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46,875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54,457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137,462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97,630</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250,588</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233,248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684,956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Change in total deferred revenue</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(7,043)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(23,984)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16,030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billings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243,545</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228,865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660,972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673,398</w:t>
            </w:r>
          </w:p>
        </w:tc>
      </w:tr>
      <w:tr>
        <w:trPr>
          <w:trHeight w:val="27"/>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9891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Change in total deferred revenue excludes deferred revenue acquired through business combinations.</w:t>
      </w:r>
    </w:p>
    <w:p>
      <w:pPr>
        <w:spacing w:after="0" w:line="39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Historical Operating Metrics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9/30/24</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6/30/24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3/31/24</w:t>
            </w:r>
          </w:p>
        </w:tc>
        <w:tc>
          <w:tcPr>
            <w:tcW w:w="1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9/30/23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6/30/23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3/31/23</w:t>
            </w:r>
          </w:p>
        </w:tc>
        <w:tc>
          <w:tcPr>
            <w:tcW w:w="18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Subscribers (end of period, in thousands) </w:t>
            </w:r>
            <w:r>
              <w:rPr>
                <w:rFonts w:ascii="Times New Roman" w:cs="Times New Roman" w:eastAsia="Times New Roman" w:hAnsi="Times New Roman"/>
                <w:sz w:val="25"/>
                <w:szCs w:val="25"/>
                <w:color w:val="auto"/>
                <w:vertAlign w:val="superscript"/>
              </w:rPr>
              <w:t>(1)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Subscriber revenue (in millions) </w:t>
            </w:r>
            <w:r>
              <w:rPr>
                <w:rFonts w:ascii="Times New Roman" w:cs="Times New Roman" w:eastAsia="Times New Roman" w:hAnsi="Times New Roman"/>
                <w:sz w:val="25"/>
                <w:szCs w:val="25"/>
                <w:color w:val="auto"/>
                <w:vertAlign w:val="superscript"/>
              </w:rPr>
              <w:t>(2)</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Average revenue per customer (last twelve months) </w:t>
            </w:r>
            <w:r>
              <w:rPr>
                <w:rFonts w:ascii="Times New Roman" w:cs="Times New Roman" w:eastAsia="Times New Roman" w:hAnsi="Times New Roman"/>
                <w:sz w:val="25"/>
                <w:szCs w:val="25"/>
                <w:color w:val="auto"/>
                <w:vertAlign w:val="superscript"/>
              </w:rPr>
              <w:t>(3)</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Paid downloads (in millions) </w:t>
            </w:r>
            <w:r>
              <w:rPr>
                <w:rFonts w:ascii="Times New Roman" w:cs="Times New Roman" w:eastAsia="Times New Roman" w:hAnsi="Times New Roman"/>
                <w:sz w:val="25"/>
                <w:szCs w:val="25"/>
                <w:color w:val="auto"/>
                <w:vertAlign w:val="superscript"/>
              </w:rPr>
              <w:t>(4)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and, for Average Revenue per Customer, from Giphy starting July 2024. These metrics exclude the respective counts and revenues from Backgrid and Envato.</w:t>
      </w:r>
    </w:p>
    <w:p>
      <w:pPr>
        <w:spacing w:after="0" w:line="180" w:lineRule="exact"/>
        <w:rPr>
          <w:sz w:val="20"/>
          <w:szCs w:val="20"/>
          <w:color w:val="auto"/>
        </w:rPr>
      </w:pPr>
    </w:p>
    <w:p>
      <w:pPr>
        <w:ind w:right="6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Subscribers is defined as those customers who purchase one or more of our monthly recurring products for a continuous period of at least three months, measured as of the end of the reporting period. Envato subscribers for the period ended September 30, 2024 were 0.6 million.</w:t>
      </w:r>
    </w:p>
    <w:p>
      <w:pPr>
        <w:spacing w:after="0" w:line="161" w:lineRule="exact"/>
        <w:rPr>
          <w:rFonts w:ascii="Times New Roman" w:cs="Times New Roman" w:eastAsia="Times New Roman" w:hAnsi="Times New Roman"/>
          <w:sz w:val="18"/>
          <w:szCs w:val="18"/>
          <w:color w:val="auto"/>
        </w:rPr>
      </w:pPr>
    </w:p>
    <w:p>
      <w:pPr>
        <w:ind w:right="40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revenue is defined as the revenue generated from subscribers during the period. Envato’s subscriber revenue for the three months ended September 30, 2024 was $34.4 million.</w:t>
      </w:r>
    </w:p>
    <w:p>
      <w:pPr>
        <w:spacing w:after="0" w:line="161" w:lineRule="exact"/>
        <w:rPr>
          <w:rFonts w:ascii="Times New Roman" w:cs="Times New Roman" w:eastAsia="Times New Roman" w:hAnsi="Times New Roman"/>
          <w:sz w:val="18"/>
          <w:szCs w:val="18"/>
          <w:color w:val="auto"/>
        </w:rPr>
      </w:pPr>
    </w:p>
    <w:p>
      <w:pPr>
        <w:ind w:right="320" w:firstLine="8"/>
        <w:spacing w:after="0" w:line="26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Customers is defined as total active, paying customers that contributed to total revenue over the last twelve-month period. Envato’s average revenue per customer for the last twelve-month period ended September 30, 2024 was $85 per customer.</w:t>
      </w:r>
    </w:p>
    <w:p>
      <w:pPr>
        <w:spacing w:after="0" w:line="175"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 Envato had 79.4 million paid downloads during the three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by expense category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9/30/24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6/30/24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3/31/24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12/31/23</w:t>
            </w:r>
          </w:p>
        </w:tc>
        <w:tc>
          <w:tcPr>
            <w:tcW w:w="1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9/30/23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3/31/23</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12/31/22</w:t>
            </w:r>
          </w:p>
        </w:tc>
        <w:tc>
          <w:tcPr>
            <w:tcW w:w="100" w:type="dxa"/>
            <w:vAlign w:val="bottom"/>
          </w:tcPr>
          <w:p>
            <w:pPr>
              <w:spacing w:after="0"/>
              <w:rPr>
                <w:sz w:val="19"/>
                <w:szCs w:val="19"/>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3,167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4,171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3,085</w:t>
            </w: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7,338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6,630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6,620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7,247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7,929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7,111</w:t>
            </w:r>
          </w:p>
        </w:tc>
      </w:tr>
      <w:tr>
        <w:trPr>
          <w:trHeight w:val="223"/>
        </w:trPr>
        <w:tc>
          <w:tcPr>
            <w:tcW w:w="33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non-cash equity-based compensation</w:t>
            </w: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15,094</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2"/>
        </w:trPr>
        <w:tc>
          <w:tcPr>
            <w:tcW w:w="4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by expense category</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9/30/24</w:t>
            </w:r>
          </w:p>
        </w:tc>
        <w:tc>
          <w:tcPr>
            <w:tcW w:w="180" w:type="dxa"/>
            <w:vAlign w:val="bottom"/>
          </w:tcPr>
          <w:p>
            <w:pPr>
              <w:spacing w:after="0"/>
              <w:rPr>
                <w:sz w:val="19"/>
                <w:szCs w:val="19"/>
                <w:color w:val="auto"/>
              </w:rPr>
            </w:pPr>
          </w:p>
        </w:tc>
        <w:tc>
          <w:tcPr>
            <w:tcW w:w="84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6/30/24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3/31/24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9/30/23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6/30/23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3/31/23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00" w:type="dxa"/>
            <w:vAlign w:val="bottom"/>
          </w:tcPr>
          <w:p>
            <w:pPr>
              <w:spacing w:after="0"/>
              <w:rPr>
                <w:sz w:val="19"/>
                <w:szCs w:val="19"/>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4"/>
          </w:tcPr>
          <w:p>
            <w:pPr>
              <w:spacing w:after="0"/>
              <w:rPr>
                <w:sz w:val="18"/>
                <w:szCs w:val="18"/>
                <w:color w:val="auto"/>
              </w:rPr>
            </w:pPr>
          </w:p>
        </w:tc>
        <w:tc>
          <w:tcPr>
            <w:tcW w:w="4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4"/>
          </w:tcPr>
          <w:p>
            <w:pPr>
              <w:spacing w:after="0"/>
              <w:rPr>
                <w:sz w:val="18"/>
                <w:szCs w:val="18"/>
                <w:color w:val="auto"/>
              </w:rPr>
            </w:pPr>
          </w:p>
        </w:tc>
        <w:tc>
          <w:tcPr>
            <w:tcW w:w="3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spacing w:after="0"/>
              <w:rPr>
                <w:sz w:val="18"/>
                <w:szCs w:val="18"/>
                <w:color w:val="auto"/>
              </w:rPr>
            </w:pPr>
          </w:p>
        </w:tc>
        <w:tc>
          <w:tcPr>
            <w:tcW w:w="2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4"/>
          </w:tcPr>
          <w:p>
            <w:pPr>
              <w:spacing w:after="0"/>
              <w:rPr>
                <w:sz w:val="18"/>
                <w:szCs w:val="18"/>
                <w:color w:val="auto"/>
              </w:rPr>
            </w:pPr>
          </w:p>
        </w:tc>
        <w:tc>
          <w:tcPr>
            <w:tcW w:w="1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3"/>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20,087</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19,874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19,872</w:t>
            </w:r>
          </w:p>
        </w:tc>
        <w:tc>
          <w:tcPr>
            <w:tcW w:w="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18,134</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17,866</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00" w:type="dxa"/>
            <w:vAlign w:val="bottom"/>
            <w:shd w:val="clear" w:color="auto" w:fill="CCEEFF"/>
          </w:tcPr>
          <w:p>
            <w:pPr>
              <w:spacing w:after="0"/>
              <w:rPr>
                <w:sz w:val="18"/>
                <w:szCs w:val="18"/>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r>
      <w:tr>
        <w:trPr>
          <w:trHeight w:val="223"/>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21,263</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20,356</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18,897</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2024-10-29T06:41:31Z</dcterms:created>
  <dcterms:modified xsi:type="dcterms:W3CDTF">2024-10-29T06:41:31Z</dcterms:modified>
</cp:coreProperties>
</file>