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356870</wp:posOffset>
            </wp:positionH>
            <wp:positionV relativeFrom="page">
              <wp:posOffset>768985</wp:posOffset>
            </wp:positionV>
            <wp:extent cx="704723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47230" cy="5715"/>
                    </a:xfrm>
                    <a:prstGeom prst="rect">
                      <a:avLst/>
                    </a:prstGeom>
                    <a:noFill/>
                  </pic:spPr>
                </pic:pic>
              </a:graphicData>
            </a:graphic>
          </wp:anchor>
        </w:drawing>
        <w:drawing>
          <wp:anchor simplePos="0" relativeHeight="251657728" behindDoc="1" locked="0" layoutInCell="0" allowOverlap="1">
            <wp:simplePos x="0" y="0"/>
            <wp:positionH relativeFrom="page">
              <wp:posOffset>356870</wp:posOffset>
            </wp:positionH>
            <wp:positionV relativeFrom="page">
              <wp:posOffset>740410</wp:posOffset>
            </wp:positionV>
            <wp:extent cx="704723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47230" cy="11430"/>
                    </a:xfrm>
                    <a:prstGeom prst="rect">
                      <a:avLst/>
                    </a:prstGeom>
                    <a:noFill/>
                  </pic:spPr>
                </pic:pic>
              </a:graphicData>
            </a:graphic>
          </wp:anchor>
        </w:drawing>
        <w:t>UNITED STATES</w:t>
      </w:r>
    </w:p>
    <w:p>
      <w:pPr>
        <w:spacing w:after="0" w:line="7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9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-169545</wp:posOffset>
            </wp:positionH>
            <wp:positionV relativeFrom="paragraph">
              <wp:posOffset>70485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95"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-169545</wp:posOffset>
            </wp:positionH>
            <wp:positionV relativeFrom="paragraph">
              <wp:posOffset>30480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10"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3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February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-169545</wp:posOffset>
            </wp:positionH>
            <wp:positionV relativeFrom="paragraph">
              <wp:posOffset>24765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3"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-169545</wp:posOffset>
            </wp:positionH>
            <wp:positionV relativeFrom="paragraph">
              <wp:posOffset>30480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-169545</wp:posOffset>
            </wp:positionH>
            <wp:positionV relativeFrom="paragraph">
              <wp:posOffset>22225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80" w:lineRule="exact"/>
        <w:rPr>
          <w:sz w:val="24"/>
          <w:szCs w:val="24"/>
          <w:color w:val="auto"/>
        </w:rPr>
      </w:pPr>
    </w:p>
    <w:tbl>
      <w:tblPr>
        <w:tblLayout w:type="fixed"/>
        <w:tblInd w:w="960" w:type="dxa"/>
        <w:tblCellMar>
          <w:top w:w="0" w:type="dxa"/>
          <w:left w:w="0" w:type="dxa"/>
          <w:bottom w:w="0" w:type="dxa"/>
          <w:right w:w="0" w:type="dxa"/>
        </w:tblCellMar>
      </w:tblPr>
      <w:tr>
        <w:trPr>
          <w:trHeight w:val="159"/>
        </w:trPr>
        <w:tc>
          <w:tcPr>
            <w:tcW w:w="2000" w:type="dxa"/>
            <w:vAlign w:val="bottom"/>
          </w:tcPr>
          <w:p>
            <w:pPr>
              <w:jc w:val="center"/>
              <w:ind w:right="948"/>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920" w:type="dxa"/>
            <w:vAlign w:val="bottom"/>
          </w:tcPr>
          <w:p>
            <w:pPr>
              <w:jc w:val="center"/>
              <w:ind w:right="23"/>
              <w:spacing w:after="0"/>
              <w:rPr>
                <w:sz w:val="20"/>
                <w:szCs w:val="20"/>
                <w:color w:val="auto"/>
              </w:rPr>
            </w:pPr>
            <w:r>
              <w:rPr>
                <w:rFonts w:ascii="Times New Roman" w:cs="Times New Roman" w:eastAsia="Times New Roman" w:hAnsi="Times New Roman"/>
                <w:sz w:val="12"/>
                <w:szCs w:val="12"/>
                <w:b w:val="1"/>
                <w:bCs w:val="1"/>
                <w:color w:val="auto"/>
                <w:w w:val="99"/>
              </w:rPr>
              <w:t>001-35669</w:t>
            </w:r>
          </w:p>
        </w:tc>
        <w:tc>
          <w:tcPr>
            <w:tcW w:w="1780" w:type="dxa"/>
            <w:vAlign w:val="bottom"/>
          </w:tcPr>
          <w:p>
            <w:pPr>
              <w:jc w:val="center"/>
              <w:ind w:left="1028"/>
              <w:spacing w:after="0"/>
              <w:rPr>
                <w:sz w:val="20"/>
                <w:szCs w:val="20"/>
                <w:color w:val="auto"/>
              </w:rPr>
            </w:pPr>
            <w:r>
              <w:rPr>
                <w:rFonts w:ascii="Times New Roman" w:cs="Times New Roman" w:eastAsia="Times New Roman" w:hAnsi="Times New Roman"/>
                <w:sz w:val="12"/>
                <w:szCs w:val="12"/>
                <w:b w:val="1"/>
                <w:bCs w:val="1"/>
                <w:color w:val="auto"/>
                <w:w w:val="99"/>
              </w:rPr>
              <w:t>80-0812659</w:t>
            </w:r>
          </w:p>
        </w:tc>
      </w:tr>
      <w:tr>
        <w:trPr>
          <w:trHeight w:val="130"/>
        </w:trPr>
        <w:tc>
          <w:tcPr>
            <w:tcW w:w="2000" w:type="dxa"/>
            <w:vAlign w:val="bottom"/>
          </w:tcPr>
          <w:p>
            <w:pPr>
              <w:jc w:val="center"/>
              <w:ind w:right="948"/>
              <w:spacing w:after="0"/>
              <w:rPr>
                <w:sz w:val="20"/>
                <w:szCs w:val="20"/>
                <w:color w:val="auto"/>
              </w:rPr>
            </w:pPr>
            <w:r>
              <w:rPr>
                <w:rFonts w:ascii="Times New Roman" w:cs="Times New Roman" w:eastAsia="Times New Roman" w:hAnsi="Times New Roman"/>
                <w:sz w:val="10"/>
                <w:szCs w:val="10"/>
                <w:color w:val="auto"/>
                <w:w w:val="94"/>
              </w:rPr>
              <w:t>(State or other jurisdiction</w:t>
            </w:r>
          </w:p>
        </w:tc>
        <w:tc>
          <w:tcPr>
            <w:tcW w:w="4920" w:type="dxa"/>
            <w:vAlign w:val="bottom"/>
          </w:tcPr>
          <w:p>
            <w:pPr>
              <w:jc w:val="center"/>
              <w:ind w:right="23"/>
              <w:spacing w:after="0"/>
              <w:rPr>
                <w:sz w:val="20"/>
                <w:szCs w:val="20"/>
                <w:color w:val="auto"/>
              </w:rPr>
            </w:pPr>
            <w:r>
              <w:rPr>
                <w:rFonts w:ascii="Times New Roman" w:cs="Times New Roman" w:eastAsia="Times New Roman" w:hAnsi="Times New Roman"/>
                <w:sz w:val="10"/>
                <w:szCs w:val="10"/>
                <w:color w:val="auto"/>
                <w:w w:val="96"/>
              </w:rPr>
              <w:t>(Commission</w:t>
            </w:r>
          </w:p>
        </w:tc>
        <w:tc>
          <w:tcPr>
            <w:tcW w:w="1780" w:type="dxa"/>
            <w:vAlign w:val="bottom"/>
          </w:tcPr>
          <w:p>
            <w:pPr>
              <w:jc w:val="center"/>
              <w:ind w:left="1028"/>
              <w:spacing w:after="0"/>
              <w:rPr>
                <w:sz w:val="20"/>
                <w:szCs w:val="20"/>
                <w:color w:val="auto"/>
              </w:rPr>
            </w:pPr>
            <w:r>
              <w:rPr>
                <w:rFonts w:ascii="Times New Roman" w:cs="Times New Roman" w:eastAsia="Times New Roman" w:hAnsi="Times New Roman"/>
                <w:sz w:val="10"/>
                <w:szCs w:val="10"/>
                <w:color w:val="auto"/>
                <w:w w:val="95"/>
              </w:rPr>
              <w:t>(IRS Employer</w:t>
            </w:r>
          </w:p>
        </w:tc>
      </w:tr>
      <w:tr>
        <w:trPr>
          <w:trHeight w:val="123"/>
        </w:trPr>
        <w:tc>
          <w:tcPr>
            <w:tcW w:w="2000" w:type="dxa"/>
            <w:vAlign w:val="bottom"/>
          </w:tcPr>
          <w:p>
            <w:pPr>
              <w:jc w:val="center"/>
              <w:ind w:right="968"/>
              <w:spacing w:after="0"/>
              <w:rPr>
                <w:sz w:val="20"/>
                <w:szCs w:val="20"/>
                <w:color w:val="auto"/>
              </w:rPr>
            </w:pPr>
            <w:r>
              <w:rPr>
                <w:rFonts w:ascii="Times New Roman" w:cs="Times New Roman" w:eastAsia="Times New Roman" w:hAnsi="Times New Roman"/>
                <w:sz w:val="10"/>
                <w:szCs w:val="10"/>
                <w:color w:val="auto"/>
                <w:w w:val="96"/>
              </w:rPr>
              <w:t>of incorporation)</w:t>
            </w:r>
          </w:p>
        </w:tc>
        <w:tc>
          <w:tcPr>
            <w:tcW w:w="4920" w:type="dxa"/>
            <w:vAlign w:val="bottom"/>
          </w:tcPr>
          <w:p>
            <w:pPr>
              <w:jc w:val="center"/>
              <w:ind w:right="23"/>
              <w:spacing w:after="0"/>
              <w:rPr>
                <w:sz w:val="20"/>
                <w:szCs w:val="20"/>
                <w:color w:val="auto"/>
              </w:rPr>
            </w:pPr>
            <w:r>
              <w:rPr>
                <w:rFonts w:ascii="Times New Roman" w:cs="Times New Roman" w:eastAsia="Times New Roman" w:hAnsi="Times New Roman"/>
                <w:sz w:val="10"/>
                <w:szCs w:val="10"/>
                <w:color w:val="auto"/>
                <w:w w:val="95"/>
              </w:rPr>
              <w:t>File Number)</w:t>
            </w:r>
          </w:p>
        </w:tc>
        <w:tc>
          <w:tcPr>
            <w:tcW w:w="1780" w:type="dxa"/>
            <w:vAlign w:val="bottom"/>
          </w:tcPr>
          <w:p>
            <w:pPr>
              <w:jc w:val="center"/>
              <w:ind w:left="1008"/>
              <w:spacing w:after="0"/>
              <w:rPr>
                <w:sz w:val="20"/>
                <w:szCs w:val="20"/>
                <w:color w:val="auto"/>
              </w:rPr>
            </w:pPr>
            <w:r>
              <w:rPr>
                <w:rFonts w:ascii="Times New Roman" w:cs="Times New Roman" w:eastAsia="Times New Roman" w:hAnsi="Times New Roman"/>
                <w:sz w:val="10"/>
                <w:szCs w:val="10"/>
                <w:color w:val="auto"/>
                <w:w w:val="96"/>
              </w:rPr>
              <w:t>Identification No.)</w:t>
            </w:r>
          </w:p>
        </w:tc>
      </w:tr>
      <w:tr>
        <w:trPr>
          <w:trHeight w:val="290"/>
        </w:trPr>
        <w:tc>
          <w:tcPr>
            <w:tcW w:w="2000" w:type="dxa"/>
            <w:vAlign w:val="bottom"/>
          </w:tcPr>
          <w:p>
            <w:pPr>
              <w:spacing w:after="0"/>
              <w:rPr>
                <w:sz w:val="24"/>
                <w:szCs w:val="24"/>
                <w:color w:val="auto"/>
              </w:rPr>
            </w:pPr>
          </w:p>
        </w:tc>
        <w:tc>
          <w:tcPr>
            <w:tcW w:w="4920" w:type="dxa"/>
            <w:vAlign w:val="bottom"/>
          </w:tcPr>
          <w:p>
            <w:pPr>
              <w:jc w:val="center"/>
              <w:ind w:right="3"/>
              <w:spacing w:after="0"/>
              <w:rPr>
                <w:sz w:val="20"/>
                <w:szCs w:val="20"/>
                <w:color w:val="auto"/>
              </w:rPr>
            </w:pPr>
            <w:r>
              <w:rPr>
                <w:rFonts w:ascii="Times New Roman" w:cs="Times New Roman" w:eastAsia="Times New Roman" w:hAnsi="Times New Roman"/>
                <w:sz w:val="12"/>
                <w:szCs w:val="12"/>
                <w:b w:val="1"/>
                <w:bCs w:val="1"/>
                <w:color w:val="auto"/>
                <w:w w:val="98"/>
              </w:rPr>
              <w:t>350 Fifth Avenue, 20th Floor</w:t>
            </w:r>
          </w:p>
        </w:tc>
        <w:tc>
          <w:tcPr>
            <w:tcW w:w="1780" w:type="dxa"/>
            <w:vAlign w:val="bottom"/>
          </w:tcPr>
          <w:p>
            <w:pPr>
              <w:spacing w:after="0"/>
              <w:rPr>
                <w:sz w:val="24"/>
                <w:szCs w:val="24"/>
                <w:color w:val="auto"/>
              </w:rPr>
            </w:pPr>
          </w:p>
        </w:tc>
      </w:tr>
      <w:tr>
        <w:trPr>
          <w:trHeight w:val="148"/>
        </w:trPr>
        <w:tc>
          <w:tcPr>
            <w:tcW w:w="2000" w:type="dxa"/>
            <w:vAlign w:val="bottom"/>
          </w:tcPr>
          <w:p>
            <w:pPr>
              <w:spacing w:after="0"/>
              <w:rPr>
                <w:sz w:val="12"/>
                <w:szCs w:val="12"/>
                <w:color w:val="auto"/>
              </w:rPr>
            </w:pPr>
          </w:p>
        </w:tc>
        <w:tc>
          <w:tcPr>
            <w:tcW w:w="4920" w:type="dxa"/>
            <w:vAlign w:val="bottom"/>
          </w:tcPr>
          <w:p>
            <w:pPr>
              <w:jc w:val="center"/>
              <w:ind w:right="3"/>
              <w:spacing w:after="0"/>
              <w:rPr>
                <w:sz w:val="20"/>
                <w:szCs w:val="20"/>
                <w:color w:val="auto"/>
              </w:rPr>
            </w:pPr>
            <w:r>
              <w:rPr>
                <w:rFonts w:ascii="Times New Roman" w:cs="Times New Roman" w:eastAsia="Times New Roman" w:hAnsi="Times New Roman"/>
                <w:sz w:val="12"/>
                <w:szCs w:val="12"/>
                <w:b w:val="1"/>
                <w:bCs w:val="1"/>
                <w:color w:val="auto"/>
                <w:w w:val="97"/>
              </w:rPr>
              <w:t>New York, NY 10118</w:t>
            </w:r>
          </w:p>
        </w:tc>
        <w:tc>
          <w:tcPr>
            <w:tcW w:w="1780" w:type="dxa"/>
            <w:vAlign w:val="bottom"/>
          </w:tcPr>
          <w:p>
            <w:pPr>
              <w:spacing w:after="0"/>
              <w:rPr>
                <w:sz w:val="12"/>
                <w:szCs w:val="12"/>
                <w:color w:val="auto"/>
              </w:rPr>
            </w:pPr>
          </w:p>
        </w:tc>
      </w:tr>
      <w:tr>
        <w:trPr>
          <w:trHeight w:val="155"/>
        </w:trPr>
        <w:tc>
          <w:tcPr>
            <w:tcW w:w="2000" w:type="dxa"/>
            <w:vAlign w:val="bottom"/>
          </w:tcPr>
          <w:p>
            <w:pPr>
              <w:spacing w:after="0"/>
              <w:rPr>
                <w:sz w:val="13"/>
                <w:szCs w:val="13"/>
                <w:color w:val="auto"/>
              </w:rPr>
            </w:pPr>
          </w:p>
        </w:tc>
        <w:tc>
          <w:tcPr>
            <w:tcW w:w="4920" w:type="dxa"/>
            <w:vAlign w:val="bottom"/>
          </w:tcPr>
          <w:p>
            <w:pPr>
              <w:jc w:val="center"/>
              <w:ind w:right="23"/>
              <w:spacing w:after="0"/>
              <w:rPr>
                <w:sz w:val="20"/>
                <w:szCs w:val="20"/>
                <w:color w:val="auto"/>
              </w:rPr>
            </w:pPr>
            <w:r>
              <w:rPr>
                <w:rFonts w:ascii="Times New Roman" w:cs="Times New Roman" w:eastAsia="Times New Roman" w:hAnsi="Times New Roman"/>
                <w:sz w:val="12"/>
                <w:szCs w:val="12"/>
                <w:color w:val="auto"/>
                <w:w w:val="99"/>
              </w:rPr>
              <w:t>(Address of principal executive offices, including zip code)</w:t>
            </w:r>
          </w:p>
        </w:tc>
        <w:tc>
          <w:tcPr>
            <w:tcW w:w="1780" w:type="dxa"/>
            <w:vAlign w:val="bottom"/>
          </w:tcPr>
          <w:p>
            <w:pPr>
              <w:spacing w:after="0"/>
              <w:rPr>
                <w:sz w:val="13"/>
                <w:szCs w:val="13"/>
                <w:color w:val="auto"/>
              </w:rPr>
            </w:pPr>
          </w:p>
        </w:tc>
      </w:tr>
      <w:tr>
        <w:trPr>
          <w:trHeight w:val="216"/>
        </w:trPr>
        <w:tc>
          <w:tcPr>
            <w:tcW w:w="2000" w:type="dxa"/>
            <w:vAlign w:val="bottom"/>
          </w:tcPr>
          <w:p>
            <w:pPr>
              <w:spacing w:after="0"/>
              <w:rPr>
                <w:sz w:val="18"/>
                <w:szCs w:val="18"/>
                <w:color w:val="auto"/>
              </w:rPr>
            </w:pPr>
          </w:p>
        </w:tc>
        <w:tc>
          <w:tcPr>
            <w:tcW w:w="4920" w:type="dxa"/>
            <w:vAlign w:val="bottom"/>
          </w:tcPr>
          <w:p>
            <w:pPr>
              <w:jc w:val="center"/>
              <w:ind w:right="23"/>
              <w:spacing w:after="0"/>
              <w:rPr>
                <w:sz w:val="20"/>
                <w:szCs w:val="20"/>
                <w:color w:val="auto"/>
              </w:rPr>
            </w:pPr>
            <w:r>
              <w:rPr>
                <w:rFonts w:ascii="Times New Roman" w:cs="Times New Roman" w:eastAsia="Times New Roman" w:hAnsi="Times New Roman"/>
                <w:sz w:val="12"/>
                <w:szCs w:val="12"/>
                <w:color w:val="auto"/>
              </w:rPr>
              <w:t>(646) 710-3417</w:t>
            </w:r>
          </w:p>
        </w:tc>
        <w:tc>
          <w:tcPr>
            <w:tcW w:w="1780" w:type="dxa"/>
            <w:vAlign w:val="bottom"/>
          </w:tcPr>
          <w:p>
            <w:pPr>
              <w:spacing w:after="0"/>
              <w:rPr>
                <w:sz w:val="18"/>
                <w:szCs w:val="18"/>
                <w:color w:val="auto"/>
              </w:rPr>
            </w:pPr>
          </w:p>
        </w:tc>
      </w:tr>
    </w:tbl>
    <w:p>
      <w:pPr>
        <w:spacing w:after="0" w:line="6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2"/>
          <w:szCs w:val="12"/>
          <w:color w:val="auto"/>
        </w:rPr>
        <w:t>Not applicable</w:t>
      </w:r>
    </w:p>
    <w:p>
      <w:pPr>
        <w:spacing w:after="0" w:line="6"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2"/>
          <w:szCs w:val="12"/>
          <w:color w:val="auto"/>
        </w:rPr>
        <w:t>(Former name, former address and former fiscal year, if changed since last report)</w:t>
      </w:r>
    </w:p>
    <w:p>
      <w:pPr>
        <w:spacing w:after="0" w:line="6"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ind w:left="680" w:hanging="539"/>
        <w:spacing w:after="0" w:line="186" w:lineRule="auto"/>
        <w:tabs>
          <w:tab w:leader="none" w:pos="680" w:val="left"/>
        </w:tabs>
        <w:numPr>
          <w:ilvl w:val="0"/>
          <w:numId w:val="1"/>
        </w:numPr>
        <w:rPr>
          <w:rFonts w:ascii="MS PGothic" w:cs="MS PGothic" w:eastAsia="MS PGothic" w:hAnsi="MS PGothic"/>
          <w:sz w:val="24"/>
          <w:szCs w:val="24"/>
          <w:color w:val="auto"/>
          <w:vertAlign w:val="subscript"/>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57" w:lineRule="exact"/>
        <w:rPr>
          <w:rFonts w:ascii="MS PGothic" w:cs="MS PGothic" w:eastAsia="MS PGothic" w:hAnsi="MS PGothic"/>
          <w:sz w:val="24"/>
          <w:szCs w:val="24"/>
          <w:color w:val="auto"/>
          <w:vertAlign w:val="subscript"/>
        </w:rPr>
      </w:pPr>
    </w:p>
    <w:p>
      <w:pPr>
        <w:ind w:left="680" w:hanging="530"/>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37" w:lineRule="exact"/>
        <w:rPr>
          <w:rFonts w:ascii="MS PGothic" w:cs="MS PGothic" w:eastAsia="MS PGothic" w:hAnsi="MS PGothic"/>
          <w:sz w:val="12"/>
          <w:szCs w:val="12"/>
          <w:color w:val="auto"/>
        </w:rPr>
      </w:pPr>
    </w:p>
    <w:p>
      <w:pPr>
        <w:ind w:left="680" w:hanging="530"/>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42" w:lineRule="exact"/>
        <w:rPr>
          <w:rFonts w:ascii="MS PGothic" w:cs="MS PGothic" w:eastAsia="MS PGothic" w:hAnsi="MS PGothic"/>
          <w:sz w:val="12"/>
          <w:szCs w:val="12"/>
          <w:color w:val="auto"/>
        </w:rPr>
      </w:pPr>
    </w:p>
    <w:p>
      <w:pPr>
        <w:ind w:left="680" w:hanging="530"/>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8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12(b) of the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36"/>
        </w:trPr>
        <w:tc>
          <w:tcPr>
            <w:tcW w:w="4280" w:type="dxa"/>
            <w:vAlign w:val="bottom"/>
            <w:tcBorders>
              <w:top w:val="single" w:sz="8" w:color="auto"/>
            </w:tcBorders>
          </w:tcPr>
          <w:p>
            <w:pPr>
              <w:jc w:val="center"/>
              <w:ind w:left="432"/>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Trading symbol</w:t>
            </w:r>
          </w:p>
        </w:tc>
        <w:tc>
          <w:tcPr>
            <w:tcW w:w="4080" w:type="dxa"/>
            <w:vAlign w:val="bottom"/>
            <w:tcBorders>
              <w:top w:val="single" w:sz="8" w:color="auto"/>
            </w:tcBorders>
          </w:tcPr>
          <w:p>
            <w:pPr>
              <w:jc w:val="center"/>
              <w:ind w:right="212"/>
              <w:spacing w:after="0"/>
              <w:rPr>
                <w:sz w:val="20"/>
                <w:szCs w:val="20"/>
                <w:color w:val="auto"/>
              </w:rPr>
            </w:pPr>
            <w:r>
              <w:rPr>
                <w:rFonts w:ascii="Times New Roman" w:cs="Times New Roman" w:eastAsia="Times New Roman" w:hAnsi="Times New Roman"/>
                <w:sz w:val="10"/>
                <w:szCs w:val="10"/>
                <w:b w:val="1"/>
                <w:bCs w:val="1"/>
                <w:color w:val="auto"/>
                <w:w w:val="95"/>
              </w:rPr>
              <w:t>Name of each exchange on which registered</w:t>
            </w:r>
          </w:p>
        </w:tc>
      </w:tr>
      <w:tr>
        <w:trPr>
          <w:trHeight w:val="26"/>
        </w:trPr>
        <w:tc>
          <w:tcPr>
            <w:tcW w:w="42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116"/>
        </w:trPr>
        <w:tc>
          <w:tcPr>
            <w:tcW w:w="4280" w:type="dxa"/>
            <w:vAlign w:val="bottom"/>
          </w:tcPr>
          <w:p>
            <w:pPr>
              <w:jc w:val="center"/>
              <w:ind w:left="432"/>
              <w:spacing w:after="0"/>
              <w:rPr>
                <w:sz w:val="20"/>
                <w:szCs w:val="20"/>
                <w:color w:val="auto"/>
              </w:rPr>
            </w:pPr>
            <w:r>
              <w:rPr>
                <w:rFonts w:ascii="Times New Roman" w:cs="Times New Roman" w:eastAsia="Times New Roman" w:hAnsi="Times New Roman"/>
                <w:sz w:val="10"/>
                <w:szCs w:val="10"/>
                <w:b w:val="1"/>
                <w:bCs w:val="1"/>
                <w:color w:val="auto"/>
                <w:w w:val="96"/>
              </w:rPr>
              <w:t>Common Stock, $0.01 par value per share</w:t>
            </w:r>
          </w:p>
        </w:tc>
        <w:tc>
          <w:tcPr>
            <w:tcW w:w="27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SSTK</w:t>
            </w:r>
          </w:p>
        </w:tc>
        <w:tc>
          <w:tcPr>
            <w:tcW w:w="4080" w:type="dxa"/>
            <w:vAlign w:val="bottom"/>
          </w:tcPr>
          <w:p>
            <w:pPr>
              <w:jc w:val="center"/>
              <w:ind w:right="192"/>
              <w:spacing w:after="0"/>
              <w:rPr>
                <w:sz w:val="20"/>
                <w:szCs w:val="20"/>
                <w:color w:val="auto"/>
              </w:rPr>
            </w:pPr>
            <w:r>
              <w:rPr>
                <w:rFonts w:ascii="Times New Roman" w:cs="Times New Roman" w:eastAsia="Times New Roman" w:hAnsi="Times New Roman"/>
                <w:sz w:val="10"/>
                <w:szCs w:val="10"/>
                <w:b w:val="1"/>
                <w:bCs w:val="1"/>
                <w:color w:val="auto"/>
                <w:w w:val="94"/>
              </w:rPr>
              <w:t>New York Stock Exchange</w:t>
            </w:r>
          </w:p>
        </w:tc>
      </w:tr>
    </w:tbl>
    <w:p>
      <w:pPr>
        <w:spacing w:after="0" w:line="177" w:lineRule="exact"/>
        <w:rPr>
          <w:sz w:val="24"/>
          <w:szCs w:val="24"/>
          <w:color w:val="auto"/>
        </w:rPr>
      </w:pPr>
    </w:p>
    <w:p>
      <w:pPr>
        <w:ind w:left="460" w:right="4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9" w:lineRule="exact"/>
        <w:rPr>
          <w:sz w:val="24"/>
          <w:szCs w:val="24"/>
          <w:color w:val="auto"/>
        </w:rPr>
      </w:pPr>
    </w:p>
    <w:p>
      <w:pPr>
        <w:ind w:left="460" w:hanging="427"/>
        <w:spacing w:after="0"/>
        <w:tabs>
          <w:tab w:leader="none" w:pos="46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Emerging growth company</w:t>
      </w:r>
    </w:p>
    <w:p>
      <w:pPr>
        <w:spacing w:after="0" w:line="78" w:lineRule="exact"/>
        <w:rPr>
          <w:rFonts w:ascii="MS PGothic" w:cs="MS PGothic" w:eastAsia="MS PGothic" w:hAnsi="MS PGothic"/>
          <w:sz w:val="12"/>
          <w:szCs w:val="12"/>
          <w:color w:val="auto"/>
        </w:rPr>
      </w:pPr>
    </w:p>
    <w:p>
      <w:pPr>
        <w:ind w:left="460" w:right="240" w:hanging="427"/>
        <w:spacing w:after="0" w:line="279" w:lineRule="auto"/>
        <w:tabs>
          <w:tab w:leader="none" w:pos="46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wp:posOffset>
            </wp:positionH>
            <wp:positionV relativeFrom="paragraph">
              <wp:posOffset>893445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66040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48895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0"/>
          </w:cols>
          <w:pgMar w:left="560" w:top="1330" w:right="239" w:bottom="1440" w:gutter="0" w:footer="0" w:header="0"/>
        </w:sectPr>
      </w:pPr>
    </w:p>
    <w:bookmarkStart w:id="1" w:name="page2"/>
    <w:bookmarkEnd w:id="1"/>
    <w:p>
      <w:pPr>
        <w:ind w:left="280"/>
        <w:spacing w:after="0"/>
        <w:tabs>
          <w:tab w:leader="none" w:pos="144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2"/>
          <w:szCs w:val="12"/>
          <w:b w:val="1"/>
          <w:bCs w:val="1"/>
          <w:color w:val="auto"/>
        </w:rPr>
        <w:t>Results of Operations and Financial Condition.</w:t>
      </w:r>
    </w:p>
    <w:p>
      <w:pPr>
        <w:spacing w:after="0" w:line="145" w:lineRule="exact"/>
        <w:rPr>
          <w:sz w:val="20"/>
          <w:szCs w:val="20"/>
          <w:color w:val="auto"/>
        </w:rPr>
      </w:pPr>
    </w:p>
    <w:p>
      <w:pPr>
        <w:ind w:right="220" w:firstLine="300"/>
        <w:spacing w:after="0" w:line="279" w:lineRule="auto"/>
        <w:rPr>
          <w:sz w:val="20"/>
          <w:szCs w:val="20"/>
          <w:color w:val="auto"/>
        </w:rPr>
      </w:pPr>
      <w:r>
        <w:rPr>
          <w:rFonts w:ascii="Times New Roman" w:cs="Times New Roman" w:eastAsia="Times New Roman" w:hAnsi="Times New Roman"/>
          <w:sz w:val="12"/>
          <w:szCs w:val="12"/>
          <w:color w:val="auto"/>
        </w:rPr>
        <w:t>On February 21, 2024, Shutterstock, Inc. (the “Company”) issued a press release announcing its financial results for the fiscal period ended December 31, 2023. A copy of the press release is furnished as Exhibit 99.1 to this current report and is incorporated herein by reference.</w:t>
      </w:r>
    </w:p>
    <w:p>
      <w:pPr>
        <w:spacing w:after="0" w:line="296" w:lineRule="exact"/>
        <w:rPr>
          <w:sz w:val="20"/>
          <w:szCs w:val="20"/>
          <w:color w:val="auto"/>
        </w:rPr>
      </w:pPr>
    </w:p>
    <w:p>
      <w:pPr>
        <w:ind w:left="280"/>
        <w:spacing w:after="0"/>
        <w:tabs>
          <w:tab w:leader="none" w:pos="14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information provided above in “Item 2.02 Results of Operations and Financial Condition” is incorporated by reference in this Item 7.01.</w:t>
      </w:r>
    </w:p>
    <w:p>
      <w:pPr>
        <w:spacing w:after="0" w:line="148" w:lineRule="exact"/>
        <w:rPr>
          <w:sz w:val="20"/>
          <w:szCs w:val="20"/>
          <w:color w:val="auto"/>
        </w:rPr>
      </w:pPr>
    </w:p>
    <w:p>
      <w:pPr>
        <w:ind w:right="80" w:firstLine="270"/>
        <w:spacing w:after="0" w:line="283" w:lineRule="auto"/>
        <w:rPr>
          <w:sz w:val="20"/>
          <w:szCs w:val="20"/>
          <w:color w:val="auto"/>
        </w:rPr>
      </w:pPr>
      <w:r>
        <w:rPr>
          <w:rFonts w:ascii="Times New Roman" w:cs="Times New Roman" w:eastAsia="Times New Roman" w:hAnsi="Times New Roman"/>
          <w:sz w:val="12"/>
          <w:szCs w:val="12"/>
          <w:color w:val="auto"/>
        </w:rPr>
        <w:t xml:space="preserve">On February 21, 2024, management made available an investor presentation titled "Shutterstock 2027: Long-range Financial Targets" on its website at </w:t>
      </w:r>
      <w:r>
        <w:rPr>
          <w:rFonts w:ascii="Times New Roman" w:cs="Times New Roman" w:eastAsia="Times New Roman" w:hAnsi="Times New Roman"/>
          <w:sz w:val="12"/>
          <w:szCs w:val="12"/>
          <w:i w:val="1"/>
          <w:iCs w:val="1"/>
          <w:color w:val="auto"/>
        </w:rPr>
        <w:t>https://investor.shutterstock.com/</w:t>
      </w:r>
      <w:r>
        <w:rPr>
          <w:rFonts w:ascii="Times New Roman" w:cs="Times New Roman" w:eastAsia="Times New Roman" w:hAnsi="Times New Roman"/>
          <w:sz w:val="12"/>
          <w:szCs w:val="12"/>
          <w:color w:val="auto"/>
        </w:rPr>
        <w:t>. A copy of the presentation is furnished as Exhibit 99.2 to this current report and is incorporated herein by reference.</w:t>
      </w:r>
    </w:p>
    <w:p>
      <w:pPr>
        <w:spacing w:after="0" w:line="109"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In accordance with General Instruction B.2 of Form 8-K, the information in this Current Report on Form 8-K, including Exhibit 99.1 and Exhibit 99.2 attached hereto, shall not be deemed “filed” for purposes of Section 18 of the Securities Exchange Act of 1934, as amended (the “Exchange Act”), or otherwise subject to the liabilities of that section, nor shall they be deemed incorporated by reference into any filing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48" w:lineRule="exact"/>
        <w:rPr>
          <w:sz w:val="20"/>
          <w:szCs w:val="20"/>
          <w:color w:val="auto"/>
        </w:rPr>
      </w:pPr>
    </w:p>
    <w:p>
      <w:pPr>
        <w:ind w:left="280"/>
        <w:spacing w:after="0"/>
        <w:tabs>
          <w:tab w:leader="none" w:pos="144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43" w:lineRule="exact"/>
        <w:rPr>
          <w:sz w:val="20"/>
          <w:szCs w:val="20"/>
          <w:color w:val="auto"/>
        </w:rPr>
      </w:pPr>
    </w:p>
    <w:p>
      <w:pPr>
        <w:ind w:left="500" w:hanging="238"/>
        <w:spacing w:after="0"/>
        <w:tabs>
          <w:tab w:leader="none" w:pos="5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Exhibits</w:t>
      </w:r>
      <w:r>
        <w:rPr>
          <w:rFonts w:ascii="Times New Roman" w:cs="Times New Roman" w:eastAsia="Times New Roman" w:hAnsi="Times New Roman"/>
          <w:sz w:val="12"/>
          <w:szCs w:val="12"/>
          <w:color w:val="auto"/>
        </w:rPr>
        <w:t>.</w:t>
      </w:r>
    </w:p>
    <w:p>
      <w:pPr>
        <w:spacing w:after="0" w:line="80" w:lineRule="exact"/>
        <w:rPr>
          <w:rFonts w:ascii="Times New Roman" w:cs="Times New Roman" w:eastAsia="Times New Roman" w:hAnsi="Times New Roman"/>
          <w:sz w:val="12"/>
          <w:szCs w:val="12"/>
          <w:color w:val="auto"/>
        </w:rPr>
      </w:pPr>
    </w:p>
    <w:p>
      <w:pPr>
        <w:ind w:left="4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99.1</w:t>
      </w:r>
      <w:r>
        <w:rPr>
          <w:rFonts w:ascii="Times New Roman" w:cs="Times New Roman" w:eastAsia="Times New Roman" w:hAnsi="Times New Roman"/>
          <w:sz w:val="11"/>
          <w:szCs w:val="11"/>
          <w:color w:val="auto"/>
        </w:rPr>
        <w:t>Press release entitled “Shutterstock Reports Full Year 2023 and Fourth Quarter Financial Results” dated February 21, 2024</w:t>
      </w:r>
    </w:p>
    <w:p>
      <w:pPr>
        <w:spacing w:after="0" w:line="78" w:lineRule="exact"/>
        <w:rPr>
          <w:rFonts w:ascii="Times New Roman" w:cs="Times New Roman" w:eastAsia="Times New Roman" w:hAnsi="Times New Roman"/>
          <w:sz w:val="12"/>
          <w:szCs w:val="12"/>
          <w:color w:val="auto"/>
        </w:rPr>
      </w:pPr>
    </w:p>
    <w:p>
      <w:pPr>
        <w:ind w:left="4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99.2</w:t>
      </w:r>
      <w:r>
        <w:rPr>
          <w:rFonts w:ascii="Times New Roman" w:cs="Times New Roman" w:eastAsia="Times New Roman" w:hAnsi="Times New Roman"/>
          <w:sz w:val="11"/>
          <w:szCs w:val="11"/>
          <w:color w:val="auto"/>
        </w:rPr>
        <w:t>Presentation entitled "Shutterstock 2027: Long-range Financial Targets"</w:t>
      </w:r>
    </w:p>
    <w:p>
      <w:pPr>
        <w:spacing w:after="0" w:line="78" w:lineRule="exact"/>
        <w:rPr>
          <w:rFonts w:ascii="Times New Roman" w:cs="Times New Roman" w:eastAsia="Times New Roman" w:hAnsi="Times New Roman"/>
          <w:sz w:val="12"/>
          <w:szCs w:val="12"/>
          <w:color w:val="auto"/>
        </w:rPr>
      </w:pPr>
    </w:p>
    <w:p>
      <w:pPr>
        <w:ind w:left="4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104Cover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786765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322"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9"/>
        </w:trPr>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602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EXHIBIT INDEX</w:t>
            </w:r>
          </w:p>
        </w:tc>
      </w:tr>
      <w:tr>
        <w:trPr>
          <w:trHeight w:val="144"/>
        </w:trPr>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6020" w:type="dxa"/>
            <w:vAlign w:val="bottom"/>
            <w:gridSpan w:val="2"/>
          </w:tcPr>
          <w:p>
            <w:pPr>
              <w:ind w:left="880"/>
              <w:spacing w:after="0"/>
              <w:rPr>
                <w:sz w:val="20"/>
                <w:szCs w:val="20"/>
                <w:color w:val="auto"/>
              </w:rPr>
            </w:pPr>
            <w:r>
              <w:rPr>
                <w:rFonts w:ascii="Times New Roman" w:cs="Times New Roman" w:eastAsia="Times New Roman" w:hAnsi="Times New Roman"/>
                <w:sz w:val="10"/>
                <w:szCs w:val="10"/>
                <w:b w:val="1"/>
                <w:bCs w:val="1"/>
                <w:color w:val="auto"/>
              </w:rPr>
              <w:t>Exhibit Description</w:t>
            </w:r>
          </w:p>
        </w:tc>
      </w:tr>
      <w:tr>
        <w:trPr>
          <w:trHeight w:val="277"/>
        </w:trPr>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900" w:type="dxa"/>
            <w:vAlign w:val="bottom"/>
            <w:tcBorders>
              <w:top w:val="single" w:sz="8" w:color="auto"/>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Press release entitled “Shutterstock Reports Fourth Quarter and Full Year 2023 Financial Results” dated February 21, 2024</w:t>
            </w:r>
          </w:p>
        </w:tc>
        <w:tc>
          <w:tcPr>
            <w:tcW w:w="3580" w:type="dxa"/>
            <w:vAlign w:val="bottom"/>
            <w:tcBorders>
              <w:top w:val="single" w:sz="8" w:color="auto"/>
            </w:tcBorders>
          </w:tcPr>
          <w:p>
            <w:pPr>
              <w:spacing w:after="0"/>
              <w:rPr>
                <w:sz w:val="24"/>
                <w:szCs w:val="24"/>
                <w:color w:val="auto"/>
              </w:rPr>
            </w:pPr>
          </w:p>
        </w:tc>
      </w:tr>
      <w:tr>
        <w:trPr>
          <w:trHeight w:val="178"/>
        </w:trPr>
        <w:tc>
          <w:tcPr>
            <w:tcW w:w="12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99.2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Presentation entitled "Shutterstock 2027: Long-range Financial Targets"</w:t>
            </w:r>
          </w:p>
        </w:tc>
        <w:tc>
          <w:tcPr>
            <w:tcW w:w="6020" w:type="dxa"/>
            <w:vAlign w:val="bottom"/>
            <w:gridSpan w:val="2"/>
          </w:tcPr>
          <w:p>
            <w:pPr>
              <w:spacing w:after="0"/>
              <w:rPr>
                <w:sz w:val="15"/>
                <w:szCs w:val="15"/>
                <w:color w:val="auto"/>
              </w:rPr>
            </w:pPr>
          </w:p>
        </w:tc>
      </w:tr>
      <w:tr>
        <w:trPr>
          <w:trHeight w:val="286"/>
        </w:trPr>
        <w:tc>
          <w:tcPr>
            <w:tcW w:w="1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 the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89535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40"/>
          </w:cols>
          <w:pgMar w:left="520" w:top="1061" w:right="539" w:bottom="1440" w:gutter="0" w:footer="0" w:header="0"/>
        </w:sectPr>
      </w:pPr>
    </w:p>
    <w:bookmarkStart w:id="3" w:name="page4"/>
    <w:bookmarkEnd w:id="3"/>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60" w:type="dxa"/>
            <w:vAlign w:val="bottom"/>
          </w:tcPr>
          <w:p>
            <w:pPr>
              <w:spacing w:after="0"/>
              <w:rPr>
                <w:sz w:val="13"/>
                <w:szCs w:val="13"/>
                <w:color w:val="auto"/>
              </w:rPr>
            </w:pPr>
          </w:p>
        </w:tc>
        <w:tc>
          <w:tcPr>
            <w:tcW w:w="8340" w:type="dxa"/>
            <w:vAlign w:val="bottom"/>
            <w:gridSpan w:val="2"/>
          </w:tcPr>
          <w:p>
            <w:pPr>
              <w:ind w:left="1720"/>
              <w:spacing w:after="0"/>
              <w:rPr>
                <w:sz w:val="20"/>
                <w:szCs w:val="20"/>
                <w:color w:val="auto"/>
              </w:rPr>
            </w:pPr>
            <w:r>
              <w:rPr>
                <w:rFonts w:ascii="Times New Roman" w:cs="Times New Roman" w:eastAsia="Times New Roman" w:hAnsi="Times New Roman"/>
                <w:sz w:val="12"/>
                <w:szCs w:val="12"/>
                <w:b w:val="1"/>
                <w:bCs w:val="1"/>
                <w:color w:val="auto"/>
              </w:rPr>
              <w:t>SHUTTERSTOCK, INC.</w:t>
            </w:r>
          </w:p>
        </w:tc>
      </w:tr>
      <w:tr>
        <w:trPr>
          <w:trHeight w:val="279"/>
        </w:trPr>
        <w:tc>
          <w:tcPr>
            <w:tcW w:w="2960" w:type="dxa"/>
            <w:vAlign w:val="bottom"/>
          </w:tcPr>
          <w:p>
            <w:pPr>
              <w:spacing w:after="0"/>
              <w:rPr>
                <w:sz w:val="20"/>
                <w:szCs w:val="20"/>
                <w:color w:val="auto"/>
              </w:rPr>
            </w:pPr>
            <w:r>
              <w:rPr>
                <w:rFonts w:ascii="Times New Roman" w:cs="Times New Roman" w:eastAsia="Times New Roman" w:hAnsi="Times New Roman"/>
                <w:sz w:val="12"/>
                <w:szCs w:val="12"/>
                <w:color w:val="auto"/>
              </w:rPr>
              <w:t>Dated: February 21, 2024</w:t>
            </w:r>
          </w:p>
        </w:tc>
        <w:tc>
          <w:tcPr>
            <w:tcW w:w="2320" w:type="dxa"/>
            <w:vAlign w:val="bottom"/>
          </w:tcPr>
          <w:p>
            <w:pPr>
              <w:ind w:left="1720"/>
              <w:spacing w:after="0"/>
              <w:rPr>
                <w:sz w:val="20"/>
                <w:szCs w:val="20"/>
                <w:color w:val="auto"/>
              </w:rPr>
            </w:pPr>
            <w:r>
              <w:rPr>
                <w:rFonts w:ascii="Times New Roman" w:cs="Times New Roman" w:eastAsia="Times New Roman" w:hAnsi="Times New Roman"/>
                <w:sz w:val="12"/>
                <w:szCs w:val="12"/>
                <w:color w:val="auto"/>
              </w:rPr>
              <w:t>By:</w:t>
            </w:r>
          </w:p>
        </w:tc>
        <w:tc>
          <w:tcPr>
            <w:tcW w:w="6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Jarrod Yahes</w:t>
            </w:r>
          </w:p>
        </w:tc>
      </w:tr>
      <w:tr>
        <w:trPr>
          <w:trHeight w:val="140"/>
        </w:trPr>
        <w:tc>
          <w:tcPr>
            <w:tcW w:w="29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Jarrod Yahes</w:t>
            </w:r>
          </w:p>
        </w:tc>
      </w:tr>
      <w:tr>
        <w:trPr>
          <w:trHeight w:val="155"/>
        </w:trPr>
        <w:tc>
          <w:tcPr>
            <w:tcW w:w="29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1061" w:right="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2286635</wp:posOffset>
            </wp:positionH>
            <wp:positionV relativeFrom="paragraph">
              <wp:posOffset>59055</wp:posOffset>
            </wp:positionV>
            <wp:extent cx="2577465"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74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Shutterstock Reports Full Year 2023 and Fourth Quarter Financial Results</w:t>
      </w:r>
    </w:p>
    <w:p>
      <w:pPr>
        <w:spacing w:after="0" w:line="7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New York, NY - February 21, 2024 - </w:t>
      </w:r>
      <w:r>
        <w:rPr>
          <w:rFonts w:ascii="Times New Roman" w:cs="Times New Roman" w:eastAsia="Times New Roman" w:hAnsi="Times New Roman"/>
          <w:sz w:val="12"/>
          <w:szCs w:val="12"/>
          <w:color w:val="auto"/>
        </w:rPr>
        <w:t>Shutterstock, Inc. (NYSE: SSTK) (the “Company”), a leading global creative platform connecting brands and businesses to high-quality content, today announced financial results for the full year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fourth quarter ended December 31, 2023.</w:t>
      </w:r>
    </w:p>
    <w:p>
      <w:pPr>
        <w:spacing w:after="0" w:line="35" w:lineRule="exact"/>
        <w:rPr>
          <w:sz w:val="20"/>
          <w:szCs w:val="20"/>
          <w:color w:val="auto"/>
        </w:rPr>
      </w:pPr>
    </w:p>
    <w:p>
      <w:pPr>
        <w:ind w:right="500"/>
        <w:spacing w:after="0" w:line="279" w:lineRule="auto"/>
        <w:rPr>
          <w:sz w:val="20"/>
          <w:szCs w:val="20"/>
          <w:color w:val="auto"/>
        </w:rPr>
      </w:pPr>
      <w:r>
        <w:rPr>
          <w:rFonts w:ascii="Times New Roman" w:cs="Times New Roman" w:eastAsia="Times New Roman" w:hAnsi="Times New Roman"/>
          <w:sz w:val="12"/>
          <w:szCs w:val="12"/>
          <w:color w:val="auto"/>
        </w:rPr>
        <w:t>Commenting on the Company’s performance, Paul Hennessy, the Company’s Chief Executive Officer, said, “Shutterstock delivered record revenues and profitability in 2023 and significantly exceeded our targets set out at the beginning of the year.</w:t>
      </w:r>
    </w:p>
    <w:p>
      <w:pPr>
        <w:spacing w:after="0" w:line="39"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2"/>
          <w:szCs w:val="12"/>
          <w:color w:val="auto"/>
        </w:rPr>
        <w:t>Our success in building a leading content platform has allowed us to make key investments in Data, Distribution and Services where we have an exciting growth opportunity supported by strong industry tailwinds and a large TAM. Going forward, we’ll be shining a light on these exciting growth businesses, and providing revenue breakouts across two categories – Content and Data, Distribution and Services. As part of today’s release, we are also pleased to announce Shutterstock’s 2027 long-term financial targets.”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Full Year 2023 highlights as compared to Full Year 2022:</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u w:val="single" w:color="auto"/>
          <w:color w:val="auto"/>
        </w:rPr>
        <w:t>Financial Highlights</w:t>
      </w:r>
    </w:p>
    <w:p>
      <w:pPr>
        <w:spacing w:after="0" w:line="78"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increased 6% to $874.6 million. On a constant currency basis, revenue increased 5%.</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Income from operations decreased 27% to $68.4 million.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income increased 45% to $110.3 million.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increased 10% to $240.8 million.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income per diluted share increased 46% to $3.04 per share.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net income per diluted share increased 12% to $4.35 per share.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cash flows decreased $17.9 million to $140.6 million.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Free cash flow increased $40.1 million to $138.5 million.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Fourth Quarter 2023 highlights as compared to Fourth Quarter 2022:</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u w:val="single" w:color="auto"/>
          <w:color w:val="auto"/>
        </w:rPr>
        <w:t>Financial Highlights</w:t>
      </w:r>
    </w:p>
    <w:p>
      <w:pPr>
        <w:spacing w:after="0" w:line="78"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Revenues decreased $0.5 million to $217.2 million.</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Income from operations decreased 72% to $2.1 million.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income / (loss) decreased 114% to a $1.0 million net loss.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decreased 21% to $46.3 million.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income per diluted share decreased $0.22 to $(0.03).</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net income per diluted share decreased $0.33 to $0.72.</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cash flows decreased $27.2 million to $33.9 million.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Free cash flow decreased $3.6 million to $41.6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1061"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FULL YEAR RESULTS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Full year revenue of $874.6 million increased $46.8 million or 6% as compared to 2022.</w:t>
      </w:r>
    </w:p>
    <w:p>
      <w:pPr>
        <w:spacing w:after="0" w:line="78"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2"/>
          <w:szCs w:val="12"/>
          <w:color w:val="auto"/>
        </w:rPr>
        <w:t>Revenue generated through our Content product offering decreased 7% as compared to the full year 2022, to $737.3 million, and represented 84% of our total revenue in 2023. The decline in Content revenue was primarily driven by weakness in new customer acquisition. Revenue from our Data, Distribution, and Services product offering increased 256% as compared to 2022, to $137.3 million and represented 16% of our total revenue in 2023. The increase in Data, Distribution, and Services revenues was primarily driven by growth in our data offering and revenue generated from Giphy.</w:t>
      </w:r>
    </w:p>
    <w:p>
      <w:pPr>
        <w:spacing w:after="0" w:line="47"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On a constant currency basis, revenue increased 5% in 2023 as compared to 2022. On a constant currency basis, Content revenues decreased 7% and Data, Distribution, and Services revenues increased by 256% in 2023, as compared to 2022.</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income and Income per diluted share</w:t>
      </w:r>
    </w:p>
    <w:p>
      <w:pPr>
        <w:spacing w:after="0" w:line="11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2"/>
          <w:szCs w:val="12"/>
          <w:color w:val="auto"/>
        </w:rPr>
        <w:t>Net income of $110.3 million increased $34.2 million as compared to $76.1 million for the full year 2022. Net income per diluted share was $3.04 as compared to $2.08 for the full year 2022. These increases were driven by the growth in our</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Data, Distribution, and Services product offering and a $50.3 million bargain purchase gain recorded in connection with the Giphy acquisition. In addition, 2022 was impacted by an $18.7 million impairment of leases and related assets .</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net income per diluted share, which excludes the bargain purchase in 2023 and the impairment of lease and related assets in 2022, was $4.35 as compared to $3.87 for the full year 2022.</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EBITDA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EBITDA of $240.8 million for 2023 increased $22.7 million or 10% as compared to the full year 2022, attributable to growth in revenues partially offset by operating expenses associated with our acquisition of Giphy.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EBITDA margin of 27.5% for 2023 increased by 120 basis points, as compared to 26.3% for the full year 2022.</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FOURTH QUARTER RESULTS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Fourth quarter revenue was $217.2 million, which remained flat as compared to the fourth quarter of 2022.</w:t>
      </w:r>
    </w:p>
    <w:p>
      <w:pPr>
        <w:spacing w:after="0" w:line="78"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2"/>
          <w:szCs w:val="12"/>
          <w:color w:val="auto"/>
        </w:rPr>
        <w:t>Revenue from our Content product offering decreased 10% as compared to the fourth quarter of 2022, to $177.5 million, and represented 82% of our total revenue in the fourth quarter of 2023. Revenue generated from our Data, Distribution, and Services product offering increased 96.4% as compared to the fourth quarter of 2022, to $39.7 million, and represented 18% of fourth quarter revenue in 2023.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Revenues were not impacted on a constant currency basis in the fourth quarter of 2023 as compared to the fourth quarter of 2022.</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income and net income per diluted share</w:t>
      </w:r>
    </w:p>
    <w:p>
      <w:pPr>
        <w:spacing w:after="0" w:line="11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net loss in fourth quarter of $1.0 million decreased $8.1 million as compared to net income of $7.0 million for the fourth quarter in 2022. Net (loss) income per diluted share was ($0.03), as compared to $0.19 for the same period in 2022.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Fourth quarter 2023 net loss was unfavorably impacted by expenses associated with reimbursable costs paid to the Giphy workforce in addition to increased marketing expenses.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1061"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color w:val="auto"/>
        </w:rPr>
        <w:t>Adjusted net income per diluted share was $0.72 as compared to $1.05 for the fourth quarter of 2022, an decrease of $0.33 per diluted share.</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Adjusted EBITDA</w:t>
      </w:r>
    </w:p>
    <w:p>
      <w:pPr>
        <w:spacing w:after="0" w:line="1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Adjusted EBITDA of $46.3 million for the fourth quarter of 2023 decreased by $12.0 million, or 21%, as compared to the fourth quarter of 2022, due primarily to higher operating expenses operating expenses associated with our acquisition of Giphy. The adjusted EBITDA margin of 21.3% for the fourth quarter of 2023 decreased by 550 basis points, as compared to 26.8% in the fourth quarter of 2022.</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For the full year 2023, our cash and cash equivalents decreased by $14.7 million to $100.5 million at December 31, 2023, as compared with $115.2 million as of December 31, 2022. This decrease was driven by $54.3 million used in investing activities and $102.7 million used in financing activities, partially offset by $140.6 million of net cash provided by our operating activities. Net cash provided by our operating activities was affected by our operating income, offset by payments made to Giphy employees, which were fully reimbursed by Meta and reported in investing cash flows as Giphy Retention Compensation, and changes in the timing of cash receipts and payments pertaining to our revenues and operating expenses.</w:t>
      </w:r>
    </w:p>
    <w:p>
      <w:pPr>
        <w:spacing w:after="0" w:line="7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Cash used in investing activities primarily consisted of capital expenditures of $44.6 million for internal-use software and website development costs, and $11.1 million paid to acquire the rights to distribute certain digital content in perpetuity. In addition, cash of $53.7 million used in the acquisition of Giphy was offset by $53.7 million of cash reimbursements from Meta for Giphy Retention Compensation.</w:t>
      </w:r>
    </w:p>
    <w:p>
      <w:pPr>
        <w:spacing w:after="0" w:line="6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Cash used in financing activities primarily consisted of (i) $38.7 million related to the payment of the quarterly cash dividend; (ii) $28.2 million paid in connection with the repurchase of common stock under our share repurchase program; (iii) $15.8 million paid in settlement of tax withholding obligations related to employee stock-based compensation awards, and (iv) a $20.0 million reduction in our revolver.</w:t>
      </w:r>
    </w:p>
    <w:p>
      <w:pPr>
        <w:spacing w:after="0" w:line="5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Free cash flow was $138.5 million for the full year 2023, an increase of $40.1 million from the full year 2022. This increase was primarily driven by the increase in our adjusted EBITDA in addition to changes in the timing of cash receipts and payments pertaining to our revenues and operating expenses.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QUARTERLY CASH DIVIDEND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three months ended December 31, 2023, the Company declared and paid a cash dividend of $0.27 per common share or $9.6 million.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January 29, 2024, the Board of Directors declared a dividend of $0.30 per share of outstanding common stock, payable on March 14, 2024 to stockholders of record at the close of business on February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1092" w:right="299" w:bottom="1440" w:gutter="0" w:footer="0" w:header="0"/>
        </w:sectPr>
      </w:pPr>
    </w:p>
    <w:bookmarkStart w:id="7" w:name="page8"/>
    <w:bookmarkEnd w:id="7"/>
    <w:p>
      <w:pPr>
        <w:ind w:left="8"/>
        <w:spacing w:after="0"/>
        <w:rPr>
          <w:sz w:val="20"/>
          <w:szCs w:val="20"/>
          <w:color w:val="auto"/>
        </w:rPr>
      </w:pPr>
      <w:r>
        <w:rPr>
          <w:rFonts w:ascii="Times New Roman" w:cs="Times New Roman" w:eastAsia="Times New Roman" w:hAnsi="Times New Roman"/>
          <w:sz w:val="12"/>
          <w:szCs w:val="12"/>
          <w:b w:val="1"/>
          <w:bCs w:val="1"/>
          <w:color w:val="auto"/>
        </w:rPr>
        <w:t>KEY OPERATING METRICS</w:t>
      </w:r>
    </w:p>
    <w:p>
      <w:pPr>
        <w:spacing w:after="0" w:line="35"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8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Three Months Ended December 31,</w:t>
            </w: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gridSpan w:val="2"/>
          </w:tcPr>
          <w:p>
            <w:pPr>
              <w:jc w:val="right"/>
              <w:ind w:right="106"/>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1020" w:type="dxa"/>
            <w:vAlign w:val="bottom"/>
            <w:tcBorders>
              <w:bottom w:val="single" w:sz="8" w:color="auto"/>
            </w:tcBorders>
          </w:tcPr>
          <w:p>
            <w:pPr>
              <w:spacing w:after="0"/>
              <w:rPr>
                <w:sz w:val="9"/>
                <w:szCs w:val="9"/>
                <w:color w:val="auto"/>
              </w:rPr>
            </w:pPr>
          </w:p>
        </w:tc>
      </w:tr>
      <w:tr>
        <w:trPr>
          <w:trHeight w:val="108"/>
        </w:trPr>
        <w:tc>
          <w:tcPr>
            <w:tcW w:w="4820" w:type="dxa"/>
            <w:vAlign w:val="bottom"/>
          </w:tcPr>
          <w:p>
            <w:pPr>
              <w:spacing w:after="0"/>
              <w:rPr>
                <w:sz w:val="9"/>
                <w:szCs w:val="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6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8"/>
                <w:szCs w:val="8"/>
                <w:b w:val="1"/>
                <w:bCs w:val="1"/>
                <w:color w:val="auto"/>
              </w:rPr>
              <w:t>2023</w:t>
            </w:r>
          </w:p>
        </w:tc>
        <w:tc>
          <w:tcPr>
            <w:tcW w:w="6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29"/>
        </w:trPr>
        <w:tc>
          <w:tcPr>
            <w:tcW w:w="4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44"/>
        </w:trPr>
        <w:tc>
          <w:tcPr>
            <w:tcW w:w="48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Subscribers (end of period)</w:t>
            </w:r>
            <w:r>
              <w:rPr>
                <w:rFonts w:ascii="Times New Roman" w:cs="Times New Roman" w:eastAsia="Times New Roman" w:hAnsi="Times New Roman"/>
                <w:sz w:val="14"/>
                <w:szCs w:val="14"/>
                <w:color w:val="auto"/>
                <w:vertAlign w:val="superscript"/>
              </w:rPr>
              <w:t>(1)</w:t>
            </w: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523,000</w:t>
            </w:r>
          </w:p>
        </w:tc>
        <w:tc>
          <w:tcPr>
            <w:tcW w:w="6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586,000</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523,000</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586,000</w:t>
            </w:r>
          </w:p>
        </w:tc>
      </w:tr>
      <w:tr>
        <w:trPr>
          <w:trHeight w:val="144"/>
        </w:trPr>
        <w:tc>
          <w:tcPr>
            <w:tcW w:w="482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Subscriber revenue (in millions)</w:t>
            </w:r>
            <w:r>
              <w:rPr>
                <w:rFonts w:ascii="Times New Roman" w:cs="Times New Roman" w:eastAsia="Times New Roman" w:hAnsi="Times New Roman"/>
                <w:sz w:val="14"/>
                <w:szCs w:val="14"/>
                <w:color w:val="auto"/>
                <w:vertAlign w:val="superscript"/>
              </w:rPr>
              <w:t>(2)</w:t>
            </w:r>
          </w:p>
        </w:tc>
        <w:tc>
          <w:tcPr>
            <w:tcW w:w="880" w:type="dxa"/>
            <w:vAlign w:val="bottom"/>
          </w:tcPr>
          <w:p>
            <w:pPr>
              <w:jc w:val="right"/>
              <w:ind w:right="749"/>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85.2</w:t>
            </w:r>
          </w:p>
        </w:tc>
        <w:tc>
          <w:tcPr>
            <w:tcW w:w="68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88.8</w:t>
            </w:r>
          </w:p>
        </w:tc>
        <w:tc>
          <w:tcPr>
            <w:tcW w:w="100" w:type="dxa"/>
            <w:vAlign w:val="bottom"/>
          </w:tcPr>
          <w:p>
            <w:pPr>
              <w:spacing w:after="0"/>
              <w:rPr>
                <w:sz w:val="12"/>
                <w:szCs w:val="12"/>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351.5</w:t>
            </w:r>
          </w:p>
        </w:tc>
        <w:tc>
          <w:tcPr>
            <w:tcW w:w="62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346.6</w:t>
            </w:r>
          </w:p>
        </w:tc>
      </w:tr>
      <w:tr>
        <w:trPr>
          <w:trHeight w:val="63"/>
        </w:trPr>
        <w:tc>
          <w:tcPr>
            <w:tcW w:w="48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144"/>
        </w:trPr>
        <w:tc>
          <w:tcPr>
            <w:tcW w:w="482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Average revenue per customer (last twelve months)</w:t>
            </w:r>
            <w:r>
              <w:rPr>
                <w:rFonts w:ascii="Times New Roman" w:cs="Times New Roman" w:eastAsia="Times New Roman" w:hAnsi="Times New Roman"/>
                <w:sz w:val="14"/>
                <w:szCs w:val="14"/>
                <w:color w:val="auto"/>
                <w:vertAlign w:val="superscript"/>
              </w:rPr>
              <w:t>(3)</w:t>
            </w:r>
          </w:p>
        </w:tc>
        <w:tc>
          <w:tcPr>
            <w:tcW w:w="880" w:type="dxa"/>
            <w:vAlign w:val="bottom"/>
          </w:tcPr>
          <w:p>
            <w:pPr>
              <w:jc w:val="right"/>
              <w:ind w:right="749"/>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412</w:t>
            </w:r>
          </w:p>
        </w:tc>
        <w:tc>
          <w:tcPr>
            <w:tcW w:w="68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w:t>
            </w:r>
          </w:p>
        </w:tc>
        <w:tc>
          <w:tcPr>
            <w:tcW w:w="100" w:type="dxa"/>
            <w:vAlign w:val="bottom"/>
          </w:tcPr>
          <w:p>
            <w:pPr>
              <w:spacing w:after="0"/>
              <w:rPr>
                <w:sz w:val="12"/>
                <w:szCs w:val="12"/>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412</w:t>
            </w:r>
          </w:p>
        </w:tc>
        <w:tc>
          <w:tcPr>
            <w:tcW w:w="62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w:t>
            </w:r>
          </w:p>
        </w:tc>
      </w:tr>
      <w:tr>
        <w:trPr>
          <w:trHeight w:val="144"/>
        </w:trPr>
        <w:tc>
          <w:tcPr>
            <w:tcW w:w="48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Paid downloads (in millions)</w:t>
            </w:r>
            <w:r>
              <w:rPr>
                <w:rFonts w:ascii="Times New Roman" w:cs="Times New Roman" w:eastAsia="Times New Roman" w:hAnsi="Times New Roman"/>
                <w:sz w:val="14"/>
                <w:szCs w:val="14"/>
                <w:color w:val="auto"/>
                <w:vertAlign w:val="superscript"/>
              </w:rPr>
              <w:t>(4)</w:t>
            </w: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35.4</w:t>
            </w:r>
          </w:p>
        </w:tc>
        <w:tc>
          <w:tcPr>
            <w:tcW w:w="6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153.0</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173.3</w:t>
            </w:r>
          </w:p>
        </w:tc>
      </w:tr>
      <w:tr>
        <w:trPr>
          <w:trHeight w:val="144"/>
        </w:trPr>
        <w:tc>
          <w:tcPr>
            <w:tcW w:w="482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Revenue per download</w:t>
            </w:r>
            <w:r>
              <w:rPr>
                <w:rFonts w:ascii="Times New Roman" w:cs="Times New Roman" w:eastAsia="Times New Roman" w:hAnsi="Times New Roman"/>
                <w:sz w:val="14"/>
                <w:szCs w:val="14"/>
                <w:color w:val="auto"/>
                <w:vertAlign w:val="superscript"/>
              </w:rPr>
              <w:t>(5)</w:t>
            </w:r>
          </w:p>
        </w:tc>
        <w:tc>
          <w:tcPr>
            <w:tcW w:w="880" w:type="dxa"/>
            <w:vAlign w:val="bottom"/>
          </w:tcPr>
          <w:p>
            <w:pPr>
              <w:jc w:val="right"/>
              <w:ind w:right="749"/>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5.02</w:t>
            </w:r>
          </w:p>
        </w:tc>
        <w:tc>
          <w:tcPr>
            <w:tcW w:w="68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w:t>
            </w:r>
          </w:p>
        </w:tc>
        <w:tc>
          <w:tcPr>
            <w:tcW w:w="100" w:type="dxa"/>
            <w:vAlign w:val="bottom"/>
          </w:tcPr>
          <w:p>
            <w:pPr>
              <w:spacing w:after="0"/>
              <w:rPr>
                <w:sz w:val="12"/>
                <w:szCs w:val="12"/>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4.72</w:t>
            </w:r>
          </w:p>
        </w:tc>
        <w:tc>
          <w:tcPr>
            <w:tcW w:w="62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4.40</w:t>
            </w:r>
          </w:p>
        </w:tc>
      </w:tr>
      <w:tr>
        <w:trPr>
          <w:trHeight w:val="144"/>
        </w:trPr>
        <w:tc>
          <w:tcPr>
            <w:tcW w:w="48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Content in our collection (end of period, in millions)</w:t>
            </w:r>
            <w:r>
              <w:rPr>
                <w:rFonts w:ascii="Times New Roman" w:cs="Times New Roman" w:eastAsia="Times New Roman" w:hAnsi="Times New Roman"/>
                <w:sz w:val="14"/>
                <w:szCs w:val="14"/>
                <w:color w:val="auto"/>
                <w:vertAlign w:val="superscript"/>
              </w:rPr>
              <w:t>(6)</w:t>
            </w:r>
            <w:r>
              <w:rPr>
                <w:rFonts w:ascii="Times New Roman" w:cs="Times New Roman" w:eastAsia="Times New Roman" w:hAnsi="Times New Roman"/>
                <w:sz w:val="11"/>
                <w:szCs w:val="11"/>
                <w:color w:val="auto"/>
              </w:rPr>
              <w:t>:</w:t>
            </w: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2"/>
        </w:trPr>
        <w:tc>
          <w:tcPr>
            <w:tcW w:w="4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Images</w:t>
            </w:r>
          </w:p>
        </w:tc>
        <w:tc>
          <w:tcPr>
            <w:tcW w:w="880" w:type="dxa"/>
            <w:vAlign w:val="bottom"/>
          </w:tcPr>
          <w:p>
            <w:pPr>
              <w:spacing w:after="0"/>
              <w:rPr>
                <w:sz w:val="12"/>
                <w:szCs w:val="12"/>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771</w:t>
            </w:r>
          </w:p>
        </w:tc>
        <w:tc>
          <w:tcPr>
            <w:tcW w:w="6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719</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771</w:t>
            </w:r>
          </w:p>
        </w:tc>
        <w:tc>
          <w:tcPr>
            <w:tcW w:w="6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719</w:t>
            </w:r>
          </w:p>
        </w:tc>
      </w:tr>
      <w:tr>
        <w:trPr>
          <w:trHeight w:val="146"/>
        </w:trPr>
        <w:tc>
          <w:tcPr>
            <w:tcW w:w="4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Footage clips</w:t>
            </w: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1"/>
                <w:szCs w:val="11"/>
                <w:color w:val="auto"/>
              </w:rPr>
              <w:t>54</w:t>
            </w:r>
          </w:p>
        </w:tc>
        <w:tc>
          <w:tcPr>
            <w:tcW w:w="6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54</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w:t>
            </w:r>
          </w:p>
        </w:tc>
      </w:tr>
    </w:tbl>
    <w:p>
      <w:pPr>
        <w:spacing w:after="0" w:line="1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7"/>
          <w:szCs w:val="7"/>
          <w:color w:val="auto"/>
        </w:rPr>
        <w:t>_______________________________________________________________________________________________________________________</w:t>
      </w:r>
    </w:p>
    <w:p>
      <w:pPr>
        <w:spacing w:after="0" w:line="35" w:lineRule="exact"/>
        <w:rPr>
          <w:sz w:val="20"/>
          <w:szCs w:val="20"/>
          <w:color w:val="auto"/>
        </w:rPr>
      </w:pPr>
    </w:p>
    <w:p>
      <w:pPr>
        <w:ind w:left="8" w:right="220"/>
        <w:spacing w:after="0" w:line="296" w:lineRule="auto"/>
        <w:rPr>
          <w:sz w:val="20"/>
          <w:szCs w:val="20"/>
          <w:color w:val="auto"/>
        </w:rPr>
      </w:pPr>
      <w:r>
        <w:rPr>
          <w:rFonts w:ascii="Times New Roman" w:cs="Times New Roman" w:eastAsia="Times New Roman" w:hAnsi="Times New Roman"/>
          <w:sz w:val="8"/>
          <w:szCs w:val="8"/>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TurboSquid beginning February 2022, from PicMonkey beginning September 2022, and from Pond5 and Splash News beginning May 2023. These metrics exclude the respective counts and revenues from Giphy.</w:t>
      </w:r>
    </w:p>
    <w:p>
      <w:pPr>
        <w:spacing w:after="0" w:line="52" w:lineRule="exact"/>
        <w:rPr>
          <w:sz w:val="20"/>
          <w:szCs w:val="20"/>
          <w:color w:val="auto"/>
        </w:rPr>
      </w:pPr>
    </w:p>
    <w:p>
      <w:pPr>
        <w:ind w:left="128" w:hanging="128"/>
        <w:spacing w:after="0"/>
        <w:tabs>
          <w:tab w:leader="none" w:pos="128" w:val="left"/>
        </w:tabs>
        <w:numPr>
          <w:ilvl w:val="0"/>
          <w:numId w:val="6"/>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Subscribers is defined as those customers who purchase one or more of our monthly recurring products for a continuous period of at least three months, measured as of the end of the reporting period.</w:t>
      </w:r>
    </w:p>
    <w:p>
      <w:pPr>
        <w:spacing w:after="0" w:line="79" w:lineRule="exact"/>
        <w:rPr>
          <w:rFonts w:ascii="Times New Roman" w:cs="Times New Roman" w:eastAsia="Times New Roman" w:hAnsi="Times New Roman"/>
          <w:sz w:val="8"/>
          <w:szCs w:val="8"/>
          <w:color w:val="auto"/>
        </w:rPr>
      </w:pPr>
    </w:p>
    <w:p>
      <w:pPr>
        <w:ind w:left="128" w:hanging="128"/>
        <w:spacing w:after="0"/>
        <w:tabs>
          <w:tab w:leader="none" w:pos="128" w:val="left"/>
        </w:tabs>
        <w:numPr>
          <w:ilvl w:val="0"/>
          <w:numId w:val="6"/>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Subscriber revenue is defined as the revenue generated from subscribers during the period.</w:t>
      </w:r>
    </w:p>
    <w:p>
      <w:pPr>
        <w:spacing w:after="0" w:line="79" w:lineRule="exact"/>
        <w:rPr>
          <w:rFonts w:ascii="Times New Roman" w:cs="Times New Roman" w:eastAsia="Times New Roman" w:hAnsi="Times New Roman"/>
          <w:sz w:val="8"/>
          <w:szCs w:val="8"/>
          <w:color w:val="auto"/>
        </w:rPr>
      </w:pPr>
    </w:p>
    <w:p>
      <w:pPr>
        <w:ind w:left="128" w:hanging="128"/>
        <w:spacing w:after="0"/>
        <w:tabs>
          <w:tab w:leader="none" w:pos="128" w:val="left"/>
        </w:tabs>
        <w:numPr>
          <w:ilvl w:val="0"/>
          <w:numId w:val="6"/>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Average revenue per customer is calculated by dividing total revenue for the last twelve-month period by customers. Customers is defined as total active, paying customers that contributed to total revenue over the last twelve-month period.</w:t>
      </w:r>
    </w:p>
    <w:p>
      <w:pPr>
        <w:spacing w:after="0" w:line="79" w:lineRule="exact"/>
        <w:rPr>
          <w:rFonts w:ascii="Times New Roman" w:cs="Times New Roman" w:eastAsia="Times New Roman" w:hAnsi="Times New Roman"/>
          <w:sz w:val="8"/>
          <w:szCs w:val="8"/>
          <w:color w:val="auto"/>
        </w:rPr>
      </w:pPr>
    </w:p>
    <w:p>
      <w:pPr>
        <w:ind w:left="128" w:hanging="128"/>
        <w:spacing w:after="0"/>
        <w:tabs>
          <w:tab w:leader="none" w:pos="128" w:val="left"/>
        </w:tabs>
        <w:numPr>
          <w:ilvl w:val="0"/>
          <w:numId w:val="6"/>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Paid downloads is the number of downloads that our customers make in a given period of our content. Paid downloads exclude content related to our Studios business, downloads of content that are offered to customers for no charge, including our free trials and downloads associated with our computer vision offering.</w:t>
      </w:r>
    </w:p>
    <w:p>
      <w:pPr>
        <w:spacing w:after="0" w:line="79" w:lineRule="exact"/>
        <w:rPr>
          <w:rFonts w:ascii="Times New Roman" w:cs="Times New Roman" w:eastAsia="Times New Roman" w:hAnsi="Times New Roman"/>
          <w:sz w:val="8"/>
          <w:szCs w:val="8"/>
          <w:color w:val="auto"/>
        </w:rPr>
      </w:pPr>
    </w:p>
    <w:p>
      <w:pPr>
        <w:ind w:left="128" w:hanging="128"/>
        <w:spacing w:after="0"/>
        <w:tabs>
          <w:tab w:leader="none" w:pos="128" w:val="left"/>
        </w:tabs>
        <w:numPr>
          <w:ilvl w:val="0"/>
          <w:numId w:val="6"/>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Revenue per download is the amount of revenue recognized in a given period divided by the number of paid downloads in that period excluding revenue from our Studios business, revenue that is not derived from or associated with content licenses and revenue associated with our computer vision offering.</w:t>
      </w:r>
    </w:p>
    <w:p>
      <w:pPr>
        <w:spacing w:after="0" w:line="88" w:lineRule="exact"/>
        <w:rPr>
          <w:rFonts w:ascii="Times New Roman" w:cs="Times New Roman" w:eastAsia="Times New Roman" w:hAnsi="Times New Roman"/>
          <w:sz w:val="8"/>
          <w:szCs w:val="8"/>
          <w:color w:val="auto"/>
        </w:rPr>
      </w:pPr>
    </w:p>
    <w:p>
      <w:pPr>
        <w:ind w:left="8" w:right="180" w:hanging="8"/>
        <w:spacing w:after="0" w:line="296" w:lineRule="auto"/>
        <w:tabs>
          <w:tab w:leader="none" w:pos="127" w:val="left"/>
        </w:tabs>
        <w:numPr>
          <w:ilvl w:val="0"/>
          <w:numId w:val="6"/>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Content in our collection represents approved images (photographs, vectors and illustrations) and footage (in number of clips) in our library at the end of the period. This metric excludes content that is not uploaded directly to our site but is available for license by our customers through an application program interface, content from our Studios business and AI generated content. Prior to December 31, 2022, this metric only included approved images and footage clips in our library on shutterstock.com at the end of the period.</w:t>
      </w:r>
    </w:p>
    <w:p>
      <w:pPr>
        <w:spacing w:after="0" w:line="200" w:lineRule="exact"/>
        <w:rPr>
          <w:sz w:val="20"/>
          <w:szCs w:val="20"/>
          <w:color w:val="auto"/>
        </w:rPr>
      </w:pPr>
    </w:p>
    <w:p>
      <w:pPr>
        <w:spacing w:after="0" w:line="3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2027 LONG TERM TARGETS</w:t>
      </w:r>
    </w:p>
    <w:p>
      <w:pPr>
        <w:spacing w:after="0" w:line="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Details of our 2027 Long Term Targets may be found below and in our investor presentation titled “Shutterstock 2027: Long-range Financial Targets,” available at </w:t>
      </w:r>
      <w:r>
        <w:rPr>
          <w:rFonts w:ascii="Times New Roman" w:cs="Times New Roman" w:eastAsia="Times New Roman" w:hAnsi="Times New Roman"/>
          <w:sz w:val="12"/>
          <w:szCs w:val="12"/>
          <w:i w:val="1"/>
          <w:iCs w:val="1"/>
          <w:color w:val="auto"/>
        </w:rPr>
        <w:t>https://investor.shutterstock.com/</w:t>
      </w:r>
      <w:r>
        <w:rPr>
          <w:rFonts w:ascii="Times New Roman" w:cs="Times New Roman" w:eastAsia="Times New Roman" w:hAnsi="Times New Roman"/>
          <w:sz w:val="12"/>
          <w:szCs w:val="12"/>
          <w:color w:val="auto"/>
        </w:rPr>
        <w:t>.</w:t>
      </w:r>
    </w:p>
    <w:p>
      <w:pPr>
        <w:spacing w:after="0" w:line="80" w:lineRule="exact"/>
        <w:rPr>
          <w:sz w:val="20"/>
          <w:szCs w:val="20"/>
          <w:color w:val="auto"/>
        </w:rPr>
      </w:pPr>
    </w:p>
    <w:p>
      <w:pPr>
        <w:ind w:left="428" w:hanging="212"/>
        <w:spacing w:after="0"/>
        <w:tabs>
          <w:tab w:leader="none" w:pos="42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growth CAGR of 10% and 2027 revenues of $1.2 billion.</w:t>
      </w:r>
    </w:p>
    <w:p>
      <w:pPr>
        <w:spacing w:after="0" w:line="7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Content revenue growth CAGR of 7% and Data, Distribution, and Services revenue growth CAGR of 22%.</w:t>
      </w:r>
    </w:p>
    <w:p>
      <w:pPr>
        <w:spacing w:after="0" w:line="7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EBITDA margin expansion from 28% to 30% and 2027 EBITDA of $350 million.</w:t>
      </w:r>
    </w:p>
    <w:p>
      <w:pPr>
        <w:spacing w:after="0" w:line="7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Cumulative Free Cash Flow of $800 million allocated to strategic acquisitions, dividends, and share repurchases.</w:t>
      </w:r>
    </w:p>
    <w:p>
      <w:pPr>
        <w:spacing w:after="0" w:line="3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2024 GUIDANCE</w:t>
      </w:r>
    </w:p>
    <w:p>
      <w:pPr>
        <w:spacing w:after="0" w:line="7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 increased its guidance for the full year 2024, to the following:</w:t>
      </w:r>
    </w:p>
    <w:p>
      <w:pPr>
        <w:spacing w:after="0" w:line="150" w:lineRule="exact"/>
        <w:rPr>
          <w:sz w:val="20"/>
          <w:szCs w:val="20"/>
          <w:color w:val="auto"/>
        </w:rPr>
      </w:pPr>
    </w:p>
    <w:p>
      <w:pPr>
        <w:ind w:left="428" w:hanging="212"/>
        <w:spacing w:after="0"/>
        <w:tabs>
          <w:tab w:leader="none" w:pos="42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of $875 million and Adjusted EBITDA of $241 million. unchanged from 2023.</w:t>
      </w:r>
    </w:p>
    <w:p>
      <w:pPr>
        <w:spacing w:after="0" w:line="7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net income per diluted share of between $4.15 to $4.30.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8"/>
          </w:cols>
          <w:pgMar w:left="292" w:top="1061" w:right="299" w:bottom="1440" w:gutter="0" w:footer="0" w:header="0"/>
        </w:sectPr>
      </w:pPr>
    </w:p>
    <w:bookmarkStart w:id="8" w:name="page9"/>
    <w:bookmarkEnd w:id="8"/>
    <w:p>
      <w:pPr>
        <w:ind w:left="8"/>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82"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To supplement Shutterstock’s consolidated financial statements presented in accordance with the accounting principles generally accepted in the United States, or GAAP, Shutterstock’s management considers certain financial measures that are not prepared in accordance with GAAP, collectively referred to as non-GAAP financial measures, including adjusted EBITDA, adjusted EBITDA margin, adjusted net income, adjusted net income per diluted share, revenue growth (including by distribution channel) on a constant currency basis (expressed as a percentage), billings and free cash flow.</w:t>
      </w:r>
    </w:p>
    <w:p>
      <w:pPr>
        <w:spacing w:after="0" w:line="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Shutterstock defines adjusted EBITDA as net income adjusted for depreciation and amortization, non-cash equity-based compensation, bargain purchase gain related to the acquisition of Giphy, Giphy Retention Compensation Expense</w:t>
      </w:r>
    </w:p>
    <w:p>
      <w:pPr>
        <w:spacing w:after="0" w:line="17" w:lineRule="exact"/>
        <w:rPr>
          <w:sz w:val="20"/>
          <w:szCs w:val="20"/>
          <w:color w:val="auto"/>
        </w:rPr>
      </w:pPr>
    </w:p>
    <w:p>
      <w:pPr>
        <w:jc w:val="both"/>
        <w:ind w:left="8" w:hanging="8"/>
        <w:spacing w:after="0" w:line="252" w:lineRule="auto"/>
        <w:tabs>
          <w:tab w:leader="none" w:pos="93"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non-recurring, foreign currency transaction gains and losses, severance costs associated with strategic workforce optimizations, interest income and expense and income taxes; adjusted EBITDA margin as the ratio of adjusted EBITDA to revenue; adjusted net income as net income adjusted for the impact of non-cash equity-based compensation, amortization of acquisition-related intangible assets, bargain purchase gain related to the acquisition of Giphy, Giphy Retention Compensation Expense - non-recurring, severance costs associated with strategic workforce optimizations and the estimated tax impact of such adjustments; adjusted net income per diluted share as adjusted net income divided by weighted average diluted shares;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 billings as revenue adjusted for the change in deferred revenue, excluding deferred revenue acquired through business combinations; and free cash flow as cash provided by operating activities, adjusted for capital expenditures, content acquisition and cash received related to Giphy Retention Compensation in connection with the acquisition of Giphy.</w:t>
      </w:r>
    </w:p>
    <w:p>
      <w:pPr>
        <w:spacing w:after="0" w:line="56"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2"/>
          <w:szCs w:val="12"/>
          <w:color w:val="auto"/>
        </w:rPr>
        <w:t>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CMA and accordingly, the terms of the acquisition were subject to CMA preapproval. Management considers the operating expense associated with these required payments to be unusual and non-recurring in nature. The Giphy Retention Compensation Expense - non-recurring is not considered an ongoing expense necessary to operate the Company’s business. Therefore, such expenses have been included in the below adjustments for calculating adjusted EBITDA, adjusted EBITDA margin, adjusted net income and adjusted net income per diluted common share. For the three months ended December 31, 2023, the Company also incurred $6.6 million of Giphy Retention Compensation expense related to recurring employee costs, which is included in operating expenses, and are not included in the below adjustments for calculating adjusted EBITDA, adjusted EBITDA margin, adjusted net income and adjusted net income per diluted common share.</w:t>
      </w:r>
    </w:p>
    <w:p>
      <w:pPr>
        <w:spacing w:after="0" w:line="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These figures have not been calculated in accordance with GAAP and should be considered only in addition to results prepared in accordance with GAAP and should not be considered as a substitute for, or superior to, GAAP results.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Shutterstock cautions investors that non-GAAP financial measures are not based on any standardized methodology prescribed by GAAP and are not necessarily comparable to similarly-titled measures presented by other companies.</w:t>
      </w:r>
    </w:p>
    <w:p>
      <w:pPr>
        <w:spacing w:after="0" w:line="67" w:lineRule="exact"/>
        <w:rPr>
          <w:sz w:val="20"/>
          <w:szCs w:val="20"/>
          <w:color w:val="auto"/>
        </w:rPr>
      </w:pPr>
    </w:p>
    <w:p>
      <w:pPr>
        <w:jc w:val="both"/>
        <w:ind w:left="8"/>
        <w:spacing w:after="0" w:line="254" w:lineRule="auto"/>
        <w:rPr>
          <w:sz w:val="20"/>
          <w:szCs w:val="20"/>
          <w:color w:val="auto"/>
        </w:rPr>
      </w:pPr>
      <w:r>
        <w:rPr>
          <w:rFonts w:ascii="Times New Roman" w:cs="Times New Roman" w:eastAsia="Times New Roman" w:hAnsi="Times New Roman"/>
          <w:sz w:val="12"/>
          <w:szCs w:val="12"/>
          <w:color w:val="auto"/>
        </w:rPr>
        <w:t>Shutterstock’s management believes that adjusted EBITDA, adjusted EBITDA margin, adjusted net income, adjusted net income per diluted share, revenue growth (including by distribution channel) on a constant currency basis (expressed as a percentage), billings and free cash flow are useful to investors because these measures enable investors to analyze Shutterstock’s operating results on the same basis as that used by management. Additionally, management believes that adjusted EBITDA, adjusted EBITDA margin, adjusted net income and adjusted net income per diluted share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distribution channel) on a constant currency basis (expressed as a percentage)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Shutterstock’s management believes that free cash flow is useful for investors because it provides them with an important perspective on the cash available for strategic measures, after making necessary capital investments in internal-use software and website development costs to support the Company’s ongoing business operations and provides them with the same measures that management uses as the basis for making resource allocation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8"/>
          </w:cols>
          <w:pgMar w:left="292" w:top="1061" w:right="299" w:bottom="1440" w:gutter="0" w:footer="0" w:header="0"/>
        </w:sectPr>
      </w:pPr>
    </w:p>
    <w:bookmarkStart w:id="9" w:name="page10"/>
    <w:bookmarkEnd w:id="9"/>
    <w:p>
      <w:pPr>
        <w:jc w:val="both"/>
        <w:spacing w:after="0" w:line="256" w:lineRule="auto"/>
        <w:rPr>
          <w:sz w:val="20"/>
          <w:szCs w:val="20"/>
          <w:color w:val="auto"/>
        </w:rPr>
      </w:pPr>
      <w:r>
        <w:rPr>
          <w:rFonts w:ascii="Times New Roman" w:cs="Times New Roman" w:eastAsia="Times New Roman" w:hAnsi="Times New Roman"/>
          <w:sz w:val="12"/>
          <w:szCs w:val="12"/>
          <w:color w:val="auto"/>
        </w:rPr>
        <w:t>Shutterstock’s management also uses the non-GAAP financial measures adjusted EBITDA, adjusted EBITDA margin, adjusted net income, adjusted net income per diluted share, revenue growth (including by distribution channel) on a constant currency basis (expressed as a percentage), billings and free cash flow, in conjunction with GAAP financial measures, as an integral part of managing the business and to, among other things: (i) monitor and evaluate the performance of Shutterstock’s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Shutterstock’s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Reconciliations of the differences between adjusted EBITDA, adjusted EBITDA margin, adjusted net income, adjusted net income per diluted share, revenue growth (including by distribution channel) on a constant currency basis (expressed as a percentage), billings, free cash flow, and the most comparable financial measures calculated and presented in accordance with GAAP, are presented under the headings “Reconciliation of Non-GAAP Financial Information to GAAP” and “Supplemental Financial Data” immediately following the Consolidated Balance Sheets.</w:t>
      </w:r>
    </w:p>
    <w:p>
      <w:pPr>
        <w:spacing w:after="0" w:line="28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1"/>
          <w:szCs w:val="11"/>
          <w:color w:val="auto"/>
        </w:rPr>
        <w:t>We do not provide a reconciliation of adjusted EBITDA guidance to net income guidance or a reconciliation of adjusted net income per diluted share guidance to net income per diluted share guidance, because we are unable to calculate with reasonable certainty the impact of potential future transactions, including, but not limited to, capital structure transactions, restructuring, acquisitions, divestitures or other events and asset impairments, without unreasonable effort. These amounts depend on various factors and could have a material impact on net income and net income per diluted share, but may be excluded from adjusted EBITDA and adjusted net income per diluted share. In addition, we believe such reconciliations would imply a degree of precision that would be confusing or misleading to investors. For the same reasons, the Company is unable to address the probable significance of the unavailable information.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EARNINGS TELECONFERENCE INFORMATION</w:t>
      </w:r>
    </w:p>
    <w:p>
      <w:pPr>
        <w:spacing w:after="0" w:line="8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Company will discuss its fourth quarter and full year financial results during a teleconference today, February 21, 2024, at 8:30 AM Eastern Time. The conference call is being webcast live at the Company's website at http://investor.shutterstock.com/. The webcast is listen-only. Those interested in participating in the question-and-answer session should register using the link below.</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Participants may register for the call here (https://edge.media-server.com/mmc/p/cmuiaecy). It is recommended that you join 10 minutes prior to the event start (although you may register and join at any time during the call).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webcast replay of the call will be available on the Company's website beginning on February 21, 2024 at approximately 10:30 AM Eastern Time.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SHUTTERSTOCK</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Shutterstock, Inc. (NYSE: SSTK) is a leading global creative platform offering high-quality creative content for transformative brands, digital media and marketing companies. Fueled by millions of creators around the world, a growing data engine and a dedication to product innovation, Shutterstock is the leading global platform for licensing from the most extensive and diverse collection of high-quality 3D models, videos, music, photographs, vectors and illustrations. From the world's largest content marketplace, to breaking news and A-list entertainment editorial access, to all-in-one content editing platform and studio production service—all using the latest in innovative technology— Shutterstock offers the most comprehensive selection of resources to bring storytelling to life.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Learn more at www.shutterstock.com and follow us on LinkedIn, Instagram, Twitter, Facebook and YouTube.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0"/>
          </w:cols>
          <w:pgMar w:left="300" w:top="1065"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particularly in the discussion under the captions “2027 Long Term Targets” and “2024 Guidance.” All statements other than statements of historical fact are forward-looking. Examples of forward-looking statements include, but are not limited to, statements regarding guidance, industry prospects, future business, future results of operations or financial condition, new or planned features, products or services, management strategies and our competitive position. You can identify forward-looking statements by words such as “may,” “will,” “would,” “should,” “could,” “expect,” “aim,” “anticipate,” “believe,” “estimate,” “intend,” “plan,” “predict,” “project,” “seek,” “potential,” “opportunities,” “targets”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contained herein. Such risks and uncertainties include, among others, those risks discussed under the caption “Risk Factors” in our most recent Annual Report on Form 10-K, as well as in other documents that the Company may file from time to time with the Securities and Exchange Commission. As a result of such risks, uncertainties and factors, Shutterstock’s actual results may differ materially from any future results, performance or achievements discussed in or implied by the forward-looking statements contained herein. The forward-looking statements contained in this press release are made only as of this date and Shutterstock assumes no obligation to update the information included in this press release or revise any forward-looking statements, whether as a result of new information, future developments or otherwise, except as required by law.</w:t>
      </w:r>
    </w:p>
    <w:p>
      <w:pPr>
        <w:sectPr>
          <w:pgSz w:w="11900" w:h="16838" w:orient="portrait"/>
          <w:cols w:equalWidth="0" w:num="1">
            <w:col w:w="11300"/>
          </w:cols>
          <w:pgMar w:left="300" w:top="1061" w:right="299" w:bottom="1440" w:gutter="0" w:footer="0" w:header="0"/>
        </w:sectPr>
      </w:pP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Investor Relations Contact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Chris Suh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ir@shutterstock.com</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646-257-4825</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Press Contact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Lori Rodney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press@shutterstock.com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917-563-4991</w:t>
      </w:r>
    </w:p>
    <w:p>
      <w:pPr>
        <w:spacing w:after="0" w:line="200" w:lineRule="exact"/>
        <w:rPr>
          <w:sz w:val="20"/>
          <w:szCs w:val="20"/>
          <w:color w:val="auto"/>
        </w:rPr>
      </w:pPr>
    </w:p>
    <w:p>
      <w:pPr>
        <w:sectPr>
          <w:pgSz w:w="11900" w:h="16838" w:orient="portrait"/>
          <w:cols w:equalWidth="0" w:num="2">
            <w:col w:w="4960" w:space="720"/>
            <w:col w:w="5620"/>
          </w:cols>
          <w:pgMar w:left="300" w:top="1061"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00"/>
          </w:cols>
          <w:pgMar w:left="300" w:top="1061" w:right="299" w:bottom="1440" w:gutter="0" w:footer="0" w:header="0"/>
          <w:type w:val="continuous"/>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Shutterstock, Inc.</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(In thousands, except for per share data)</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300" w:type="dxa"/>
            <w:vAlign w:val="bottom"/>
          </w:tcPr>
          <w:p>
            <w:pPr>
              <w:spacing w:after="0"/>
              <w:rPr>
                <w:sz w:val="11"/>
                <w:szCs w:val="11"/>
                <w:color w:val="auto"/>
              </w:rPr>
            </w:pPr>
          </w:p>
        </w:tc>
        <w:tc>
          <w:tcPr>
            <w:tcW w:w="2440" w:type="dxa"/>
            <w:vAlign w:val="bottom"/>
            <w:tcBorders>
              <w:bottom w:val="single" w:sz="8" w:color="auto"/>
            </w:tcBorders>
            <w:gridSpan w:val="4"/>
          </w:tcPr>
          <w:p>
            <w:pPr>
              <w:jc w:val="right"/>
              <w:ind w:right="187"/>
              <w:spacing w:after="0"/>
              <w:rPr>
                <w:sz w:val="20"/>
                <w:szCs w:val="20"/>
                <w:color w:val="auto"/>
              </w:rPr>
            </w:pPr>
            <w:r>
              <w:rPr>
                <w:rFonts w:ascii="Times New Roman" w:cs="Times New Roman" w:eastAsia="Times New Roman" w:hAnsi="Times New Roman"/>
                <w:sz w:val="10"/>
                <w:szCs w:val="10"/>
                <w:b w:val="1"/>
                <w:bCs w:val="1"/>
                <w:color w:val="auto"/>
              </w:rPr>
              <w:t>Three Months Ended December 31,</w:t>
            </w: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880" w:type="dxa"/>
            <w:vAlign w:val="bottom"/>
            <w:tcBorders>
              <w:bottom w:val="single" w:sz="8" w:color="auto"/>
            </w:tcBorders>
          </w:tcPr>
          <w:p>
            <w:pPr>
              <w:spacing w:after="0"/>
              <w:rPr>
                <w:sz w:val="11"/>
                <w:szCs w:val="11"/>
                <w:color w:val="auto"/>
              </w:rPr>
            </w:pPr>
          </w:p>
        </w:tc>
      </w:tr>
      <w:tr>
        <w:trPr>
          <w:trHeight w:val="128"/>
        </w:trPr>
        <w:tc>
          <w:tcPr>
            <w:tcW w:w="5300" w:type="dxa"/>
            <w:vAlign w:val="bottom"/>
          </w:tcPr>
          <w:p>
            <w:pPr>
              <w:spacing w:after="0"/>
              <w:rPr>
                <w:sz w:val="11"/>
                <w:szCs w:val="11"/>
                <w:color w:val="auto"/>
              </w:rPr>
            </w:pPr>
          </w:p>
        </w:tc>
        <w:tc>
          <w:tcPr>
            <w:tcW w:w="9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rPr>
              <w:t>2023</w:t>
            </w: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0"/>
                <w:szCs w:val="10"/>
                <w:b w:val="1"/>
                <w:bCs w:val="1"/>
                <w:color w:val="auto"/>
              </w:rPr>
              <w:t>2022</w:t>
            </w: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56"/>
        </w:trPr>
        <w:tc>
          <w:tcPr>
            <w:tcW w:w="5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4"/>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w:t>
            </w:r>
          </w:p>
        </w:tc>
        <w:tc>
          <w:tcPr>
            <w:tcW w:w="92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217,219</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80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217,726</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874,587</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827,826</w:t>
            </w:r>
          </w:p>
        </w:tc>
      </w:tr>
      <w:tr>
        <w:trPr>
          <w:trHeight w:val="72"/>
        </w:trPr>
        <w:tc>
          <w:tcPr>
            <w:tcW w:w="5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144"/>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2"/>
        </w:trPr>
        <w:tc>
          <w:tcPr>
            <w:tcW w:w="53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Cost of revenue</w:t>
            </w:r>
          </w:p>
        </w:tc>
        <w:tc>
          <w:tcPr>
            <w:tcW w:w="9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95,832</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87,925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352,630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314,306</w:t>
            </w:r>
          </w:p>
        </w:tc>
      </w:tr>
      <w:tr>
        <w:trPr>
          <w:trHeight w:val="146"/>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Sales and marketing</w:t>
            </w: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62,665</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47,819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214,749</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203,154</w:t>
            </w:r>
          </w:p>
        </w:tc>
      </w:tr>
      <w:tr>
        <w:trPr>
          <w:trHeight w:val="142"/>
        </w:trPr>
        <w:tc>
          <w:tcPr>
            <w:tcW w:w="53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Product development</w:t>
            </w:r>
          </w:p>
        </w:tc>
        <w:tc>
          <w:tcPr>
            <w:tcW w:w="9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23,440</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17,112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96,162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65,434</w:t>
            </w:r>
          </w:p>
        </w:tc>
      </w:tr>
      <w:tr>
        <w:trPr>
          <w:trHeight w:val="146"/>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33,158</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38,559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142,646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132,644</w:t>
            </w:r>
          </w:p>
        </w:tc>
      </w:tr>
      <w:tr>
        <w:trPr>
          <w:trHeight w:val="142"/>
        </w:trPr>
        <w:tc>
          <w:tcPr>
            <w:tcW w:w="53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Impairment of lease and related assets</w:t>
            </w:r>
          </w:p>
        </w:tc>
        <w:tc>
          <w:tcPr>
            <w:tcW w:w="92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18,664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18,664</w:t>
            </w:r>
          </w:p>
        </w:tc>
      </w:tr>
      <w:tr>
        <w:trPr>
          <w:trHeight w:val="135"/>
        </w:trPr>
        <w:tc>
          <w:tcPr>
            <w:tcW w:w="5300" w:type="dxa"/>
            <w:vAlign w:val="bottom"/>
            <w:tcBorders>
              <w:top w:val="single" w:sz="8" w:color="CCEEFF"/>
            </w:tcBorders>
            <w:shd w:val="clear" w:color="auto" w:fill="CCEEFF"/>
          </w:tcPr>
          <w:p>
            <w:pPr>
              <w:ind w:left="300"/>
              <w:spacing w:after="0" w:line="122" w:lineRule="exact"/>
              <w:rPr>
                <w:sz w:val="20"/>
                <w:szCs w:val="20"/>
                <w:color w:val="auto"/>
              </w:rPr>
            </w:pPr>
            <w:r>
              <w:rPr>
                <w:rFonts w:ascii="Times New Roman" w:cs="Times New Roman" w:eastAsia="Times New Roman" w:hAnsi="Times New Roman"/>
                <w:sz w:val="11"/>
                <w:szCs w:val="11"/>
                <w:color w:val="auto"/>
              </w:rPr>
              <w:t>Total operating expenses</w:t>
            </w:r>
          </w:p>
        </w:tc>
        <w:tc>
          <w:tcPr>
            <w:tcW w:w="92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215,095</w:t>
            </w:r>
          </w:p>
        </w:tc>
        <w:tc>
          <w:tcPr>
            <w:tcW w:w="1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210,079</w:t>
            </w: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806,187</w:t>
            </w: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734,202</w:t>
            </w:r>
          </w:p>
        </w:tc>
      </w:tr>
      <w:tr>
        <w:trPr>
          <w:trHeight w:val="131"/>
        </w:trPr>
        <w:tc>
          <w:tcPr>
            <w:tcW w:w="5300" w:type="dxa"/>
            <w:vAlign w:val="bottom"/>
          </w:tcPr>
          <w:p>
            <w:pPr>
              <w:ind w:left="140"/>
              <w:spacing w:after="0" w:line="121" w:lineRule="exact"/>
              <w:rPr>
                <w:sz w:val="20"/>
                <w:szCs w:val="20"/>
                <w:color w:val="auto"/>
              </w:rPr>
            </w:pPr>
            <w:r>
              <w:rPr>
                <w:rFonts w:ascii="Times New Roman" w:cs="Times New Roman" w:eastAsia="Times New Roman" w:hAnsi="Times New Roman"/>
                <w:sz w:val="11"/>
                <w:szCs w:val="11"/>
                <w:color w:val="auto"/>
              </w:rPr>
              <w:t>Income from operations</w:t>
            </w:r>
          </w:p>
        </w:tc>
        <w:tc>
          <w:tcPr>
            <w:tcW w:w="9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2,124</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7,647</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68,400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93,624</w:t>
            </w:r>
          </w:p>
        </w:tc>
      </w:tr>
      <w:tr>
        <w:trPr>
          <w:trHeight w:val="14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Bargain purchase gain</w:t>
            </w: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(1,543)</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50,261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Other income / (expense), net</w:t>
            </w:r>
          </w:p>
        </w:tc>
        <w:tc>
          <w:tcPr>
            <w:tcW w:w="9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1,479</w:t>
            </w: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862</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3,807</w:t>
            </w: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(2,587)</w:t>
            </w:r>
          </w:p>
        </w:tc>
      </w:tr>
      <w:tr>
        <w:trPr>
          <w:trHeight w:val="135"/>
        </w:trPr>
        <w:tc>
          <w:tcPr>
            <w:tcW w:w="53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1"/>
                <w:szCs w:val="11"/>
                <w:color w:val="auto"/>
              </w:rPr>
              <w:t>Income before income taxes</w:t>
            </w:r>
          </w:p>
        </w:tc>
        <w:tc>
          <w:tcPr>
            <w:tcW w:w="9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2,060</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8,509</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122,468</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91,037</w:t>
            </w:r>
          </w:p>
        </w:tc>
      </w:tr>
      <w:tr>
        <w:trPr>
          <w:trHeight w:val="142"/>
        </w:trPr>
        <w:tc>
          <w:tcPr>
            <w:tcW w:w="53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9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3,066</w:t>
            </w: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1,463</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12,199</w:t>
            </w: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14,934</w:t>
            </w:r>
          </w:p>
        </w:tc>
      </w:tr>
      <w:tr>
        <w:trPr>
          <w:trHeight w:val="137"/>
        </w:trPr>
        <w:tc>
          <w:tcPr>
            <w:tcW w:w="5300" w:type="dxa"/>
            <w:vAlign w:val="bottom"/>
            <w:tcBorders>
              <w:bottom w:val="single" w:sz="8" w:color="CCEEFF"/>
            </w:tcBorders>
            <w:shd w:val="clear" w:color="auto" w:fill="CCEEFF"/>
          </w:tcPr>
          <w:p>
            <w:pPr>
              <w:ind w:left="140"/>
              <w:spacing w:after="0" w:line="117" w:lineRule="exact"/>
              <w:rPr>
                <w:sz w:val="20"/>
                <w:szCs w:val="20"/>
                <w:color w:val="auto"/>
              </w:rPr>
            </w:pPr>
            <w:r>
              <w:rPr>
                <w:rFonts w:ascii="Times New Roman" w:cs="Times New Roman" w:eastAsia="Times New Roman" w:hAnsi="Times New Roman"/>
                <w:sz w:val="11"/>
                <w:szCs w:val="11"/>
                <w:color w:val="auto"/>
              </w:rPr>
              <w:t>Net (loss) / income</w:t>
            </w:r>
          </w:p>
        </w:tc>
        <w:tc>
          <w:tcPr>
            <w:tcW w:w="920" w:type="dxa"/>
            <w:vAlign w:val="bottom"/>
            <w:tcBorders>
              <w:bottom w:val="single" w:sz="8" w:color="auto"/>
            </w:tcBorders>
            <w:shd w:val="clear" w:color="auto" w:fill="CCEEFF"/>
          </w:tcPr>
          <w:p>
            <w:pPr>
              <w:jc w:val="right"/>
              <w:ind w:right="808"/>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(1,006)</w:t>
            </w: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807"/>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7,046</w:t>
            </w:r>
          </w:p>
        </w:tc>
        <w:tc>
          <w:tcPr>
            <w:tcW w:w="1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ind w:right="22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110,269</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ind w:right="44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76,103</w:t>
            </w:r>
          </w:p>
        </w:tc>
      </w:tr>
      <w:tr>
        <w:trPr>
          <w:trHeight w:val="156"/>
        </w:trPr>
        <w:tc>
          <w:tcPr>
            <w:tcW w:w="5300" w:type="dxa"/>
            <w:vAlign w:val="bottom"/>
          </w:tcPr>
          <w:p>
            <w:pPr>
              <w:spacing w:after="0"/>
              <w:rPr>
                <w:sz w:val="20"/>
                <w:szCs w:val="20"/>
                <w:color w:val="auto"/>
              </w:rPr>
            </w:pPr>
            <w:r>
              <w:rPr>
                <w:rFonts w:ascii="Times New Roman" w:cs="Times New Roman" w:eastAsia="Times New Roman" w:hAnsi="Times New Roman"/>
                <w:sz w:val="11"/>
                <w:szCs w:val="11"/>
                <w:color w:val="auto"/>
              </w:rPr>
              <w:t>Earnings per share</w:t>
            </w: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4"/>
        </w:trPr>
        <w:tc>
          <w:tcPr>
            <w:tcW w:w="5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Basic</w:t>
            </w:r>
          </w:p>
        </w:tc>
        <w:tc>
          <w:tcPr>
            <w:tcW w:w="920" w:type="dxa"/>
            <w:vAlign w:val="bottom"/>
            <w:tcBorders>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80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0.20</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w:t>
            </w:r>
          </w:p>
        </w:tc>
      </w:tr>
      <w:tr>
        <w:trPr>
          <w:trHeight w:val="181"/>
        </w:trPr>
        <w:tc>
          <w:tcPr>
            <w:tcW w:w="5300" w:type="dxa"/>
            <w:vAlign w:val="bottom"/>
            <w:tcBorders>
              <w:bottom w:val="single" w:sz="8" w:color="CCEEFF"/>
            </w:tcBorders>
          </w:tcPr>
          <w:p>
            <w:pPr>
              <w:ind w:left="220"/>
              <w:spacing w:after="0" w:line="121" w:lineRule="exact"/>
              <w:rPr>
                <w:sz w:val="20"/>
                <w:szCs w:val="20"/>
                <w:color w:val="auto"/>
              </w:rPr>
            </w:pPr>
            <w:r>
              <w:rPr>
                <w:rFonts w:ascii="Times New Roman" w:cs="Times New Roman" w:eastAsia="Times New Roman" w:hAnsi="Times New Roman"/>
                <w:sz w:val="11"/>
                <w:szCs w:val="11"/>
                <w:color w:val="auto"/>
              </w:rPr>
              <w:t>Diluted</w:t>
            </w:r>
          </w:p>
        </w:tc>
        <w:tc>
          <w:tcPr>
            <w:tcW w:w="92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80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3.04</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2.08</w:t>
            </w:r>
          </w:p>
        </w:tc>
      </w:tr>
      <w:tr>
        <w:trPr>
          <w:trHeight w:val="142"/>
        </w:trPr>
        <w:tc>
          <w:tcPr>
            <w:tcW w:w="53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92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0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r>
      <w:tr>
        <w:trPr>
          <w:trHeight w:val="164"/>
        </w:trPr>
        <w:tc>
          <w:tcPr>
            <w:tcW w:w="5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Basic</w:t>
            </w:r>
          </w:p>
        </w:tc>
        <w:tc>
          <w:tcPr>
            <w:tcW w:w="9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35,699</w:t>
            </w: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35,821</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35,878</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36,042</w:t>
            </w:r>
          </w:p>
        </w:tc>
      </w:tr>
      <w:tr>
        <w:trPr>
          <w:trHeight w:val="140"/>
        </w:trPr>
        <w:tc>
          <w:tcPr>
            <w:tcW w:w="5300" w:type="dxa"/>
            <w:vAlign w:val="bottom"/>
          </w:tcPr>
          <w:p>
            <w:pPr>
              <w:ind w:left="220"/>
              <w:spacing w:after="0" w:line="121" w:lineRule="exact"/>
              <w:rPr>
                <w:sz w:val="20"/>
                <w:szCs w:val="20"/>
                <w:color w:val="auto"/>
              </w:rPr>
            </w:pPr>
            <w:r>
              <w:rPr>
                <w:rFonts w:ascii="Times New Roman" w:cs="Times New Roman" w:eastAsia="Times New Roman" w:hAnsi="Times New Roman"/>
                <w:sz w:val="11"/>
                <w:szCs w:val="11"/>
                <w:color w:val="auto"/>
              </w:rPr>
              <w:t>Diluted</w:t>
            </w:r>
          </w:p>
        </w:tc>
        <w:tc>
          <w:tcPr>
            <w:tcW w:w="9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35,915</w:t>
            </w:r>
          </w:p>
        </w:tc>
        <w:tc>
          <w:tcPr>
            <w:tcW w:w="1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36,147</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36,242</w:t>
            </w:r>
          </w:p>
        </w:tc>
        <w:tc>
          <w:tcPr>
            <w:tcW w:w="1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36,546</w:t>
            </w:r>
          </w:p>
        </w:tc>
      </w:tr>
      <w:tr>
        <w:trPr>
          <w:trHeight w:val="20"/>
        </w:trPr>
        <w:tc>
          <w:tcPr>
            <w:tcW w:w="5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300"/>
          </w:cols>
          <w:pgMar w:left="300" w:top="845" w:right="29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Shutterstock,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 except par value amount)</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240" w:type="dxa"/>
            <w:vAlign w:val="bottom"/>
          </w:tcPr>
          <w:p>
            <w:pPr>
              <w:spacing w:after="0"/>
              <w:rPr>
                <w:sz w:val="11"/>
                <w:szCs w:val="11"/>
                <w:color w:val="auto"/>
              </w:rPr>
            </w:pPr>
          </w:p>
        </w:tc>
        <w:tc>
          <w:tcPr>
            <w:tcW w:w="1400" w:type="dxa"/>
            <w:vAlign w:val="bottom"/>
          </w:tcPr>
          <w:p>
            <w:pPr>
              <w:jc w:val="right"/>
              <w:ind w:right="386"/>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0" w:type="dxa"/>
            <w:vAlign w:val="bottom"/>
          </w:tcPr>
          <w:p>
            <w:pPr>
              <w:spacing w:after="0"/>
              <w:rPr>
                <w:sz w:val="1"/>
                <w:szCs w:val="1"/>
                <w:color w:val="auto"/>
              </w:rPr>
            </w:pPr>
          </w:p>
        </w:tc>
      </w:tr>
      <w:tr>
        <w:trPr>
          <w:trHeight w:val="133"/>
        </w:trPr>
        <w:tc>
          <w:tcPr>
            <w:tcW w:w="79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Current assets:</w:t>
            </w: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100,490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115,154</w:t>
            </w:r>
          </w:p>
        </w:tc>
        <w:tc>
          <w:tcPr>
            <w:tcW w:w="0" w:type="dxa"/>
            <w:vAlign w:val="bottom"/>
          </w:tcPr>
          <w:p>
            <w:pPr>
              <w:spacing w:after="0"/>
              <w:rPr>
                <w:sz w:val="1"/>
                <w:szCs w:val="1"/>
                <w:color w:val="auto"/>
              </w:rPr>
            </w:pPr>
          </w:p>
        </w:tc>
      </w:tr>
      <w:tr>
        <w:trPr>
          <w:trHeight w:val="142"/>
        </w:trPr>
        <w:tc>
          <w:tcPr>
            <w:tcW w:w="79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Accounts receivable, net of allowance of $6,335 and $5,830</w:t>
            </w:r>
          </w:p>
        </w:tc>
        <w:tc>
          <w:tcPr>
            <w:tcW w:w="2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91,139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67,249</w:t>
            </w:r>
          </w:p>
        </w:tc>
        <w:tc>
          <w:tcPr>
            <w:tcW w:w="0" w:type="dxa"/>
            <w:vAlign w:val="bottom"/>
          </w:tcPr>
          <w:p>
            <w:pPr>
              <w:spacing w:after="0"/>
              <w:rPr>
                <w:sz w:val="1"/>
                <w:szCs w:val="1"/>
                <w:color w:val="auto"/>
              </w:rPr>
            </w:pPr>
          </w:p>
        </w:tc>
      </w:tr>
      <w:tr>
        <w:trPr>
          <w:trHeight w:val="14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24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100,944</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33,268</w:t>
            </w:r>
          </w:p>
        </w:tc>
        <w:tc>
          <w:tcPr>
            <w:tcW w:w="0" w:type="dxa"/>
            <w:vAlign w:val="bottom"/>
          </w:tcPr>
          <w:p>
            <w:pPr>
              <w:spacing w:after="0"/>
              <w:rPr>
                <w:sz w:val="1"/>
                <w:szCs w:val="1"/>
                <w:color w:val="auto"/>
              </w:rPr>
            </w:pPr>
          </w:p>
        </w:tc>
      </w:tr>
      <w:tr>
        <w:trPr>
          <w:trHeight w:val="131"/>
        </w:trPr>
        <w:tc>
          <w:tcPr>
            <w:tcW w:w="7900" w:type="dxa"/>
            <w:vAlign w:val="bottom"/>
          </w:tcPr>
          <w:p>
            <w:pPr>
              <w:ind w:left="360"/>
              <w:spacing w:after="0" w:line="121" w:lineRule="exact"/>
              <w:rPr>
                <w:sz w:val="20"/>
                <w:szCs w:val="20"/>
                <w:color w:val="auto"/>
              </w:rPr>
            </w:pPr>
            <w:r>
              <w:rPr>
                <w:rFonts w:ascii="Times New Roman" w:cs="Times New Roman" w:eastAsia="Times New Roman" w:hAnsi="Times New Roman"/>
                <w:sz w:val="11"/>
                <w:szCs w:val="11"/>
                <w:color w:val="auto"/>
              </w:rPr>
              <w:t>Total current assets</w:t>
            </w:r>
          </w:p>
        </w:tc>
        <w:tc>
          <w:tcPr>
            <w:tcW w:w="24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292,573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215,671</w:t>
            </w:r>
          </w:p>
        </w:tc>
        <w:tc>
          <w:tcPr>
            <w:tcW w:w="0" w:type="dxa"/>
            <w:vAlign w:val="bottom"/>
          </w:tcPr>
          <w:p>
            <w:pPr>
              <w:spacing w:after="0"/>
              <w:rPr>
                <w:sz w:val="1"/>
                <w:szCs w:val="1"/>
                <w:color w:val="auto"/>
              </w:rPr>
            </w:pPr>
          </w:p>
        </w:tc>
      </w:tr>
      <w:tr>
        <w:trPr>
          <w:trHeight w:val="146"/>
        </w:trPr>
        <w:tc>
          <w:tcPr>
            <w:tcW w:w="7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64,300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54,548</w:t>
            </w:r>
          </w:p>
        </w:tc>
        <w:tc>
          <w:tcPr>
            <w:tcW w:w="0" w:type="dxa"/>
            <w:vAlign w:val="bottom"/>
          </w:tcPr>
          <w:p>
            <w:pPr>
              <w:spacing w:after="0"/>
              <w:rPr>
                <w:sz w:val="1"/>
                <w:szCs w:val="1"/>
                <w:color w:val="auto"/>
              </w:rPr>
            </w:pPr>
          </w:p>
        </w:tc>
      </w:tr>
      <w:tr>
        <w:trPr>
          <w:trHeight w:val="142"/>
        </w:trPr>
        <w:tc>
          <w:tcPr>
            <w:tcW w:w="7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Right-of-use assets</w:t>
            </w:r>
          </w:p>
        </w:tc>
        <w:tc>
          <w:tcPr>
            <w:tcW w:w="2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15,395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17,593</w:t>
            </w:r>
          </w:p>
        </w:tc>
        <w:tc>
          <w:tcPr>
            <w:tcW w:w="0" w:type="dxa"/>
            <w:vAlign w:val="bottom"/>
          </w:tcPr>
          <w:p>
            <w:pPr>
              <w:spacing w:after="0"/>
              <w:rPr>
                <w:sz w:val="1"/>
                <w:szCs w:val="1"/>
                <w:color w:val="auto"/>
              </w:rPr>
            </w:pPr>
          </w:p>
        </w:tc>
      </w:tr>
      <w:tr>
        <w:trPr>
          <w:trHeight w:val="146"/>
        </w:trPr>
        <w:tc>
          <w:tcPr>
            <w:tcW w:w="7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Intangibles assets, net</w:t>
            </w: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184,396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173,087</w:t>
            </w:r>
          </w:p>
        </w:tc>
        <w:tc>
          <w:tcPr>
            <w:tcW w:w="0" w:type="dxa"/>
            <w:vAlign w:val="bottom"/>
          </w:tcPr>
          <w:p>
            <w:pPr>
              <w:spacing w:after="0"/>
              <w:rPr>
                <w:sz w:val="1"/>
                <w:szCs w:val="1"/>
                <w:color w:val="auto"/>
              </w:rPr>
            </w:pPr>
          </w:p>
        </w:tc>
      </w:tr>
      <w:tr>
        <w:trPr>
          <w:trHeight w:val="142"/>
        </w:trPr>
        <w:tc>
          <w:tcPr>
            <w:tcW w:w="7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Goodwill</w:t>
            </w:r>
          </w:p>
        </w:tc>
        <w:tc>
          <w:tcPr>
            <w:tcW w:w="2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383,325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381,920</w:t>
            </w:r>
          </w:p>
        </w:tc>
        <w:tc>
          <w:tcPr>
            <w:tcW w:w="0" w:type="dxa"/>
            <w:vAlign w:val="bottom"/>
          </w:tcPr>
          <w:p>
            <w:pPr>
              <w:spacing w:after="0"/>
              <w:rPr>
                <w:sz w:val="1"/>
                <w:szCs w:val="1"/>
                <w:color w:val="auto"/>
              </w:rPr>
            </w:pPr>
          </w:p>
        </w:tc>
      </w:tr>
      <w:tr>
        <w:trPr>
          <w:trHeight w:val="146"/>
        </w:trPr>
        <w:tc>
          <w:tcPr>
            <w:tcW w:w="7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Deferred tax assets, net</w:t>
            </w: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24,874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16,533</w:t>
            </w:r>
          </w:p>
        </w:tc>
        <w:tc>
          <w:tcPr>
            <w:tcW w:w="0" w:type="dxa"/>
            <w:vAlign w:val="bottom"/>
          </w:tcPr>
          <w:p>
            <w:pPr>
              <w:spacing w:after="0"/>
              <w:rPr>
                <w:sz w:val="1"/>
                <w:szCs w:val="1"/>
                <w:color w:val="auto"/>
              </w:rPr>
            </w:pPr>
          </w:p>
        </w:tc>
      </w:tr>
      <w:tr>
        <w:trPr>
          <w:trHeight w:val="142"/>
        </w:trPr>
        <w:tc>
          <w:tcPr>
            <w:tcW w:w="79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Other assets</w:t>
            </w:r>
          </w:p>
        </w:tc>
        <w:tc>
          <w:tcPr>
            <w:tcW w:w="2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71,152</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21,832</w:t>
            </w:r>
          </w:p>
        </w:tc>
        <w:tc>
          <w:tcPr>
            <w:tcW w:w="0" w:type="dxa"/>
            <w:vAlign w:val="bottom"/>
          </w:tcPr>
          <w:p>
            <w:pPr>
              <w:spacing w:after="0"/>
              <w:rPr>
                <w:sz w:val="1"/>
                <w:szCs w:val="1"/>
                <w:color w:val="auto"/>
              </w:rPr>
            </w:pPr>
          </w:p>
        </w:tc>
      </w:tr>
      <w:tr>
        <w:trPr>
          <w:trHeight w:val="151"/>
        </w:trPr>
        <w:tc>
          <w:tcPr>
            <w:tcW w:w="7900" w:type="dxa"/>
            <w:vAlign w:val="bottom"/>
            <w:tcBorders>
              <w:bottom w:val="single" w:sz="8" w:color="CCEEFF"/>
            </w:tcBorders>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Total assets</w:t>
            </w: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1,036,015</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881,184</w:t>
            </w:r>
          </w:p>
        </w:tc>
        <w:tc>
          <w:tcPr>
            <w:tcW w:w="0" w:type="dxa"/>
            <w:vAlign w:val="bottom"/>
          </w:tcPr>
          <w:p>
            <w:pPr>
              <w:spacing w:after="0"/>
              <w:rPr>
                <w:sz w:val="1"/>
                <w:szCs w:val="1"/>
                <w:color w:val="auto"/>
              </w:rPr>
            </w:pPr>
          </w:p>
        </w:tc>
      </w:tr>
      <w:tr>
        <w:trPr>
          <w:trHeight w:val="117"/>
        </w:trPr>
        <w:tc>
          <w:tcPr>
            <w:tcW w:w="7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Current liabilities:</w:t>
            </w: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Accounts payable</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9,108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7,183</w:t>
            </w:r>
          </w:p>
        </w:tc>
        <w:tc>
          <w:tcPr>
            <w:tcW w:w="0" w:type="dxa"/>
            <w:vAlign w:val="bottom"/>
          </w:tcPr>
          <w:p>
            <w:pPr>
              <w:spacing w:after="0"/>
              <w:rPr>
                <w:sz w:val="1"/>
                <w:szCs w:val="1"/>
                <w:color w:val="auto"/>
              </w:rPr>
            </w:pPr>
          </w:p>
        </w:tc>
      </w:tr>
      <w:tr>
        <w:trPr>
          <w:trHeight w:val="142"/>
        </w:trPr>
        <w:tc>
          <w:tcPr>
            <w:tcW w:w="79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Accrued expenses</w:t>
            </w:r>
          </w:p>
        </w:tc>
        <w:tc>
          <w:tcPr>
            <w:tcW w:w="2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131,443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89,387</w:t>
            </w:r>
          </w:p>
        </w:tc>
        <w:tc>
          <w:tcPr>
            <w:tcW w:w="0" w:type="dxa"/>
            <w:vAlign w:val="bottom"/>
          </w:tcPr>
          <w:p>
            <w:pPr>
              <w:spacing w:after="0"/>
              <w:rPr>
                <w:sz w:val="1"/>
                <w:szCs w:val="1"/>
                <w:color w:val="auto"/>
              </w:rPr>
            </w:pPr>
          </w:p>
        </w:tc>
      </w:tr>
      <w:tr>
        <w:trPr>
          <w:trHeight w:val="14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Contributor royalties payable</w:t>
            </w: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54,859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38,649</w:t>
            </w:r>
          </w:p>
        </w:tc>
        <w:tc>
          <w:tcPr>
            <w:tcW w:w="0" w:type="dxa"/>
            <w:vAlign w:val="bottom"/>
          </w:tcPr>
          <w:p>
            <w:pPr>
              <w:spacing w:after="0"/>
              <w:rPr>
                <w:sz w:val="1"/>
                <w:szCs w:val="1"/>
                <w:color w:val="auto"/>
              </w:rPr>
            </w:pPr>
          </w:p>
        </w:tc>
      </w:tr>
      <w:tr>
        <w:trPr>
          <w:trHeight w:val="142"/>
        </w:trPr>
        <w:tc>
          <w:tcPr>
            <w:tcW w:w="79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Deferred revenue</w:t>
            </w:r>
          </w:p>
        </w:tc>
        <w:tc>
          <w:tcPr>
            <w:tcW w:w="2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203,463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187,070</w:t>
            </w:r>
          </w:p>
        </w:tc>
        <w:tc>
          <w:tcPr>
            <w:tcW w:w="0" w:type="dxa"/>
            <w:vAlign w:val="bottom"/>
          </w:tcPr>
          <w:p>
            <w:pPr>
              <w:spacing w:after="0"/>
              <w:rPr>
                <w:sz w:val="1"/>
                <w:szCs w:val="1"/>
                <w:color w:val="auto"/>
              </w:rPr>
            </w:pPr>
          </w:p>
        </w:tc>
      </w:tr>
      <w:tr>
        <w:trPr>
          <w:trHeight w:val="14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Debt</w:t>
            </w: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30,000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50,000</w:t>
            </w:r>
          </w:p>
        </w:tc>
        <w:tc>
          <w:tcPr>
            <w:tcW w:w="0" w:type="dxa"/>
            <w:vAlign w:val="bottom"/>
          </w:tcPr>
          <w:p>
            <w:pPr>
              <w:spacing w:after="0"/>
              <w:rPr>
                <w:sz w:val="1"/>
                <w:szCs w:val="1"/>
                <w:color w:val="auto"/>
              </w:rPr>
            </w:pPr>
          </w:p>
        </w:tc>
      </w:tr>
      <w:tr>
        <w:trPr>
          <w:trHeight w:val="142"/>
        </w:trPr>
        <w:tc>
          <w:tcPr>
            <w:tcW w:w="7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2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23,513</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11,445</w:t>
            </w:r>
          </w:p>
        </w:tc>
        <w:tc>
          <w:tcPr>
            <w:tcW w:w="0" w:type="dxa"/>
            <w:vAlign w:val="bottom"/>
          </w:tcPr>
          <w:p>
            <w:pPr>
              <w:spacing w:after="0"/>
              <w:rPr>
                <w:sz w:val="1"/>
                <w:szCs w:val="1"/>
                <w:color w:val="auto"/>
              </w:rPr>
            </w:pPr>
          </w:p>
        </w:tc>
      </w:tr>
      <w:tr>
        <w:trPr>
          <w:trHeight w:val="135"/>
        </w:trPr>
        <w:tc>
          <w:tcPr>
            <w:tcW w:w="7900" w:type="dxa"/>
            <w:vAlign w:val="bottom"/>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Total current liabilities</w:t>
            </w:r>
          </w:p>
        </w:tc>
        <w:tc>
          <w:tcPr>
            <w:tcW w:w="24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452,386</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383,734</w:t>
            </w:r>
          </w:p>
        </w:tc>
        <w:tc>
          <w:tcPr>
            <w:tcW w:w="0" w:type="dxa"/>
            <w:vAlign w:val="bottom"/>
          </w:tcPr>
          <w:p>
            <w:pPr>
              <w:spacing w:after="0"/>
              <w:rPr>
                <w:sz w:val="1"/>
                <w:szCs w:val="1"/>
                <w:color w:val="auto"/>
              </w:rPr>
            </w:pPr>
          </w:p>
        </w:tc>
      </w:tr>
      <w:tr>
        <w:trPr>
          <w:trHeight w:val="142"/>
        </w:trPr>
        <w:tc>
          <w:tcPr>
            <w:tcW w:w="7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Deferred tax liability, net</w:t>
            </w:r>
          </w:p>
        </w:tc>
        <w:tc>
          <w:tcPr>
            <w:tcW w:w="2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4,182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4,465</w:t>
            </w:r>
          </w:p>
        </w:tc>
        <w:tc>
          <w:tcPr>
            <w:tcW w:w="0" w:type="dxa"/>
            <w:vAlign w:val="bottom"/>
          </w:tcPr>
          <w:p>
            <w:pPr>
              <w:spacing w:after="0"/>
              <w:rPr>
                <w:sz w:val="1"/>
                <w:szCs w:val="1"/>
                <w:color w:val="auto"/>
              </w:rPr>
            </w:pPr>
          </w:p>
        </w:tc>
      </w:tr>
      <w:tr>
        <w:trPr>
          <w:trHeight w:val="146"/>
        </w:trPr>
        <w:tc>
          <w:tcPr>
            <w:tcW w:w="7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Lease liabilities</w:t>
            </w: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29,404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35,611</w:t>
            </w:r>
          </w:p>
        </w:tc>
        <w:tc>
          <w:tcPr>
            <w:tcW w:w="0" w:type="dxa"/>
            <w:vAlign w:val="bottom"/>
          </w:tcPr>
          <w:p>
            <w:pPr>
              <w:spacing w:after="0"/>
              <w:rPr>
                <w:sz w:val="1"/>
                <w:szCs w:val="1"/>
                <w:color w:val="auto"/>
              </w:rPr>
            </w:pPr>
          </w:p>
        </w:tc>
      </w:tr>
      <w:tr>
        <w:trPr>
          <w:trHeight w:val="142"/>
        </w:trPr>
        <w:tc>
          <w:tcPr>
            <w:tcW w:w="79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Other non-current liabilities</w:t>
            </w:r>
          </w:p>
        </w:tc>
        <w:tc>
          <w:tcPr>
            <w:tcW w:w="2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22,949</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9,892</w:t>
            </w:r>
          </w:p>
        </w:tc>
        <w:tc>
          <w:tcPr>
            <w:tcW w:w="0" w:type="dxa"/>
            <w:vAlign w:val="bottom"/>
          </w:tcPr>
          <w:p>
            <w:pPr>
              <w:spacing w:after="0"/>
              <w:rPr>
                <w:sz w:val="1"/>
                <w:szCs w:val="1"/>
                <w:color w:val="auto"/>
              </w:rPr>
            </w:pPr>
          </w:p>
        </w:tc>
      </w:tr>
      <w:tr>
        <w:trPr>
          <w:trHeight w:val="135"/>
        </w:trPr>
        <w:tc>
          <w:tcPr>
            <w:tcW w:w="790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Total liabilities</w:t>
            </w:r>
          </w:p>
        </w:tc>
        <w:tc>
          <w:tcPr>
            <w:tcW w:w="240" w:type="dxa"/>
            <w:vAlign w:val="bottom"/>
            <w:tcBorders>
              <w:bottom w:val="single" w:sz="8" w:color="auto"/>
            </w:tcBorders>
            <w:shd w:val="clear" w:color="auto" w:fill="CCEEFF"/>
          </w:tcPr>
          <w:p>
            <w:pPr>
              <w:spacing w:after="0"/>
              <w:rPr>
                <w:sz w:val="11"/>
                <w:szCs w:val="1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508,921</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433,702</w:t>
            </w:r>
          </w:p>
        </w:tc>
        <w:tc>
          <w:tcPr>
            <w:tcW w:w="0" w:type="dxa"/>
            <w:vAlign w:val="bottom"/>
          </w:tcPr>
          <w:p>
            <w:pPr>
              <w:spacing w:after="0"/>
              <w:rPr>
                <w:sz w:val="1"/>
                <w:szCs w:val="1"/>
                <w:color w:val="auto"/>
              </w:rPr>
            </w:pPr>
          </w:p>
        </w:tc>
      </w:tr>
      <w:tr>
        <w:trPr>
          <w:trHeight w:val="127"/>
        </w:trPr>
        <w:tc>
          <w:tcPr>
            <w:tcW w:w="7900" w:type="dxa"/>
            <w:vAlign w:val="bottom"/>
          </w:tcPr>
          <w:p>
            <w:pPr>
              <w:ind w:left="80"/>
              <w:spacing w:after="0" w:line="121" w:lineRule="exact"/>
              <w:rPr>
                <w:sz w:val="20"/>
                <w:szCs w:val="20"/>
                <w:color w:val="auto"/>
              </w:rPr>
            </w:pPr>
            <w:r>
              <w:rPr>
                <w:rFonts w:ascii="Times New Roman" w:cs="Times New Roman" w:eastAsia="Times New Roman" w:hAnsi="Times New Roman"/>
                <w:sz w:val="11"/>
                <w:szCs w:val="11"/>
                <w:color w:val="auto"/>
              </w:rPr>
              <w:t>Commitment and contingencies</w:t>
            </w: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7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Stockholders’ equity:</w:t>
            </w:r>
          </w:p>
        </w:tc>
        <w:tc>
          <w:tcPr>
            <w:tcW w:w="2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7900" w:type="dxa"/>
            <w:vAlign w:val="bottom"/>
          </w:tcPr>
          <w:p>
            <w:pPr>
              <w:ind w:left="220"/>
              <w:spacing w:after="0" w:line="108" w:lineRule="exact"/>
              <w:rPr>
                <w:sz w:val="20"/>
                <w:szCs w:val="20"/>
                <w:color w:val="auto"/>
              </w:rPr>
            </w:pPr>
            <w:r>
              <w:rPr>
                <w:rFonts w:ascii="Times New Roman" w:cs="Times New Roman" w:eastAsia="Times New Roman" w:hAnsi="Times New Roman"/>
                <w:sz w:val="11"/>
                <w:szCs w:val="11"/>
                <w:color w:val="auto"/>
              </w:rPr>
              <w:t>Common stock, $0.01 par value; 200,000 shares authorized; 39,981 and 39,605 shares issued and 35,571 and 35,829 shares outstanding as of December 31, 2023 and</w:t>
            </w:r>
          </w:p>
        </w:tc>
        <w:tc>
          <w:tcPr>
            <w:tcW w:w="24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399</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396</w:t>
            </w:r>
          </w:p>
        </w:tc>
        <w:tc>
          <w:tcPr>
            <w:tcW w:w="0" w:type="dxa"/>
            <w:vAlign w:val="bottom"/>
          </w:tcPr>
          <w:p>
            <w:pPr>
              <w:spacing w:after="0"/>
              <w:rPr>
                <w:sz w:val="1"/>
                <w:szCs w:val="1"/>
                <w:color w:val="auto"/>
              </w:rPr>
            </w:pPr>
          </w:p>
        </w:tc>
      </w:tr>
      <w:tr>
        <w:trPr>
          <w:trHeight w:val="142"/>
        </w:trPr>
        <w:tc>
          <w:tcPr>
            <w:tcW w:w="79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December 31, 2022, respectively</w:t>
            </w:r>
          </w:p>
        </w:tc>
        <w:tc>
          <w:tcPr>
            <w:tcW w:w="2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Treasury stock, at cost; 4,410 and 3,776 shares as of December 31, 2023 and December 31, 2022</w:t>
            </w: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(228,213)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(200,008)</w:t>
            </w:r>
          </w:p>
        </w:tc>
        <w:tc>
          <w:tcPr>
            <w:tcW w:w="0" w:type="dxa"/>
            <w:vAlign w:val="bottom"/>
          </w:tcPr>
          <w:p>
            <w:pPr>
              <w:spacing w:after="0"/>
              <w:rPr>
                <w:sz w:val="1"/>
                <w:szCs w:val="1"/>
                <w:color w:val="auto"/>
              </w:rPr>
            </w:pPr>
          </w:p>
        </w:tc>
      </w:tr>
      <w:tr>
        <w:trPr>
          <w:trHeight w:val="142"/>
        </w:trPr>
        <w:tc>
          <w:tcPr>
            <w:tcW w:w="79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424,229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391,482</w:t>
            </w:r>
          </w:p>
        </w:tc>
        <w:tc>
          <w:tcPr>
            <w:tcW w:w="0" w:type="dxa"/>
            <w:vAlign w:val="bottom"/>
          </w:tcPr>
          <w:p>
            <w:pPr>
              <w:spacing w:after="0"/>
              <w:rPr>
                <w:sz w:val="1"/>
                <w:szCs w:val="1"/>
                <w:color w:val="auto"/>
              </w:rPr>
            </w:pPr>
          </w:p>
        </w:tc>
      </w:tr>
      <w:tr>
        <w:trPr>
          <w:trHeight w:val="14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(11,974)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(15,439)</w:t>
            </w:r>
          </w:p>
        </w:tc>
        <w:tc>
          <w:tcPr>
            <w:tcW w:w="0" w:type="dxa"/>
            <w:vAlign w:val="bottom"/>
          </w:tcPr>
          <w:p>
            <w:pPr>
              <w:spacing w:after="0"/>
              <w:rPr>
                <w:sz w:val="1"/>
                <w:szCs w:val="1"/>
                <w:color w:val="auto"/>
              </w:rPr>
            </w:pPr>
          </w:p>
        </w:tc>
      </w:tr>
      <w:tr>
        <w:trPr>
          <w:trHeight w:val="142"/>
        </w:trPr>
        <w:tc>
          <w:tcPr>
            <w:tcW w:w="7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Retained earnings</w:t>
            </w:r>
          </w:p>
        </w:tc>
        <w:tc>
          <w:tcPr>
            <w:tcW w:w="2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342,653</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271,051</w:t>
            </w:r>
          </w:p>
        </w:tc>
        <w:tc>
          <w:tcPr>
            <w:tcW w:w="0" w:type="dxa"/>
            <w:vAlign w:val="bottom"/>
          </w:tcPr>
          <w:p>
            <w:pPr>
              <w:spacing w:after="0"/>
              <w:rPr>
                <w:sz w:val="1"/>
                <w:szCs w:val="1"/>
                <w:color w:val="auto"/>
              </w:rPr>
            </w:pPr>
          </w:p>
        </w:tc>
      </w:tr>
      <w:tr>
        <w:trPr>
          <w:trHeight w:val="135"/>
        </w:trPr>
        <w:tc>
          <w:tcPr>
            <w:tcW w:w="7900" w:type="dxa"/>
            <w:vAlign w:val="bottom"/>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Total stockholders’ equity</w:t>
            </w:r>
          </w:p>
        </w:tc>
        <w:tc>
          <w:tcPr>
            <w:tcW w:w="240" w:type="dxa"/>
            <w:vAlign w:val="bottom"/>
            <w:tcBorders>
              <w:bottom w:val="single" w:sz="8" w:color="auto"/>
            </w:tcBorders>
            <w:shd w:val="clear" w:color="auto" w:fill="CCEEFF"/>
          </w:tcPr>
          <w:p>
            <w:pPr>
              <w:spacing w:after="0"/>
              <w:rPr>
                <w:sz w:val="11"/>
                <w:szCs w:val="1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527,094</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447,482</w:t>
            </w:r>
          </w:p>
        </w:tc>
        <w:tc>
          <w:tcPr>
            <w:tcW w:w="0" w:type="dxa"/>
            <w:vAlign w:val="bottom"/>
          </w:tcPr>
          <w:p>
            <w:pPr>
              <w:spacing w:after="0"/>
              <w:rPr>
                <w:sz w:val="1"/>
                <w:szCs w:val="1"/>
                <w:color w:val="auto"/>
              </w:rPr>
            </w:pPr>
          </w:p>
        </w:tc>
      </w:tr>
      <w:tr>
        <w:trPr>
          <w:trHeight w:val="131"/>
        </w:trPr>
        <w:tc>
          <w:tcPr>
            <w:tcW w:w="7900" w:type="dxa"/>
            <w:vAlign w:val="bottom"/>
          </w:tcPr>
          <w:p>
            <w:pPr>
              <w:ind w:left="80"/>
              <w:spacing w:after="0" w:line="121" w:lineRule="exact"/>
              <w:rPr>
                <w:sz w:val="20"/>
                <w:szCs w:val="20"/>
                <w:color w:val="auto"/>
              </w:rPr>
            </w:pPr>
            <w:r>
              <w:rPr>
                <w:rFonts w:ascii="Times New Roman" w:cs="Times New Roman" w:eastAsia="Times New Roman" w:hAnsi="Times New Roman"/>
                <w:sz w:val="11"/>
                <w:szCs w:val="11"/>
                <w:color w:val="auto"/>
              </w:rPr>
              <w:t>Total liabilities and stockholders’ equity</w:t>
            </w: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1,036,015</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881,184</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300"/>
          </w:cols>
          <w:pgMar w:left="300" w:top="845" w:right="299" w:bottom="1440" w:gutter="0" w:footer="0" w:header="0"/>
        </w:sectPr>
      </w:pPr>
    </w:p>
    <w:bookmarkStart w:id="13" w:name="page14"/>
    <w:bookmarkEnd w:id="13"/>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Shutterstock, Inc.</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(In thousands, except par value amount) (unaudited)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0160"/>
          </w:cols>
          <w:pgMar w:left="1440" w:top="1061" w:right="2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15"/>
        </w:trPr>
        <w:tc>
          <w:tcPr>
            <w:tcW w:w="6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Three Months Ended</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3"/>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680" w:type="dxa"/>
            <w:vAlign w:val="bottom"/>
          </w:tcPr>
          <w:p>
            <w:pPr>
              <w:spacing w:after="0"/>
              <w:rPr>
                <w:sz w:val="10"/>
                <w:szCs w:val="10"/>
                <w:color w:val="auto"/>
              </w:rPr>
            </w:pPr>
          </w:p>
        </w:tc>
      </w:tr>
      <w:tr>
        <w:trPr>
          <w:trHeight w:val="129"/>
        </w:trPr>
        <w:tc>
          <w:tcPr>
            <w:tcW w:w="68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ind w:right="10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680" w:type="dxa"/>
            <w:vAlign w:val="bottom"/>
            <w:tcBorders>
              <w:bottom w:val="single" w:sz="8" w:color="auto"/>
            </w:tcBorders>
          </w:tcPr>
          <w:p>
            <w:pPr>
              <w:spacing w:after="0"/>
              <w:rPr>
                <w:sz w:val="11"/>
                <w:szCs w:val="11"/>
                <w:color w:val="auto"/>
              </w:rPr>
            </w:pPr>
          </w:p>
        </w:tc>
      </w:tr>
      <w:tr>
        <w:trPr>
          <w:trHeight w:val="149"/>
        </w:trPr>
        <w:tc>
          <w:tcPr>
            <w:tcW w:w="68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0"/>
                <w:szCs w:val="10"/>
                <w:b w:val="1"/>
                <w:bCs w:val="1"/>
                <w:color w:val="auto"/>
                <w:w w:val="89"/>
              </w:rPr>
              <w:t>2022</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43"/>
        </w:trPr>
        <w:tc>
          <w:tcPr>
            <w:tcW w:w="6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58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r>
      <w:tr>
        <w:trPr>
          <w:trHeight w:val="145"/>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 / income</w:t>
            </w:r>
          </w:p>
        </w:tc>
        <w:tc>
          <w:tcPr>
            <w:tcW w:w="580" w:type="dxa"/>
            <w:vAlign w:val="bottom"/>
            <w:shd w:val="clear" w:color="auto" w:fill="CCEEFF"/>
          </w:tcPr>
          <w:p>
            <w:pPr>
              <w:jc w:val="right"/>
              <w:ind w:right="46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7,046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110,269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76,103</w:t>
            </w:r>
          </w:p>
        </w:tc>
      </w:tr>
      <w:tr>
        <w:trPr>
          <w:trHeight w:val="142"/>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18,636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79,729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68,470</w:t>
            </w:r>
          </w:p>
        </w:tc>
      </w:tr>
      <w:tr>
        <w:trPr>
          <w:trHeight w:val="142"/>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Deferred taxes</w:t>
            </w:r>
          </w:p>
        </w:tc>
        <w:tc>
          <w:tcPr>
            <w:tcW w:w="5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(5,216)</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(26,176)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(10,587)</w:t>
            </w:r>
          </w:p>
        </w:tc>
      </w:tr>
      <w:tr>
        <w:trPr>
          <w:trHeight w:val="14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Non-cash equity-based compensation</w:t>
            </w: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11,988</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11,782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48,577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35,740</w:t>
            </w:r>
          </w:p>
        </w:tc>
      </w:tr>
      <w:tr>
        <w:trPr>
          <w:trHeight w:val="142"/>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Impairment of lease and related assets</w:t>
            </w:r>
          </w:p>
        </w:tc>
        <w:tc>
          <w:tcPr>
            <w:tcW w:w="5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18,664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18,664</w:t>
            </w:r>
          </w:p>
        </w:tc>
      </w:tr>
      <w:tr>
        <w:trPr>
          <w:trHeight w:val="14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Bad debt expense</w:t>
            </w: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1,894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3,697</w:t>
            </w:r>
          </w:p>
        </w:tc>
      </w:tr>
      <w:tr>
        <w:trPr>
          <w:trHeight w:val="142"/>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Bargain purchase gain</w:t>
            </w:r>
          </w:p>
        </w:tc>
        <w:tc>
          <w:tcPr>
            <w:tcW w:w="5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1,543</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(50,261)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2"/>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Accounts receivable</w:t>
            </w:r>
          </w:p>
        </w:tc>
        <w:tc>
          <w:tcPr>
            <w:tcW w:w="5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(5,768)</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(16,564)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(24,409)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(22,105)</w:t>
            </w:r>
          </w:p>
        </w:tc>
      </w:tr>
      <w:tr>
        <w:trPr>
          <w:trHeight w:val="14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Prepaid expenses and other current and non-current assets</w:t>
            </w: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(8,334)</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(50,501)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532</w:t>
            </w:r>
          </w:p>
        </w:tc>
      </w:tr>
      <w:tr>
        <w:trPr>
          <w:trHeight w:val="142"/>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Accounts payable and other current and non-current liabilities</w:t>
            </w:r>
          </w:p>
        </w:tc>
        <w:tc>
          <w:tcPr>
            <w:tcW w:w="5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16,999</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8,599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20,892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(24,328)</w:t>
            </w:r>
          </w:p>
        </w:tc>
      </w:tr>
      <w:tr>
        <w:trPr>
          <w:trHeight w:val="14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Contributor royalties payable</w:t>
            </w: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4,560</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15,841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7,772</w:t>
            </w:r>
          </w:p>
        </w:tc>
      </w:tr>
      <w:tr>
        <w:trPr>
          <w:trHeight w:val="142"/>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Deferred revenue</w:t>
            </w:r>
          </w:p>
        </w:tc>
        <w:tc>
          <w:tcPr>
            <w:tcW w:w="5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(1,673)</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7,783</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14,697</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4,493</w:t>
            </w:r>
          </w:p>
        </w:tc>
      </w:tr>
      <w:tr>
        <w:trPr>
          <w:trHeight w:val="142"/>
        </w:trPr>
        <w:tc>
          <w:tcPr>
            <w:tcW w:w="682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Net cash provided by operating activities</w:t>
            </w:r>
          </w:p>
        </w:tc>
        <w:tc>
          <w:tcPr>
            <w:tcW w:w="580" w:type="dxa"/>
            <w:vAlign w:val="bottom"/>
            <w:tcBorders>
              <w:bottom w:val="single" w:sz="8" w:color="auto"/>
            </w:tcBorders>
            <w:shd w:val="clear" w:color="auto" w:fill="CCEEFF"/>
          </w:tcPr>
          <w:p>
            <w:pPr>
              <w:jc w:val="right"/>
              <w:ind w:right="46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33,949</w:t>
            </w:r>
          </w:p>
        </w:tc>
        <w:tc>
          <w:tcPr>
            <w:tcW w:w="8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61,162</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140,552</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158,451</w:t>
            </w:r>
          </w:p>
        </w:tc>
      </w:tr>
      <w:tr>
        <w:trPr>
          <w:trHeight w:val="15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42"/>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Capital expenditures</w:t>
            </w:r>
          </w:p>
        </w:tc>
        <w:tc>
          <w:tcPr>
            <w:tcW w:w="5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(9,930)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(10,374)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(44,645)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(43,296)</w:t>
            </w:r>
          </w:p>
        </w:tc>
      </w:tr>
      <w:tr>
        <w:trPr>
          <w:trHeight w:val="14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Business combination, net of cash acquired</w:t>
            </w:r>
          </w:p>
        </w:tc>
        <w:tc>
          <w:tcPr>
            <w:tcW w:w="5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(53,721)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(211,843)</w:t>
            </w:r>
          </w:p>
        </w:tc>
      </w:tr>
      <w:tr>
        <w:trPr>
          <w:trHeight w:val="142"/>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Cash received related to Giphy Retention Compensation</w:t>
            </w:r>
          </w:p>
        </w:tc>
        <w:tc>
          <w:tcPr>
            <w:tcW w:w="5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18,950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53,657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Asset acquisitions</w:t>
            </w:r>
          </w:p>
        </w:tc>
        <w:tc>
          <w:tcPr>
            <w:tcW w:w="5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(3,417)</w:t>
            </w:r>
          </w:p>
        </w:tc>
      </w:tr>
      <w:tr>
        <w:trPr>
          <w:trHeight w:val="142"/>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Content acquisitions</w:t>
            </w:r>
          </w:p>
        </w:tc>
        <w:tc>
          <w:tcPr>
            <w:tcW w:w="5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(1,371)</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(5,630)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(11,096)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(16,821)</w:t>
            </w:r>
          </w:p>
        </w:tc>
      </w:tr>
      <w:tr>
        <w:trPr>
          <w:trHeight w:val="14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Security deposit release / (payment)</w:t>
            </w:r>
          </w:p>
        </w:tc>
        <w:tc>
          <w:tcPr>
            <w:tcW w:w="5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1,489</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w:t>
            </w:r>
          </w:p>
        </w:tc>
      </w:tr>
      <w:tr>
        <w:trPr>
          <w:trHeight w:val="149"/>
        </w:trPr>
        <w:tc>
          <w:tcPr>
            <w:tcW w:w="6820" w:type="dxa"/>
            <w:vAlign w:val="bottom"/>
            <w:tcBorders>
              <w:bottom w:val="single" w:sz="8" w:color="CCEEFF"/>
            </w:tcBorders>
          </w:tcPr>
          <w:p>
            <w:pPr>
              <w:ind w:left="160"/>
              <w:spacing w:after="0" w:line="121" w:lineRule="exact"/>
              <w:rPr>
                <w:sz w:val="20"/>
                <w:szCs w:val="20"/>
                <w:color w:val="auto"/>
              </w:rPr>
            </w:pPr>
            <w:r>
              <w:rPr>
                <w:rFonts w:ascii="Times New Roman" w:cs="Times New Roman" w:eastAsia="Times New Roman" w:hAnsi="Times New Roman"/>
                <w:sz w:val="11"/>
                <w:szCs w:val="11"/>
                <w:color w:val="auto"/>
              </w:rPr>
              <w:t>Net cash provided by / (used in) investing activities</w:t>
            </w:r>
          </w:p>
        </w:tc>
        <w:tc>
          <w:tcPr>
            <w:tcW w:w="58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7,599</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(17,645)</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(54,316)</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(275,550)</w:t>
            </w:r>
          </w:p>
        </w:tc>
      </w:tr>
      <w:tr>
        <w:trPr>
          <w:trHeight w:val="143"/>
        </w:trPr>
        <w:tc>
          <w:tcPr>
            <w:tcW w:w="68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5"/>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Repurchase of treasury shares</w:t>
            </w: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(9,201)</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(28,205)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(73,488)</w:t>
            </w:r>
          </w:p>
        </w:tc>
      </w:tr>
      <w:tr>
        <w:trPr>
          <w:trHeight w:val="142"/>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5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1,810</w:t>
            </w:r>
          </w:p>
        </w:tc>
      </w:tr>
      <w:tr>
        <w:trPr>
          <w:trHeight w:val="14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paid related to settlement of employee taxes related to RSU vesting</w:t>
            </w: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(15,834)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(22,601)</w:t>
            </w:r>
          </w:p>
        </w:tc>
      </w:tr>
      <w:tr>
        <w:trPr>
          <w:trHeight w:val="142"/>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Payment of cash dividend</w:t>
            </w:r>
          </w:p>
        </w:tc>
        <w:tc>
          <w:tcPr>
            <w:tcW w:w="5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(9,644)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(8,585)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(38,667)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(34,589)</w:t>
            </w:r>
          </w:p>
        </w:tc>
      </w:tr>
      <w:tr>
        <w:trPr>
          <w:trHeight w:val="14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Proceeds from credit facility</w:t>
            </w:r>
          </w:p>
        </w:tc>
        <w:tc>
          <w:tcPr>
            <w:tcW w:w="5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30,000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50,000</w:t>
            </w:r>
          </w:p>
        </w:tc>
      </w:tr>
      <w:tr>
        <w:trPr>
          <w:trHeight w:val="142"/>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Payment of credit facility</w:t>
            </w:r>
          </w:p>
        </w:tc>
        <w:tc>
          <w:tcPr>
            <w:tcW w:w="5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Payment of debt issuance costs</w:t>
            </w:r>
          </w:p>
        </w:tc>
        <w:tc>
          <w:tcPr>
            <w:tcW w:w="5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(619)</w:t>
            </w:r>
          </w:p>
        </w:tc>
      </w:tr>
      <w:tr>
        <w:trPr>
          <w:trHeight w:val="149"/>
        </w:trPr>
        <w:tc>
          <w:tcPr>
            <w:tcW w:w="6820" w:type="dxa"/>
            <w:vAlign w:val="bottom"/>
            <w:tcBorders>
              <w:bottom w:val="single" w:sz="8" w:color="CCEEFF"/>
            </w:tcBorders>
          </w:tcPr>
          <w:p>
            <w:pPr>
              <w:ind w:left="160"/>
              <w:spacing w:after="0" w:line="121" w:lineRule="exact"/>
              <w:rPr>
                <w:sz w:val="20"/>
                <w:szCs w:val="20"/>
                <w:color w:val="auto"/>
              </w:rPr>
            </w:pPr>
            <w:r>
              <w:rPr>
                <w:rFonts w:ascii="Times New Roman" w:cs="Times New Roman" w:eastAsia="Times New Roman" w:hAnsi="Times New Roman"/>
                <w:sz w:val="11"/>
                <w:szCs w:val="11"/>
                <w:color w:val="auto"/>
              </w:rPr>
              <w:t>Net cash used in financing activities</w:t>
            </w:r>
          </w:p>
        </w:tc>
        <w:tc>
          <w:tcPr>
            <w:tcW w:w="580" w:type="dxa"/>
            <w:vAlign w:val="bottom"/>
            <w:tcBorders>
              <w:top w:val="single" w:sz="8" w:color="auto"/>
              <w:bottom w:val="single" w:sz="8" w:color="auto"/>
            </w:tcBorders>
          </w:tcPr>
          <w:p>
            <w:pPr>
              <w:jc w:val="right"/>
              <w:ind w:right="46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(19,470)</w:t>
            </w:r>
          </w:p>
        </w:tc>
        <w:tc>
          <w:tcPr>
            <w:tcW w:w="8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(9,210)</w:t>
            </w: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(102,704)</w:t>
            </w:r>
          </w:p>
        </w:tc>
        <w:tc>
          <w:tcPr>
            <w:tcW w:w="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(79,487)</w:t>
            </w:r>
          </w:p>
        </w:tc>
      </w:tr>
      <w:tr>
        <w:trPr>
          <w:trHeight w:val="142"/>
        </w:trPr>
        <w:tc>
          <w:tcPr>
            <w:tcW w:w="68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Effect of foreign exchange rate changes on cash</w:t>
            </w:r>
          </w:p>
        </w:tc>
        <w:tc>
          <w:tcPr>
            <w:tcW w:w="5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3,184</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4,603</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1,804</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(2,277)</w:t>
            </w:r>
          </w:p>
        </w:tc>
      </w:tr>
      <w:tr>
        <w:trPr>
          <w:trHeight w:val="135"/>
        </w:trPr>
        <w:tc>
          <w:tcPr>
            <w:tcW w:w="6820" w:type="dxa"/>
            <w:vAlign w:val="bottom"/>
            <w:shd w:val="clear" w:color="auto" w:fill="CCEEFF"/>
          </w:tcPr>
          <w:p>
            <w:pPr>
              <w:ind w:left="300"/>
              <w:spacing w:after="0" w:line="122" w:lineRule="exact"/>
              <w:rPr>
                <w:sz w:val="20"/>
                <w:szCs w:val="20"/>
                <w:color w:val="auto"/>
              </w:rPr>
            </w:pPr>
            <w:r>
              <w:rPr>
                <w:rFonts w:ascii="Times New Roman" w:cs="Times New Roman" w:eastAsia="Times New Roman" w:hAnsi="Times New Roman"/>
                <w:sz w:val="11"/>
                <w:szCs w:val="11"/>
                <w:color w:val="auto"/>
              </w:rPr>
              <w:t>Net increase / (decrease) in cash and cash equivalents</w:t>
            </w: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25,262</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38,910</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(14,664)</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(198,863)</w:t>
            </w:r>
          </w:p>
        </w:tc>
      </w:tr>
      <w:tr>
        <w:trPr>
          <w:trHeight w:val="36"/>
        </w:trPr>
        <w:tc>
          <w:tcPr>
            <w:tcW w:w="6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144"/>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cash equivalents, beginning of period</w:t>
            </w:r>
          </w:p>
        </w:tc>
        <w:tc>
          <w:tcPr>
            <w:tcW w:w="5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75,228</w:t>
            </w:r>
          </w:p>
        </w:tc>
        <w:tc>
          <w:tcPr>
            <w:tcW w:w="8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76,244</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115,154</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314,017</w:t>
            </w:r>
          </w:p>
        </w:tc>
      </w:tr>
      <w:tr>
        <w:trPr>
          <w:trHeight w:val="172"/>
        </w:trPr>
        <w:tc>
          <w:tcPr>
            <w:tcW w:w="6820" w:type="dxa"/>
            <w:vAlign w:val="bottom"/>
            <w:tcBorders>
              <w:bottom w:val="single" w:sz="8" w:color="CCEEFF"/>
            </w:tcBorders>
          </w:tcPr>
          <w:p>
            <w:pPr>
              <w:spacing w:after="0" w:line="121" w:lineRule="exact"/>
              <w:rPr>
                <w:sz w:val="20"/>
                <w:szCs w:val="20"/>
                <w:color w:val="auto"/>
              </w:rPr>
            </w:pPr>
            <w:r>
              <w:rPr>
                <w:rFonts w:ascii="Times New Roman" w:cs="Times New Roman" w:eastAsia="Times New Roman" w:hAnsi="Times New Roman"/>
                <w:sz w:val="11"/>
                <w:szCs w:val="11"/>
                <w:color w:val="auto"/>
              </w:rPr>
              <w:t>Cash and cash equivalents, end of period</w:t>
            </w:r>
          </w:p>
        </w:tc>
        <w:tc>
          <w:tcPr>
            <w:tcW w:w="58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4"/>
              </w:rPr>
              <w:t>100,490</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115,154</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100,490</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115,154</w:t>
            </w:r>
          </w:p>
        </w:tc>
      </w:tr>
      <w:tr>
        <w:trPr>
          <w:trHeight w:val="143"/>
        </w:trPr>
        <w:tc>
          <w:tcPr>
            <w:tcW w:w="6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Supplemental Disclosure of Cash Information:</w:t>
            </w:r>
          </w:p>
        </w:tc>
        <w:tc>
          <w:tcPr>
            <w:tcW w:w="58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r>
      <w:tr>
        <w:trPr>
          <w:trHeight w:val="145"/>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paid for income taxes</w:t>
            </w:r>
          </w:p>
        </w:tc>
        <w:tc>
          <w:tcPr>
            <w:tcW w:w="580" w:type="dxa"/>
            <w:vAlign w:val="bottom"/>
            <w:shd w:val="clear" w:color="auto" w:fill="CCEEFF"/>
          </w:tcPr>
          <w:p>
            <w:pPr>
              <w:jc w:val="right"/>
              <w:ind w:right="46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17,097</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3,968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33,067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23,444</w:t>
            </w:r>
          </w:p>
        </w:tc>
      </w:tr>
      <w:tr>
        <w:trPr>
          <w:trHeight w:val="140"/>
        </w:trPr>
        <w:tc>
          <w:tcPr>
            <w:tcW w:w="6820" w:type="dxa"/>
            <w:vAlign w:val="bottom"/>
          </w:tcPr>
          <w:p>
            <w:pPr>
              <w:spacing w:after="0"/>
              <w:rPr>
                <w:sz w:val="20"/>
                <w:szCs w:val="20"/>
                <w:color w:val="auto"/>
              </w:rPr>
            </w:pPr>
            <w:r>
              <w:rPr>
                <w:rFonts w:ascii="Times New Roman" w:cs="Times New Roman" w:eastAsia="Times New Roman" w:hAnsi="Times New Roman"/>
                <w:sz w:val="11"/>
                <w:szCs w:val="11"/>
                <w:color w:val="auto"/>
              </w:rPr>
              <w:t>Cash paid for interest</w:t>
            </w:r>
          </w:p>
        </w:tc>
        <w:tc>
          <w:tcPr>
            <w:tcW w:w="5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1,724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1,045</w:t>
            </w: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160"/>
          </w:cols>
          <w:pgMar w:left="440" w:top="1070" w:right="29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2"/>
          <w:szCs w:val="12"/>
          <w:b w:val="1"/>
          <w:bCs w:val="1"/>
          <w:color w:val="auto"/>
        </w:rPr>
        <w:t>Shutterstock,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Reconciliation of Non-GAAP Financial Information to GAAP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except per share information)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6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1"/>
          <w:szCs w:val="11"/>
          <w:color w:val="auto"/>
        </w:rPr>
        <w:t>Adjusted EBITDA, adjusted EBITDA margin, adjusted net income, adjusted net income per diluted share, revenue growth (including by distribution channel) on a constant currency basis (expressed as a percentage), billings and free cash flow are not financial measures prepared in accordance with United States generally accepted accounting principles (GAAP). Such non-GAAP financial measures should not be construed as alternatives to any other measures of performance determined in accordance with GAAP. Investors are cautioned that non-GAAP financial measures are not based on any standardized methodology prescribed by GAAP and are not necessarily comparable to similarly-titled measures presented by other companies.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gridSpan w:val="3"/>
          </w:tcPr>
          <w:p>
            <w:pPr>
              <w:jc w:val="right"/>
              <w:ind w:right="314"/>
              <w:spacing w:after="0"/>
              <w:rPr>
                <w:sz w:val="20"/>
                <w:szCs w:val="20"/>
                <w:color w:val="auto"/>
              </w:rPr>
            </w:pPr>
            <w:r>
              <w:rPr>
                <w:rFonts w:ascii="Times New Roman" w:cs="Times New Roman" w:eastAsia="Times New Roman" w:hAnsi="Times New Roman"/>
                <w:sz w:val="8"/>
                <w:szCs w:val="8"/>
                <w:b w:val="1"/>
                <w:bCs w:val="1"/>
                <w:color w:val="auto"/>
              </w:rPr>
              <w:t>Three Months Ended December 31,</w:t>
            </w: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40" w:type="dxa"/>
            <w:vAlign w:val="bottom"/>
            <w:tcBorders>
              <w:bottom w:val="single" w:sz="8" w:color="auto"/>
            </w:tcBorders>
          </w:tcPr>
          <w:p>
            <w:pPr>
              <w:spacing w:after="0"/>
              <w:rPr>
                <w:sz w:val="9"/>
                <w:szCs w:val="9"/>
                <w:color w:val="auto"/>
              </w:rPr>
            </w:pPr>
          </w:p>
        </w:tc>
      </w:tr>
      <w:tr>
        <w:trPr>
          <w:trHeight w:val="108"/>
        </w:trPr>
        <w:tc>
          <w:tcPr>
            <w:tcW w:w="5120" w:type="dxa"/>
            <w:vAlign w:val="bottom"/>
            <w:tcBorders>
              <w:bottom w:val="single" w:sz="8" w:color="CCEEFF"/>
            </w:tcBorders>
          </w:tcPr>
          <w:p>
            <w:pPr>
              <w:spacing w:after="0"/>
              <w:rPr>
                <w:sz w:val="9"/>
                <w:szCs w:val="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6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8"/>
                <w:szCs w:val="8"/>
                <w:b w:val="1"/>
                <w:bCs w:val="1"/>
                <w:color w:val="auto"/>
              </w:rPr>
              <w:t>2022</w:t>
            </w:r>
          </w:p>
        </w:tc>
        <w:tc>
          <w:tcPr>
            <w:tcW w:w="52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128"/>
        </w:trPr>
        <w:tc>
          <w:tcPr>
            <w:tcW w:w="51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Net (loss) / income</w:t>
            </w:r>
          </w:p>
        </w:tc>
        <w:tc>
          <w:tcPr>
            <w:tcW w:w="84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(1,006)</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7,046</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0"/>
                <w:szCs w:val="10"/>
                <w:color w:val="auto"/>
              </w:rPr>
              <w:t>110,269</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0"/>
                <w:szCs w:val="10"/>
                <w:color w:val="auto"/>
              </w:rPr>
              <w:t>76,103</w:t>
            </w:r>
          </w:p>
        </w:tc>
      </w:tr>
      <w:tr>
        <w:trPr>
          <w:trHeight w:val="129"/>
        </w:trPr>
        <w:tc>
          <w:tcPr>
            <w:tcW w:w="51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Add / (less) Non-GAAP adjustments:</w:t>
            </w: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1"/>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8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0"/>
                <w:szCs w:val="10"/>
                <w:color w:val="auto"/>
              </w:rPr>
              <w:t>20,356</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18,636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0"/>
                <w:szCs w:val="10"/>
                <w:color w:val="auto"/>
              </w:rPr>
              <w:t>79,729</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0"/>
                <w:szCs w:val="10"/>
                <w:color w:val="auto"/>
              </w:rPr>
              <w:t>68,470</w:t>
            </w:r>
          </w:p>
        </w:tc>
      </w:tr>
      <w:tr>
        <w:trPr>
          <w:trHeight w:val="129"/>
        </w:trPr>
        <w:tc>
          <w:tcPr>
            <w:tcW w:w="51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Non-cash equity-based compensation</w:t>
            </w:r>
          </w:p>
        </w:tc>
        <w:tc>
          <w:tcPr>
            <w:tcW w:w="840" w:type="dxa"/>
            <w:vAlign w:val="bottom"/>
          </w:tcPr>
          <w:p>
            <w:pPr>
              <w:spacing w:after="0"/>
              <w:rPr>
                <w:sz w:val="11"/>
                <w:szCs w:val="11"/>
                <w:color w:val="auto"/>
              </w:rPr>
            </w:pPr>
          </w:p>
        </w:tc>
        <w:tc>
          <w:tcPr>
            <w:tcW w:w="62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rPr>
              <w:t>11,988</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11,782</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rPr>
              <w:t>48,577</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rPr>
              <w:t>35,740</w:t>
            </w:r>
          </w:p>
        </w:tc>
      </w:tr>
      <w:tr>
        <w:trPr>
          <w:trHeight w:val="141"/>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Impairment of lease and related assets</w:t>
            </w:r>
          </w:p>
        </w:tc>
        <w:tc>
          <w:tcPr>
            <w:tcW w:w="8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18,664</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0"/>
                <w:szCs w:val="10"/>
                <w:color w:val="auto"/>
              </w:rPr>
              <w:t>18,664</w:t>
            </w:r>
          </w:p>
        </w:tc>
      </w:tr>
      <w:tr>
        <w:trPr>
          <w:trHeight w:val="129"/>
        </w:trPr>
        <w:tc>
          <w:tcPr>
            <w:tcW w:w="51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Bargain purchase gain</w:t>
            </w:r>
          </w:p>
        </w:tc>
        <w:tc>
          <w:tcPr>
            <w:tcW w:w="840" w:type="dxa"/>
            <w:vAlign w:val="bottom"/>
          </w:tcPr>
          <w:p>
            <w:pPr>
              <w:spacing w:after="0"/>
              <w:rPr>
                <w:sz w:val="11"/>
                <w:szCs w:val="11"/>
                <w:color w:val="auto"/>
              </w:rPr>
            </w:pPr>
          </w:p>
        </w:tc>
        <w:tc>
          <w:tcPr>
            <w:tcW w:w="62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rPr>
              <w:t>1,543</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11"/>
                <w:szCs w:val="11"/>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(50,261)</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Giphy Retention Compensation Expense - non-recurring</w:t>
            </w:r>
          </w:p>
        </w:tc>
        <w:tc>
          <w:tcPr>
            <w:tcW w:w="8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0"/>
                <w:szCs w:val="10"/>
                <w:color w:val="auto"/>
              </w:rPr>
              <w:t>6,188</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0"/>
                <w:szCs w:val="10"/>
                <w:color w:val="auto"/>
              </w:rPr>
              <w:t>31,577</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0"/>
                <w:szCs w:val="10"/>
                <w:color w:val="auto"/>
              </w:rPr>
              <w:t>—</w:t>
            </w:r>
          </w:p>
        </w:tc>
      </w:tr>
      <w:tr>
        <w:trPr>
          <w:trHeight w:val="135"/>
        </w:trPr>
        <w:tc>
          <w:tcPr>
            <w:tcW w:w="5120" w:type="dxa"/>
            <w:vAlign w:val="bottom"/>
          </w:tcPr>
          <w:p>
            <w:pPr>
              <w:ind w:left="140"/>
              <w:spacing w:after="0" w:line="135" w:lineRule="exact"/>
              <w:rPr>
                <w:sz w:val="20"/>
                <w:szCs w:val="20"/>
                <w:color w:val="auto"/>
              </w:rPr>
            </w:pPr>
            <w:r>
              <w:rPr>
                <w:rFonts w:ascii="Times New Roman" w:cs="Times New Roman" w:eastAsia="Times New Roman" w:hAnsi="Times New Roman"/>
                <w:sz w:val="10"/>
                <w:szCs w:val="10"/>
                <w:color w:val="auto"/>
              </w:rPr>
              <w:t xml:space="preserve">Other adjustments, net </w:t>
            </w:r>
            <w:r>
              <w:rPr>
                <w:rFonts w:ascii="Times New Roman" w:cs="Times New Roman" w:eastAsia="Times New Roman" w:hAnsi="Times New Roman"/>
                <w:sz w:val="12"/>
                <w:szCs w:val="12"/>
                <w:color w:val="auto"/>
                <w:vertAlign w:val="superscript"/>
              </w:rPr>
              <w:t>(1)</w:t>
            </w:r>
          </w:p>
        </w:tc>
        <w:tc>
          <w:tcPr>
            <w:tcW w:w="840" w:type="dxa"/>
            <w:vAlign w:val="bottom"/>
          </w:tcPr>
          <w:p>
            <w:pPr>
              <w:spacing w:after="0"/>
              <w:rPr>
                <w:sz w:val="11"/>
                <w:szCs w:val="11"/>
                <w:color w:val="auto"/>
              </w:rPr>
            </w:pPr>
          </w:p>
        </w:tc>
        <w:tc>
          <w:tcPr>
            <w:tcW w:w="62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rPr>
              <w:t>4,132</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714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rPr>
              <w:t>8,686</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rPr>
              <w:t>4,163</w:t>
            </w:r>
          </w:p>
        </w:tc>
      </w:tr>
      <w:tr>
        <w:trPr>
          <w:trHeight w:val="1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Provision for income taxes</w:t>
            </w:r>
          </w:p>
        </w:tc>
        <w:tc>
          <w:tcPr>
            <w:tcW w:w="8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0"/>
                <w:szCs w:val="10"/>
                <w:color w:val="auto"/>
              </w:rPr>
              <w:t>3,066</w:t>
            </w:r>
          </w:p>
        </w:tc>
        <w:tc>
          <w:tcPr>
            <w:tcW w:w="100" w:type="dxa"/>
            <w:vAlign w:val="bottom"/>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1,463</w:t>
            </w:r>
          </w:p>
        </w:tc>
        <w:tc>
          <w:tcPr>
            <w:tcW w:w="8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0"/>
                <w:szCs w:val="10"/>
                <w:color w:val="auto"/>
              </w:rPr>
              <w:t>12,199</w:t>
            </w:r>
          </w:p>
        </w:tc>
        <w:tc>
          <w:tcPr>
            <w:tcW w:w="10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0"/>
                <w:szCs w:val="10"/>
                <w:color w:val="auto"/>
              </w:rPr>
              <w:t>14,934</w:t>
            </w:r>
          </w:p>
        </w:tc>
      </w:tr>
      <w:tr>
        <w:trPr>
          <w:trHeight w:val="146"/>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Adjusted EBITDA</w:t>
            </w:r>
          </w:p>
        </w:tc>
        <w:tc>
          <w:tcPr>
            <w:tcW w:w="84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0"/>
                <w:szCs w:val="10"/>
                <w:color w:val="auto"/>
              </w:rPr>
              <w:t>46,267</w:t>
            </w:r>
          </w:p>
        </w:tc>
        <w:tc>
          <w:tcPr>
            <w:tcW w:w="1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58,305</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0"/>
                <w:szCs w:val="10"/>
                <w:color w:val="auto"/>
              </w:rPr>
              <w:t>240,776</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0"/>
                <w:szCs w:val="10"/>
                <w:color w:val="auto"/>
              </w:rPr>
              <w:t>218,074</w:t>
            </w:r>
          </w:p>
        </w:tc>
      </w:tr>
      <w:tr>
        <w:trPr>
          <w:trHeight w:val="151"/>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Adjusted EBITDA margin</w:t>
            </w:r>
          </w:p>
        </w:tc>
        <w:tc>
          <w:tcPr>
            <w:tcW w:w="8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21.3 %</w:t>
            </w: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26.8 %</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27.5 %</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26.3 %</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____________________________________________________________________________________________________________________</w:t>
      </w:r>
    </w:p>
    <w:p>
      <w:pPr>
        <w:spacing w:after="0" w:line="71" w:lineRule="exact"/>
        <w:rPr>
          <w:sz w:val="20"/>
          <w:szCs w:val="20"/>
          <w:color w:val="auto"/>
        </w:rPr>
      </w:pPr>
    </w:p>
    <w:p>
      <w:pPr>
        <w:ind w:left="420" w:hanging="212"/>
        <w:spacing w:after="0"/>
        <w:tabs>
          <w:tab w:leader="none" w:pos="420" w:val="left"/>
        </w:tabs>
        <w:numPr>
          <w:ilvl w:val="0"/>
          <w:numId w:val="10"/>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Other adjustments, net includes unrealized foreign currency transaction gains and losses, severance costs associated with strategic workforce optimizations and interest income and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3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8"/>
                <w:szCs w:val="8"/>
                <w:b w:val="1"/>
                <w:bCs w:val="1"/>
                <w:color w:val="auto"/>
              </w:rPr>
              <w:t>Three Months Ended December 31,</w:t>
            </w: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tcBorders>
              <w:bottom w:val="single" w:sz="8" w:color="auto"/>
            </w:tcBorders>
          </w:tcPr>
          <w:p>
            <w:pPr>
              <w:spacing w:after="0"/>
              <w:rPr>
                <w:sz w:val="9"/>
                <w:szCs w:val="9"/>
                <w:color w:val="auto"/>
              </w:rPr>
            </w:pPr>
          </w:p>
        </w:tc>
      </w:tr>
      <w:tr>
        <w:trPr>
          <w:trHeight w:val="108"/>
        </w:trPr>
        <w:tc>
          <w:tcPr>
            <w:tcW w:w="530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60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8"/>
                <w:szCs w:val="8"/>
                <w:b w:val="1"/>
                <w:bCs w:val="1"/>
                <w:color w:val="auto"/>
              </w:rPr>
              <w:t>2022</w:t>
            </w: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Borders>
              <w:bottom w:val="single" w:sz="8" w:color="CCEEFF"/>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128"/>
        </w:trPr>
        <w:tc>
          <w:tcPr>
            <w:tcW w:w="53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Net (loss) / income</w:t>
            </w:r>
          </w:p>
        </w:tc>
        <w:tc>
          <w:tcPr>
            <w:tcW w:w="82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(1,006)</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7,046</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110,269</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76,103</w:t>
            </w:r>
          </w:p>
        </w:tc>
      </w:tr>
      <w:tr>
        <w:trPr>
          <w:trHeight w:val="129"/>
        </w:trPr>
        <w:tc>
          <w:tcPr>
            <w:tcW w:w="53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Add / (less) Non-GAAP adjustments:</w:t>
            </w: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1"/>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Non-cash equity-based compensation</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11,988</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11,782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48,577</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35,740</w:t>
            </w:r>
          </w:p>
        </w:tc>
      </w:tr>
      <w:tr>
        <w:trPr>
          <w:trHeight w:val="135"/>
        </w:trPr>
        <w:tc>
          <w:tcPr>
            <w:tcW w:w="5300" w:type="dxa"/>
            <w:vAlign w:val="bottom"/>
          </w:tcPr>
          <w:p>
            <w:pPr>
              <w:ind w:left="140"/>
              <w:spacing w:after="0" w:line="135" w:lineRule="exact"/>
              <w:rPr>
                <w:sz w:val="20"/>
                <w:szCs w:val="20"/>
                <w:color w:val="auto"/>
              </w:rPr>
            </w:pPr>
            <w:r>
              <w:rPr>
                <w:rFonts w:ascii="Times New Roman" w:cs="Times New Roman" w:eastAsia="Times New Roman" w:hAnsi="Times New Roman"/>
                <w:sz w:val="10"/>
                <w:szCs w:val="10"/>
                <w:color w:val="auto"/>
              </w:rPr>
              <w:t xml:space="preserve">Tax effect of non-cash equity-based compensation </w:t>
            </w:r>
            <w:r>
              <w:rPr>
                <w:rFonts w:ascii="Times New Roman" w:cs="Times New Roman" w:eastAsia="Times New Roman" w:hAnsi="Times New Roman"/>
                <w:sz w:val="12"/>
                <w:szCs w:val="12"/>
                <w:color w:val="auto"/>
                <w:vertAlign w:val="superscript"/>
              </w:rPr>
              <w:t>(2)</w:t>
            </w:r>
          </w:p>
        </w:tc>
        <w:tc>
          <w:tcPr>
            <w:tcW w:w="8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(2,817)</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(2,768)</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(11,416)</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(8,397)</w:t>
            </w:r>
          </w:p>
        </w:tc>
      </w:tr>
      <w:tr>
        <w:trPr>
          <w:trHeight w:val="135"/>
        </w:trPr>
        <w:tc>
          <w:tcPr>
            <w:tcW w:w="530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0"/>
                <w:szCs w:val="10"/>
                <w:color w:val="auto"/>
              </w:rPr>
              <w:t xml:space="preserve">Acquisition-related amortization expense </w:t>
            </w:r>
            <w:r>
              <w:rPr>
                <w:rFonts w:ascii="Times New Roman" w:cs="Times New Roman" w:eastAsia="Times New Roman" w:hAnsi="Times New Roman"/>
                <w:sz w:val="12"/>
                <w:szCs w:val="12"/>
                <w:color w:val="auto"/>
                <w:vertAlign w:val="superscript"/>
              </w:rPr>
              <w:t>(3)</w:t>
            </w:r>
          </w:p>
        </w:tc>
        <w:tc>
          <w:tcPr>
            <w:tcW w:w="8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9,157</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8,078</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34,737</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29,302</w:t>
            </w:r>
          </w:p>
        </w:tc>
      </w:tr>
      <w:tr>
        <w:trPr>
          <w:trHeight w:val="135"/>
        </w:trPr>
        <w:tc>
          <w:tcPr>
            <w:tcW w:w="5300" w:type="dxa"/>
            <w:vAlign w:val="bottom"/>
          </w:tcPr>
          <w:p>
            <w:pPr>
              <w:ind w:left="140"/>
              <w:spacing w:after="0" w:line="135" w:lineRule="exact"/>
              <w:rPr>
                <w:sz w:val="20"/>
                <w:szCs w:val="20"/>
                <w:color w:val="auto"/>
              </w:rPr>
            </w:pPr>
            <w:r>
              <w:rPr>
                <w:rFonts w:ascii="Times New Roman" w:cs="Times New Roman" w:eastAsia="Times New Roman" w:hAnsi="Times New Roman"/>
                <w:sz w:val="10"/>
                <w:szCs w:val="10"/>
                <w:color w:val="auto"/>
              </w:rPr>
              <w:t xml:space="preserve">Tax effect of acquisition-related amortization expense </w:t>
            </w:r>
            <w:r>
              <w:rPr>
                <w:rFonts w:ascii="Times New Roman" w:cs="Times New Roman" w:eastAsia="Times New Roman" w:hAnsi="Times New Roman"/>
                <w:sz w:val="12"/>
                <w:szCs w:val="12"/>
                <w:color w:val="auto"/>
                <w:vertAlign w:val="superscript"/>
              </w:rPr>
              <w:t>(2)</w:t>
            </w:r>
          </w:p>
        </w:tc>
        <w:tc>
          <w:tcPr>
            <w:tcW w:w="8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(2,152)</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(1,898)</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(8,163)</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(6,886)</w:t>
            </w:r>
          </w:p>
        </w:tc>
      </w:tr>
      <w:tr>
        <w:trPr>
          <w:trHeight w:val="135"/>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Impairment of lease and related assets</w:t>
            </w:r>
          </w:p>
        </w:tc>
        <w:tc>
          <w:tcPr>
            <w:tcW w:w="8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18,664</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18,664</w:t>
            </w:r>
          </w:p>
        </w:tc>
      </w:tr>
      <w:tr>
        <w:trPr>
          <w:trHeight w:val="135"/>
        </w:trPr>
        <w:tc>
          <w:tcPr>
            <w:tcW w:w="5300" w:type="dxa"/>
            <w:vAlign w:val="bottom"/>
          </w:tcPr>
          <w:p>
            <w:pPr>
              <w:ind w:left="140"/>
              <w:spacing w:after="0" w:line="135" w:lineRule="exact"/>
              <w:rPr>
                <w:sz w:val="20"/>
                <w:szCs w:val="20"/>
                <w:color w:val="auto"/>
              </w:rPr>
            </w:pPr>
            <w:r>
              <w:rPr>
                <w:rFonts w:ascii="Times New Roman" w:cs="Times New Roman" w:eastAsia="Times New Roman" w:hAnsi="Times New Roman"/>
                <w:sz w:val="10"/>
                <w:szCs w:val="10"/>
                <w:color w:val="auto"/>
              </w:rPr>
              <w:t>Tax effect of impairment of lease and related assets</w:t>
            </w:r>
            <w:r>
              <w:rPr>
                <w:rFonts w:ascii="Times New Roman" w:cs="Times New Roman" w:eastAsia="Times New Roman" w:hAnsi="Times New Roman"/>
                <w:sz w:val="12"/>
                <w:szCs w:val="12"/>
                <w:color w:val="auto"/>
                <w:vertAlign w:val="superscript"/>
              </w:rPr>
              <w:t>(2)</w:t>
            </w:r>
          </w:p>
        </w:tc>
        <w:tc>
          <w:tcPr>
            <w:tcW w:w="8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(4,199)</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(4,199)</w:t>
            </w:r>
          </w:p>
        </w:tc>
      </w:tr>
      <w:tr>
        <w:trPr>
          <w:trHeight w:val="135"/>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Bargain purchase gain</w:t>
            </w:r>
          </w:p>
        </w:tc>
        <w:tc>
          <w:tcPr>
            <w:tcW w:w="8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1,543</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(50,261)</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9"/>
        </w:trPr>
        <w:tc>
          <w:tcPr>
            <w:tcW w:w="53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Giphy Retention Compensation Expense - non-recurring</w:t>
            </w:r>
          </w:p>
        </w:tc>
        <w:tc>
          <w:tcPr>
            <w:tcW w:w="8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6,188</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31,577</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1"/>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Tax effect of Giphy Retention Compensation Expense - non-recurring</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(1,454)</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(7,421)</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9"/>
        </w:trPr>
        <w:tc>
          <w:tcPr>
            <w:tcW w:w="53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Other</w:t>
            </w:r>
          </w:p>
        </w:tc>
        <w:tc>
          <w:tcPr>
            <w:tcW w:w="8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5,668</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12,493</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1,576</w:t>
            </w:r>
          </w:p>
        </w:tc>
      </w:tr>
      <w:tr>
        <w:trPr>
          <w:trHeight w:val="141"/>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Tax effect of other</w:t>
            </w:r>
            <w:r>
              <w:rPr>
                <w:rFonts w:ascii="Times New Roman" w:cs="Times New Roman" w:eastAsia="Times New Roman" w:hAnsi="Times New Roman"/>
                <w:sz w:val="12"/>
                <w:szCs w:val="12"/>
                <w:color w:val="auto"/>
                <w:vertAlign w:val="superscript"/>
              </w:rPr>
              <w:t>(2)</w:t>
            </w:r>
          </w:p>
        </w:tc>
        <w:tc>
          <w:tcPr>
            <w:tcW w:w="8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(1,275)</w:t>
            </w:r>
          </w:p>
        </w:tc>
        <w:tc>
          <w:tcPr>
            <w:tcW w:w="10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(355)</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(2,811)</w:t>
            </w:r>
          </w:p>
        </w:tc>
        <w:tc>
          <w:tcPr>
            <w:tcW w:w="1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(355)</w:t>
            </w:r>
          </w:p>
        </w:tc>
      </w:tr>
      <w:tr>
        <w:trPr>
          <w:trHeight w:val="158"/>
        </w:trPr>
        <w:tc>
          <w:tcPr>
            <w:tcW w:w="5300" w:type="dxa"/>
            <w:vAlign w:val="bottom"/>
            <w:tcBorders>
              <w:bottom w:val="single" w:sz="8" w:color="CCEEFF"/>
            </w:tcBorders>
          </w:tcPr>
          <w:p>
            <w:pPr>
              <w:spacing w:after="0" w:line="104" w:lineRule="exact"/>
              <w:rPr>
                <w:sz w:val="20"/>
                <w:szCs w:val="20"/>
                <w:color w:val="auto"/>
              </w:rPr>
            </w:pPr>
            <w:r>
              <w:rPr>
                <w:rFonts w:ascii="Times New Roman" w:cs="Times New Roman" w:eastAsia="Times New Roman" w:hAnsi="Times New Roman"/>
                <w:sz w:val="10"/>
                <w:szCs w:val="10"/>
                <w:color w:val="auto"/>
              </w:rPr>
              <w:t>Adjusted net income</w:t>
            </w:r>
          </w:p>
        </w:tc>
        <w:tc>
          <w:tcPr>
            <w:tcW w:w="8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25,840</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37,926</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157,581</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141,548</w:t>
            </w:r>
          </w:p>
        </w:tc>
      </w:tr>
      <w:tr>
        <w:trPr>
          <w:trHeight w:val="153"/>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Net income per diluted share</w:t>
            </w:r>
          </w:p>
        </w:tc>
        <w:tc>
          <w:tcPr>
            <w:tcW w:w="8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(0.03)</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0.19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3.04</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2.08</w:t>
            </w:r>
          </w:p>
        </w:tc>
      </w:tr>
      <w:tr>
        <w:trPr>
          <w:trHeight w:val="142"/>
        </w:trPr>
        <w:tc>
          <w:tcPr>
            <w:tcW w:w="5300" w:type="dxa"/>
            <w:vAlign w:val="bottom"/>
            <w:tcBorders>
              <w:bottom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Adjusted net income per diluted share</w:t>
            </w:r>
          </w:p>
        </w:tc>
        <w:tc>
          <w:tcPr>
            <w:tcW w:w="82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0.72</w:t>
            </w: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1.05</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4.35</w:t>
            </w: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3.87</w:t>
            </w:r>
          </w:p>
        </w:tc>
      </w:tr>
      <w:tr>
        <w:trPr>
          <w:trHeight w:val="124"/>
        </w:trPr>
        <w:tc>
          <w:tcPr>
            <w:tcW w:w="5300" w:type="dxa"/>
            <w:vAlign w:val="bottom"/>
          </w:tcPr>
          <w:p>
            <w:pPr>
              <w:spacing w:after="0"/>
              <w:rPr>
                <w:sz w:val="20"/>
                <w:szCs w:val="20"/>
                <w:color w:val="auto"/>
              </w:rPr>
            </w:pPr>
            <w:r>
              <w:rPr>
                <w:rFonts w:ascii="Times New Roman" w:cs="Times New Roman" w:eastAsia="Times New Roman" w:hAnsi="Times New Roman"/>
                <w:sz w:val="10"/>
                <w:szCs w:val="10"/>
                <w:color w:val="auto"/>
              </w:rPr>
              <w:t>Weighted average diluted shares</w:t>
            </w:r>
          </w:p>
        </w:tc>
        <w:tc>
          <w:tcPr>
            <w:tcW w:w="8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35,915</w:t>
            </w:r>
          </w:p>
        </w:tc>
        <w:tc>
          <w:tcPr>
            <w:tcW w:w="10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36,147</w:t>
            </w:r>
          </w:p>
        </w:tc>
        <w:tc>
          <w:tcPr>
            <w:tcW w:w="1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36,242</w:t>
            </w:r>
          </w:p>
        </w:tc>
        <w:tc>
          <w:tcPr>
            <w:tcW w:w="10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36,546</w:t>
            </w:r>
          </w:p>
        </w:tc>
      </w:tr>
      <w:tr>
        <w:trPr>
          <w:trHeight w:val="20"/>
        </w:trPr>
        <w:tc>
          <w:tcPr>
            <w:tcW w:w="5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____________________________________________________________________________________________________________________</w:t>
      </w:r>
    </w:p>
    <w:p>
      <w:pPr>
        <w:spacing w:after="0" w:line="80" w:lineRule="exact"/>
        <w:rPr>
          <w:sz w:val="20"/>
          <w:szCs w:val="20"/>
          <w:color w:val="auto"/>
        </w:rPr>
      </w:pPr>
    </w:p>
    <w:p>
      <w:pPr>
        <w:ind w:left="420" w:hanging="212"/>
        <w:spacing w:after="0"/>
        <w:tabs>
          <w:tab w:leader="none" w:pos="420" w:val="left"/>
        </w:tabs>
        <w:numPr>
          <w:ilvl w:val="0"/>
          <w:numId w:val="11"/>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Statutory tax rates are used to calculate the tax effect of the adjustments.</w:t>
      </w:r>
    </w:p>
    <w:p>
      <w:pPr>
        <w:spacing w:after="0" w:line="14" w:lineRule="exact"/>
        <w:rPr>
          <w:rFonts w:ascii="Times New Roman" w:cs="Times New Roman" w:eastAsia="Times New Roman" w:hAnsi="Times New Roman"/>
          <w:sz w:val="8"/>
          <w:szCs w:val="8"/>
          <w:color w:val="auto"/>
        </w:rPr>
      </w:pPr>
    </w:p>
    <w:p>
      <w:pPr>
        <w:ind w:left="420" w:hanging="212"/>
        <w:spacing w:after="0"/>
        <w:tabs>
          <w:tab w:leader="none" w:pos="420" w:val="left"/>
        </w:tabs>
        <w:numPr>
          <w:ilvl w:val="0"/>
          <w:numId w:val="11"/>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Of these amounts, $8.2 million and $7.5 million are included in cost of revenue for the three months ended December 31, 2023 and 2022, respectively. The remainder of acquisition-related amortization expense is included in general and administrative expense in the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300"/>
          </w:cols>
          <w:pgMar w:left="300" w:top="1007" w:right="2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15"/>
        </w:trPr>
        <w:tc>
          <w:tcPr>
            <w:tcW w:w="5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gridSpan w:val="7"/>
          </w:tcPr>
          <w:p>
            <w:pPr>
              <w:jc w:val="right"/>
              <w:ind w:right="353"/>
              <w:spacing w:after="0"/>
              <w:rPr>
                <w:sz w:val="20"/>
                <w:szCs w:val="20"/>
                <w:color w:val="auto"/>
              </w:rPr>
            </w:pPr>
            <w:r>
              <w:rPr>
                <w:rFonts w:ascii="Times New Roman" w:cs="Times New Roman" w:eastAsia="Times New Roman" w:hAnsi="Times New Roman"/>
                <w:sz w:val="8"/>
                <w:szCs w:val="8"/>
                <w:b w:val="1"/>
                <w:bCs w:val="1"/>
                <w:color w:val="auto"/>
              </w:rPr>
              <w:t>Three Months Ended December 31,</w:t>
            </w: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gridSpan w:val="5"/>
          </w:tcPr>
          <w:p>
            <w:pPr>
              <w:jc w:val="right"/>
              <w:ind w:right="112"/>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8"/>
        </w:trPr>
        <w:tc>
          <w:tcPr>
            <w:tcW w:w="5100" w:type="dxa"/>
            <w:vAlign w:val="bottom"/>
            <w:tcBorders>
              <w:bottom w:val="single" w:sz="8" w:color="CCEEFF"/>
            </w:tcBorders>
          </w:tcPr>
          <w:p>
            <w:pPr>
              <w:spacing w:after="0"/>
              <w:rPr>
                <w:sz w:val="9"/>
                <w:szCs w:val="9"/>
                <w:color w:val="auto"/>
              </w:rPr>
            </w:pPr>
          </w:p>
        </w:tc>
        <w:tc>
          <w:tcPr>
            <w:tcW w:w="1020" w:type="dxa"/>
            <w:vAlign w:val="bottom"/>
            <w:tcBorders>
              <w:bottom w:val="single" w:sz="8" w:color="auto"/>
            </w:tcBorders>
            <w:gridSpan w:val="2"/>
          </w:tcPr>
          <w:p>
            <w:pPr>
              <w:jc w:val="right"/>
              <w:ind w:right="154"/>
              <w:spacing w:after="0"/>
              <w:rPr>
                <w:sz w:val="20"/>
                <w:szCs w:val="20"/>
                <w:color w:val="auto"/>
              </w:rPr>
            </w:pPr>
            <w:r>
              <w:rPr>
                <w:rFonts w:ascii="Times New Roman" w:cs="Times New Roman" w:eastAsia="Times New Roman" w:hAnsi="Times New Roman"/>
                <w:sz w:val="8"/>
                <w:szCs w:val="8"/>
                <w:b w:val="1"/>
                <w:bCs w:val="1"/>
                <w:color w:val="auto"/>
              </w:rPr>
              <w:t>2023</w:t>
            </w: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8"/>
                <w:szCs w:val="8"/>
                <w:b w:val="1"/>
                <w:bCs w:val="1"/>
                <w:color w:val="auto"/>
              </w:rPr>
              <w:t>2022</w:t>
            </w: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8"/>
                <w:szCs w:val="8"/>
                <w:b w:val="1"/>
                <w:bCs w:val="1"/>
                <w:color w:val="auto"/>
              </w:rPr>
              <w:t>2023</w:t>
            </w:r>
          </w:p>
        </w:tc>
        <w:tc>
          <w:tcPr>
            <w:tcW w:w="4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8"/>
                <w:szCs w:val="8"/>
                <w:b w:val="1"/>
                <w:bCs w:val="1"/>
                <w:color w:val="auto"/>
              </w:rPr>
              <w:t>2022</w:t>
            </w:r>
          </w:p>
        </w:tc>
        <w:tc>
          <w:tcPr>
            <w:tcW w:w="20" w:type="dxa"/>
            <w:vAlign w:val="bottom"/>
          </w:tcPr>
          <w:p>
            <w:pPr>
              <w:spacing w:after="0"/>
              <w:rPr>
                <w:sz w:val="9"/>
                <w:szCs w:val="9"/>
                <w:color w:val="auto"/>
              </w:rPr>
            </w:pPr>
          </w:p>
        </w:tc>
      </w:tr>
      <w:tr>
        <w:trPr>
          <w:trHeight w:val="128"/>
        </w:trPr>
        <w:tc>
          <w:tcPr>
            <w:tcW w:w="51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0"/>
                <w:szCs w:val="10"/>
                <w:color w:val="auto"/>
              </w:rPr>
              <w:t>Total Revenue</w:t>
            </w:r>
          </w:p>
        </w:tc>
        <w:tc>
          <w:tcPr>
            <w:tcW w:w="2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0"/>
                <w:szCs w:val="10"/>
                <w:color w:val="auto"/>
                <w:w w:val="98"/>
              </w:rPr>
              <w:t>217,219</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217,726</w:t>
            </w:r>
          </w:p>
        </w:tc>
        <w:tc>
          <w:tcPr>
            <w:tcW w:w="100" w:type="dxa"/>
            <w:vAlign w:val="bottom"/>
            <w:shd w:val="clear" w:color="auto" w:fill="CCEEFF"/>
          </w:tcPr>
          <w:p>
            <w:pPr>
              <w:spacing w:after="0"/>
              <w:rPr>
                <w:sz w:val="11"/>
                <w:szCs w:val="11"/>
                <w:color w:val="auto"/>
              </w:rPr>
            </w:pP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0"/>
                <w:szCs w:val="10"/>
                <w:color w:val="auto"/>
              </w:rPr>
              <w:t>874,587</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0"/>
                <w:szCs w:val="10"/>
                <w:color w:val="auto"/>
              </w:rPr>
              <w:t>827,826</w:t>
            </w:r>
          </w:p>
        </w:tc>
        <w:tc>
          <w:tcPr>
            <w:tcW w:w="20" w:type="dxa"/>
            <w:vAlign w:val="bottom"/>
          </w:tcPr>
          <w:p>
            <w:pPr>
              <w:spacing w:after="0"/>
              <w:rPr>
                <w:sz w:val="11"/>
                <w:szCs w:val="11"/>
                <w:color w:val="auto"/>
              </w:rPr>
            </w:pPr>
          </w:p>
        </w:tc>
      </w:tr>
      <w:tr>
        <w:trPr>
          <w:trHeight w:val="63"/>
        </w:trPr>
        <w:tc>
          <w:tcPr>
            <w:tcW w:w="5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3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i w:val="1"/>
                <w:iCs w:val="1"/>
                <w:color w:val="auto"/>
              </w:rPr>
              <w:t>Revenue growth</w:t>
            </w: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6 %</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6 %</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7 %</w:t>
            </w:r>
          </w:p>
        </w:tc>
        <w:tc>
          <w:tcPr>
            <w:tcW w:w="20" w:type="dxa"/>
            <w:vAlign w:val="bottom"/>
          </w:tcPr>
          <w:p>
            <w:pPr>
              <w:spacing w:after="0"/>
              <w:rPr>
                <w:sz w:val="11"/>
                <w:szCs w:val="11"/>
                <w:color w:val="auto"/>
              </w:rPr>
            </w:pPr>
          </w:p>
        </w:tc>
      </w:tr>
      <w:tr>
        <w:trPr>
          <w:trHeight w:val="130"/>
        </w:trPr>
        <w:tc>
          <w:tcPr>
            <w:tcW w:w="51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Revenue growth on a constant currency basis</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 %</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9 %</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20" w:type="dxa"/>
            <w:vAlign w:val="bottom"/>
          </w:tcPr>
          <w:p>
            <w:pPr>
              <w:spacing w:after="0"/>
              <w:rPr>
                <w:sz w:val="11"/>
                <w:szCs w:val="11"/>
                <w:color w:val="auto"/>
              </w:rPr>
            </w:pPr>
          </w:p>
        </w:tc>
      </w:tr>
      <w:tr>
        <w:trPr>
          <w:trHeight w:val="68"/>
        </w:trPr>
        <w:tc>
          <w:tcPr>
            <w:tcW w:w="5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r>
      <w:tr>
        <w:trPr>
          <w:trHeight w:val="130"/>
        </w:trPr>
        <w:tc>
          <w:tcPr>
            <w:tcW w:w="51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Content revenue</w:t>
            </w:r>
          </w:p>
        </w:tc>
        <w:tc>
          <w:tcPr>
            <w:tcW w:w="200" w:type="dxa"/>
            <w:vAlign w:val="bottom"/>
          </w:tcPr>
          <w:p>
            <w:pPr>
              <w:jc w:val="right"/>
              <w:ind w:right="93"/>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Pr>
          <w:p>
            <w:pPr>
              <w:spacing w:after="0"/>
              <w:rPr>
                <w:sz w:val="11"/>
                <w:szCs w:val="11"/>
                <w:color w:val="auto"/>
              </w:rPr>
            </w:pPr>
          </w:p>
        </w:tc>
        <w:tc>
          <w:tcPr>
            <w:tcW w:w="46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w w:val="98"/>
              </w:rPr>
              <w:t>177,526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spacing w:after="0"/>
              <w:rPr>
                <w:sz w:val="11"/>
                <w:szCs w:val="11"/>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197,513</w:t>
            </w:r>
          </w:p>
        </w:tc>
        <w:tc>
          <w:tcPr>
            <w:tcW w:w="100" w:type="dxa"/>
            <w:vAlign w:val="bottom"/>
          </w:tcPr>
          <w:p>
            <w:pPr>
              <w:spacing w:after="0"/>
              <w:rPr>
                <w:sz w:val="11"/>
                <w:szCs w:val="11"/>
                <w:color w:val="auto"/>
              </w:rPr>
            </w:pP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Pr>
          <w:p>
            <w:pPr>
              <w:spacing w:after="0"/>
              <w:rPr>
                <w:sz w:val="11"/>
                <w:szCs w:val="11"/>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0"/>
                <w:szCs w:val="10"/>
                <w:color w:val="auto"/>
              </w:rPr>
              <w:t>737,264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ind w:right="4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rPr>
              <w:t>789,306</w:t>
            </w:r>
          </w:p>
        </w:tc>
        <w:tc>
          <w:tcPr>
            <w:tcW w:w="20" w:type="dxa"/>
            <w:vAlign w:val="bottom"/>
          </w:tcPr>
          <w:p>
            <w:pPr>
              <w:spacing w:after="0"/>
              <w:rPr>
                <w:sz w:val="11"/>
                <w:szCs w:val="11"/>
                <w:color w:val="auto"/>
              </w:rPr>
            </w:pPr>
          </w:p>
        </w:tc>
      </w:tr>
      <w:tr>
        <w:trPr>
          <w:trHeight w:val="14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i w:val="1"/>
                <w:iCs w:val="1"/>
                <w:color w:val="auto"/>
              </w:rPr>
              <w:t>Revenue growth: Content</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20" w:type="dxa"/>
            <w:vAlign w:val="bottom"/>
          </w:tcPr>
          <w:p>
            <w:pPr>
              <w:spacing w:after="0"/>
              <w:rPr>
                <w:sz w:val="12"/>
                <w:szCs w:val="12"/>
                <w:color w:val="auto"/>
              </w:rPr>
            </w:pPr>
          </w:p>
        </w:tc>
      </w:tr>
      <w:tr>
        <w:trPr>
          <w:trHeight w:val="130"/>
        </w:trPr>
        <w:tc>
          <w:tcPr>
            <w:tcW w:w="51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Revenue growth: Content on a constant currency basis</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8 %</w:t>
            </w:r>
          </w:p>
        </w:tc>
        <w:tc>
          <w:tcPr>
            <w:tcW w:w="20" w:type="dxa"/>
            <w:vAlign w:val="bottom"/>
          </w:tcPr>
          <w:p>
            <w:pPr>
              <w:spacing w:after="0"/>
              <w:rPr>
                <w:sz w:val="11"/>
                <w:szCs w:val="11"/>
                <w:color w:val="auto"/>
              </w:rPr>
            </w:pPr>
          </w:p>
        </w:tc>
      </w:tr>
      <w:tr>
        <w:trPr>
          <w:trHeight w:val="68"/>
        </w:trPr>
        <w:tc>
          <w:tcPr>
            <w:tcW w:w="5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r>
      <w:tr>
        <w:trPr>
          <w:trHeight w:val="130"/>
        </w:trPr>
        <w:tc>
          <w:tcPr>
            <w:tcW w:w="51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Data, Distribution, and Services revenue</w:t>
            </w:r>
          </w:p>
        </w:tc>
        <w:tc>
          <w:tcPr>
            <w:tcW w:w="200" w:type="dxa"/>
            <w:vAlign w:val="bottom"/>
          </w:tcPr>
          <w:p>
            <w:pPr>
              <w:jc w:val="right"/>
              <w:ind w:right="93"/>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Pr>
          <w:p>
            <w:pPr>
              <w:spacing w:after="0"/>
              <w:rPr>
                <w:sz w:val="11"/>
                <w:szCs w:val="11"/>
                <w:color w:val="auto"/>
              </w:rPr>
            </w:pPr>
          </w:p>
        </w:tc>
        <w:tc>
          <w:tcPr>
            <w:tcW w:w="46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rPr>
              <w:t>39,693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spacing w:after="0"/>
              <w:rPr>
                <w:sz w:val="11"/>
                <w:szCs w:val="11"/>
                <w:color w:val="auto"/>
              </w:rPr>
            </w:pP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20,213</w:t>
            </w:r>
          </w:p>
        </w:tc>
        <w:tc>
          <w:tcPr>
            <w:tcW w:w="100" w:type="dxa"/>
            <w:vAlign w:val="bottom"/>
          </w:tcPr>
          <w:p>
            <w:pPr>
              <w:spacing w:after="0"/>
              <w:rPr>
                <w:sz w:val="11"/>
                <w:szCs w:val="11"/>
                <w:color w:val="auto"/>
              </w:rPr>
            </w:pP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Pr>
          <w:p>
            <w:pPr>
              <w:spacing w:after="0"/>
              <w:rPr>
                <w:sz w:val="11"/>
                <w:szCs w:val="11"/>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0"/>
                <w:szCs w:val="10"/>
                <w:color w:val="auto"/>
              </w:rPr>
              <w:t>137,323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jc w:val="right"/>
              <w:ind w:right="4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rPr>
              <w:t>38,520</w:t>
            </w:r>
          </w:p>
        </w:tc>
        <w:tc>
          <w:tcPr>
            <w:tcW w:w="20" w:type="dxa"/>
            <w:vAlign w:val="bottom"/>
          </w:tcPr>
          <w:p>
            <w:pPr>
              <w:spacing w:after="0"/>
              <w:rPr>
                <w:sz w:val="11"/>
                <w:szCs w:val="11"/>
                <w:color w:val="auto"/>
              </w:rPr>
            </w:pPr>
          </w:p>
        </w:tc>
      </w:tr>
      <w:tr>
        <w:trPr>
          <w:trHeight w:val="14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i w:val="1"/>
                <w:iCs w:val="1"/>
                <w:color w:val="auto"/>
              </w:rPr>
              <w:t>Revenue growth: Data, Distribution, and Services</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96 %</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265 %</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256 %</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142 %</w:t>
            </w:r>
          </w:p>
        </w:tc>
        <w:tc>
          <w:tcPr>
            <w:tcW w:w="20" w:type="dxa"/>
            <w:vAlign w:val="bottom"/>
          </w:tcPr>
          <w:p>
            <w:pPr>
              <w:spacing w:after="0"/>
              <w:rPr>
                <w:sz w:val="12"/>
                <w:szCs w:val="12"/>
                <w:color w:val="auto"/>
              </w:rPr>
            </w:pPr>
          </w:p>
        </w:tc>
      </w:tr>
      <w:tr>
        <w:trPr>
          <w:trHeight w:val="125"/>
        </w:trPr>
        <w:tc>
          <w:tcPr>
            <w:tcW w:w="51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Revenue growth: Data, Distribution, and Services on a constant currency basis</w:t>
            </w: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96 %</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268 %</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256 %</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144 %</w:t>
            </w:r>
          </w:p>
        </w:tc>
        <w:tc>
          <w:tcPr>
            <w:tcW w:w="20" w:type="dxa"/>
            <w:vAlign w:val="bottom"/>
          </w:tcPr>
          <w:p>
            <w:pPr>
              <w:spacing w:after="0"/>
              <w:rPr>
                <w:sz w:val="10"/>
                <w:szCs w:val="10"/>
                <w:color w:val="auto"/>
              </w:rPr>
            </w:pPr>
          </w:p>
        </w:tc>
      </w:tr>
      <w:tr>
        <w:trPr>
          <w:trHeight w:val="508"/>
        </w:trPr>
        <w:tc>
          <w:tcPr>
            <w:tcW w:w="5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jc w:val="right"/>
              <w:ind w:right="213"/>
              <w:spacing w:after="0"/>
              <w:rPr>
                <w:sz w:val="20"/>
                <w:szCs w:val="20"/>
                <w:color w:val="auto"/>
              </w:rPr>
            </w:pPr>
            <w:r>
              <w:rPr>
                <w:rFonts w:ascii="Times New Roman" w:cs="Times New Roman" w:eastAsia="Times New Roman" w:hAnsi="Times New Roman"/>
                <w:sz w:val="8"/>
                <w:szCs w:val="8"/>
                <w:b w:val="1"/>
                <w:bCs w:val="1"/>
                <w:color w:val="auto"/>
              </w:rPr>
              <w:t>Three Months Ended December 31,</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ind w:right="52"/>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08"/>
        </w:trPr>
        <w:tc>
          <w:tcPr>
            <w:tcW w:w="510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2022</w:t>
            </w: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8"/>
                <w:szCs w:val="8"/>
                <w:b w:val="1"/>
                <w:bCs w:val="1"/>
                <w:color w:val="auto"/>
              </w:rPr>
              <w:t>2023</w:t>
            </w: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8"/>
                <w:szCs w:val="8"/>
                <w:b w:val="1"/>
                <w:bCs w:val="1"/>
                <w:color w:val="auto"/>
              </w:rPr>
              <w:t>2022</w:t>
            </w:r>
          </w:p>
        </w:tc>
        <w:tc>
          <w:tcPr>
            <w:tcW w:w="20" w:type="dxa"/>
            <w:vAlign w:val="bottom"/>
            <w:tcBorders>
              <w:bottom w:val="single" w:sz="8" w:color="auto"/>
            </w:tcBorders>
          </w:tcPr>
          <w:p>
            <w:pPr>
              <w:spacing w:after="0"/>
              <w:rPr>
                <w:sz w:val="9"/>
                <w:szCs w:val="9"/>
                <w:color w:val="auto"/>
              </w:rPr>
            </w:pPr>
          </w:p>
        </w:tc>
      </w:tr>
      <w:tr>
        <w:trPr>
          <w:trHeight w:val="119"/>
        </w:trPr>
        <w:tc>
          <w:tcPr>
            <w:tcW w:w="51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Cash flow information:</w:t>
            </w: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29"/>
        </w:trPr>
        <w:tc>
          <w:tcPr>
            <w:tcW w:w="5100" w:type="dxa"/>
            <w:vAlign w:val="bottom"/>
          </w:tcPr>
          <w:p>
            <w:pPr>
              <w:spacing w:after="0"/>
              <w:rPr>
                <w:sz w:val="20"/>
                <w:szCs w:val="20"/>
                <w:color w:val="auto"/>
              </w:rPr>
            </w:pPr>
            <w:r>
              <w:rPr>
                <w:rFonts w:ascii="Times New Roman" w:cs="Times New Roman" w:eastAsia="Times New Roman" w:hAnsi="Times New Roman"/>
                <w:sz w:val="10"/>
                <w:szCs w:val="10"/>
                <w:color w:val="auto"/>
              </w:rPr>
              <w:t>Net cash provided by operating activities</w:t>
            </w:r>
          </w:p>
        </w:tc>
        <w:tc>
          <w:tcPr>
            <w:tcW w:w="1020" w:type="dxa"/>
            <w:vAlign w:val="bottom"/>
            <w:gridSpan w:val="2"/>
          </w:tcPr>
          <w:p>
            <w:pPr>
              <w:jc w:val="right"/>
              <w:ind w:right="714"/>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33,949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733"/>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61,162</w:t>
            </w:r>
          </w:p>
        </w:tc>
        <w:tc>
          <w:tcPr>
            <w:tcW w:w="400" w:type="dxa"/>
            <w:vAlign w:val="bottom"/>
            <w:gridSpan w:val="3"/>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140,552</w:t>
            </w:r>
          </w:p>
        </w:tc>
        <w:tc>
          <w:tcPr>
            <w:tcW w:w="40" w:type="dxa"/>
            <w:vAlign w:val="bottom"/>
          </w:tcPr>
          <w:p>
            <w:pPr>
              <w:spacing w:after="0"/>
              <w:rPr>
                <w:sz w:val="11"/>
                <w:szCs w:val="11"/>
                <w:color w:val="auto"/>
              </w:rPr>
            </w:pPr>
          </w:p>
        </w:tc>
        <w:tc>
          <w:tcPr>
            <w:tcW w:w="580" w:type="dxa"/>
            <w:vAlign w:val="bottom"/>
            <w:gridSpan w:val="2"/>
          </w:tcPr>
          <w:p>
            <w:pPr>
              <w:jc w:val="right"/>
              <w:ind w:right="41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158,451</w:t>
            </w:r>
          </w:p>
        </w:tc>
        <w:tc>
          <w:tcPr>
            <w:tcW w:w="20" w:type="dxa"/>
            <w:vAlign w:val="bottom"/>
          </w:tcPr>
          <w:p>
            <w:pPr>
              <w:spacing w:after="0"/>
              <w:rPr>
                <w:sz w:val="11"/>
                <w:szCs w:val="11"/>
                <w:color w:val="auto"/>
              </w:rPr>
            </w:pPr>
          </w:p>
        </w:tc>
      </w:tr>
      <w:tr>
        <w:trPr>
          <w:trHeight w:val="141"/>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cash provided by / (used in) investing activities</w:t>
            </w:r>
          </w:p>
        </w:tc>
        <w:tc>
          <w:tcPr>
            <w:tcW w:w="1020" w:type="dxa"/>
            <w:vAlign w:val="bottom"/>
            <w:gridSpan w:val="2"/>
            <w:shd w:val="clear" w:color="auto" w:fill="CCEEFF"/>
          </w:tcPr>
          <w:p>
            <w:pPr>
              <w:jc w:val="right"/>
              <w:ind w:right="714"/>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7,599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(17,645)</w:t>
            </w:r>
          </w:p>
        </w:tc>
        <w:tc>
          <w:tcPr>
            <w:tcW w:w="400" w:type="dxa"/>
            <w:vAlign w:val="bottom"/>
            <w:gridSpan w:val="3"/>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(54,316)</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1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(275,550)</w:t>
            </w:r>
          </w:p>
        </w:tc>
        <w:tc>
          <w:tcPr>
            <w:tcW w:w="20" w:type="dxa"/>
            <w:vAlign w:val="bottom"/>
            <w:shd w:val="clear" w:color="auto" w:fill="CCEEFF"/>
          </w:tcPr>
          <w:p>
            <w:pPr>
              <w:spacing w:after="0"/>
              <w:rPr>
                <w:sz w:val="12"/>
                <w:szCs w:val="12"/>
                <w:color w:val="auto"/>
              </w:rPr>
            </w:pPr>
          </w:p>
        </w:tc>
      </w:tr>
      <w:tr>
        <w:trPr>
          <w:trHeight w:val="129"/>
        </w:trPr>
        <w:tc>
          <w:tcPr>
            <w:tcW w:w="5100" w:type="dxa"/>
            <w:vAlign w:val="bottom"/>
          </w:tcPr>
          <w:p>
            <w:pPr>
              <w:spacing w:after="0"/>
              <w:rPr>
                <w:sz w:val="20"/>
                <w:szCs w:val="20"/>
                <w:color w:val="auto"/>
              </w:rPr>
            </w:pPr>
            <w:r>
              <w:rPr>
                <w:rFonts w:ascii="Times New Roman" w:cs="Times New Roman" w:eastAsia="Times New Roman" w:hAnsi="Times New Roman"/>
                <w:sz w:val="10"/>
                <w:szCs w:val="10"/>
                <w:color w:val="auto"/>
              </w:rPr>
              <w:t>Net cash used in financing activities</w:t>
            </w:r>
          </w:p>
        </w:tc>
        <w:tc>
          <w:tcPr>
            <w:tcW w:w="1020" w:type="dxa"/>
            <w:vAlign w:val="bottom"/>
            <w:gridSpan w:val="2"/>
          </w:tcPr>
          <w:p>
            <w:pPr>
              <w:jc w:val="right"/>
              <w:ind w:right="714"/>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(19,470)</w:t>
            </w:r>
          </w:p>
        </w:tc>
        <w:tc>
          <w:tcPr>
            <w:tcW w:w="100" w:type="dxa"/>
            <w:vAlign w:val="bottom"/>
          </w:tcPr>
          <w:p>
            <w:pPr>
              <w:spacing w:after="0"/>
              <w:rPr>
                <w:sz w:val="11"/>
                <w:szCs w:val="11"/>
                <w:color w:val="auto"/>
              </w:rPr>
            </w:pPr>
          </w:p>
        </w:tc>
        <w:tc>
          <w:tcPr>
            <w:tcW w:w="840" w:type="dxa"/>
            <w:vAlign w:val="bottom"/>
          </w:tcPr>
          <w:p>
            <w:pPr>
              <w:jc w:val="right"/>
              <w:ind w:right="733"/>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(9,210)</w:t>
            </w:r>
          </w:p>
        </w:tc>
        <w:tc>
          <w:tcPr>
            <w:tcW w:w="400" w:type="dxa"/>
            <w:vAlign w:val="bottom"/>
            <w:gridSpan w:val="3"/>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(102,704)</w:t>
            </w:r>
          </w:p>
        </w:tc>
        <w:tc>
          <w:tcPr>
            <w:tcW w:w="40" w:type="dxa"/>
            <w:vAlign w:val="bottom"/>
          </w:tcPr>
          <w:p>
            <w:pPr>
              <w:spacing w:after="0"/>
              <w:rPr>
                <w:sz w:val="11"/>
                <w:szCs w:val="11"/>
                <w:color w:val="auto"/>
              </w:rPr>
            </w:pPr>
          </w:p>
        </w:tc>
        <w:tc>
          <w:tcPr>
            <w:tcW w:w="580" w:type="dxa"/>
            <w:vAlign w:val="bottom"/>
            <w:gridSpan w:val="2"/>
          </w:tcPr>
          <w:p>
            <w:pPr>
              <w:jc w:val="right"/>
              <w:ind w:right="41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(79,487)</w:t>
            </w:r>
          </w:p>
        </w:tc>
        <w:tc>
          <w:tcPr>
            <w:tcW w:w="20" w:type="dxa"/>
            <w:vAlign w:val="bottom"/>
          </w:tcPr>
          <w:p>
            <w:pPr>
              <w:spacing w:after="0"/>
              <w:rPr>
                <w:sz w:val="11"/>
                <w:szCs w:val="11"/>
                <w:color w:val="auto"/>
              </w:rPr>
            </w:pPr>
          </w:p>
        </w:tc>
      </w:tr>
      <w:tr>
        <w:trPr>
          <w:trHeight w:val="150"/>
        </w:trPr>
        <w:tc>
          <w:tcPr>
            <w:tcW w:w="5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29"/>
        </w:trPr>
        <w:tc>
          <w:tcPr>
            <w:tcW w:w="5100" w:type="dxa"/>
            <w:vAlign w:val="bottom"/>
          </w:tcPr>
          <w:p>
            <w:pPr>
              <w:spacing w:after="0"/>
              <w:rPr>
                <w:sz w:val="20"/>
                <w:szCs w:val="20"/>
                <w:color w:val="auto"/>
              </w:rPr>
            </w:pPr>
            <w:r>
              <w:rPr>
                <w:rFonts w:ascii="Times New Roman" w:cs="Times New Roman" w:eastAsia="Times New Roman" w:hAnsi="Times New Roman"/>
                <w:sz w:val="10"/>
                <w:szCs w:val="10"/>
                <w:color w:val="auto"/>
              </w:rPr>
              <w:t>Free cash flow:</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1"/>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cash provided by operating activities</w:t>
            </w:r>
          </w:p>
        </w:tc>
        <w:tc>
          <w:tcPr>
            <w:tcW w:w="1020" w:type="dxa"/>
            <w:vAlign w:val="bottom"/>
            <w:gridSpan w:val="2"/>
            <w:shd w:val="clear" w:color="auto" w:fill="CCEEFF"/>
          </w:tcPr>
          <w:p>
            <w:pPr>
              <w:jc w:val="right"/>
              <w:ind w:right="714"/>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33,949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61,162</w:t>
            </w:r>
          </w:p>
        </w:tc>
        <w:tc>
          <w:tcPr>
            <w:tcW w:w="400" w:type="dxa"/>
            <w:vAlign w:val="bottom"/>
            <w:gridSpan w:val="3"/>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140,552</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1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158,451</w:t>
            </w:r>
          </w:p>
        </w:tc>
        <w:tc>
          <w:tcPr>
            <w:tcW w:w="20" w:type="dxa"/>
            <w:vAlign w:val="bottom"/>
            <w:shd w:val="clear" w:color="auto" w:fill="CCEEFF"/>
          </w:tcPr>
          <w:p>
            <w:pPr>
              <w:spacing w:after="0"/>
              <w:rPr>
                <w:sz w:val="12"/>
                <w:szCs w:val="12"/>
                <w:color w:val="auto"/>
              </w:rPr>
            </w:pPr>
          </w:p>
        </w:tc>
      </w:tr>
      <w:tr>
        <w:trPr>
          <w:trHeight w:val="129"/>
        </w:trPr>
        <w:tc>
          <w:tcPr>
            <w:tcW w:w="51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Capital expenditures</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(9,930)</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(10,374)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(44,645)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(43,296)</w:t>
            </w:r>
          </w:p>
        </w:tc>
        <w:tc>
          <w:tcPr>
            <w:tcW w:w="20" w:type="dxa"/>
            <w:vAlign w:val="bottom"/>
          </w:tcPr>
          <w:p>
            <w:pPr>
              <w:spacing w:after="0"/>
              <w:rPr>
                <w:sz w:val="11"/>
                <w:szCs w:val="11"/>
                <w:color w:val="auto"/>
              </w:rPr>
            </w:pPr>
          </w:p>
        </w:tc>
      </w:tr>
      <w:tr>
        <w:trPr>
          <w:trHeight w:val="141"/>
        </w:trPr>
        <w:tc>
          <w:tcPr>
            <w:tcW w:w="5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Content acquisitions</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(1,371)</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(5,630)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(11,096)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(16,821)</w:t>
            </w:r>
          </w:p>
        </w:tc>
        <w:tc>
          <w:tcPr>
            <w:tcW w:w="20" w:type="dxa"/>
            <w:vAlign w:val="bottom"/>
            <w:shd w:val="clear" w:color="auto" w:fill="CCEEFF"/>
          </w:tcPr>
          <w:p>
            <w:pPr>
              <w:spacing w:after="0"/>
              <w:rPr>
                <w:sz w:val="12"/>
                <w:szCs w:val="12"/>
                <w:color w:val="auto"/>
              </w:rPr>
            </w:pPr>
          </w:p>
        </w:tc>
      </w:tr>
      <w:tr>
        <w:trPr>
          <w:trHeight w:val="129"/>
        </w:trPr>
        <w:tc>
          <w:tcPr>
            <w:tcW w:w="51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0"/>
                <w:szCs w:val="10"/>
                <w:color w:val="auto"/>
              </w:rPr>
              <w:t>Cash received related to Giphy Retention Compensation</w:t>
            </w:r>
          </w:p>
        </w:tc>
        <w:tc>
          <w:tcPr>
            <w:tcW w:w="20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18,950</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53,657</w:t>
            </w: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auto"/>
            </w:tcBorders>
          </w:tcPr>
          <w:p>
            <w:pPr>
              <w:spacing w:after="0"/>
              <w:rPr>
                <w:sz w:val="11"/>
                <w:szCs w:val="11"/>
                <w:color w:val="auto"/>
              </w:rPr>
            </w:pPr>
          </w:p>
        </w:tc>
      </w:tr>
      <w:tr>
        <w:trPr>
          <w:trHeight w:val="146"/>
        </w:trPr>
        <w:tc>
          <w:tcPr>
            <w:tcW w:w="5100" w:type="dxa"/>
            <w:vAlign w:val="bottom"/>
            <w:tcBorders>
              <w:bottom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0"/>
                <w:szCs w:val="10"/>
                <w:color w:val="auto"/>
              </w:rPr>
              <w:t>Free cash flow</w:t>
            </w: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41,598</w:t>
            </w:r>
          </w:p>
        </w:tc>
        <w:tc>
          <w:tcPr>
            <w:tcW w:w="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45,158</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138,468</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98,334</w:t>
            </w:r>
          </w:p>
        </w:tc>
        <w:tc>
          <w:tcPr>
            <w:tcW w:w="20" w:type="dxa"/>
            <w:vAlign w:val="bottom"/>
            <w:tcBorders>
              <w:bottom w:val="single" w:sz="8" w:color="auto"/>
            </w:tcBorders>
            <w:shd w:val="clear" w:color="auto" w:fill="CCEEFF"/>
          </w:tcPr>
          <w:p>
            <w:pPr>
              <w:spacing w:after="0"/>
              <w:rPr>
                <w:sz w:val="12"/>
                <w:szCs w:val="12"/>
                <w:color w:val="auto"/>
              </w:rPr>
            </w:pPr>
          </w:p>
        </w:tc>
      </w:tr>
      <w:tr>
        <w:trPr>
          <w:trHeight w:val="471"/>
        </w:trPr>
        <w:tc>
          <w:tcPr>
            <w:tcW w:w="5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jc w:val="right"/>
              <w:ind w:right="213"/>
              <w:spacing w:after="0"/>
              <w:rPr>
                <w:sz w:val="20"/>
                <w:szCs w:val="20"/>
                <w:color w:val="auto"/>
              </w:rPr>
            </w:pPr>
            <w:r>
              <w:rPr>
                <w:rFonts w:ascii="Times New Roman" w:cs="Times New Roman" w:eastAsia="Times New Roman" w:hAnsi="Times New Roman"/>
                <w:sz w:val="8"/>
                <w:szCs w:val="8"/>
                <w:b w:val="1"/>
                <w:bCs w:val="1"/>
                <w:color w:val="auto"/>
              </w:rPr>
              <w:t>Three Months Ended December 31,</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ind w:right="52"/>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08"/>
        </w:trPr>
        <w:tc>
          <w:tcPr>
            <w:tcW w:w="510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2022</w:t>
            </w: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8"/>
                <w:szCs w:val="8"/>
                <w:b w:val="1"/>
                <w:bCs w:val="1"/>
                <w:color w:val="auto"/>
              </w:rPr>
              <w:t>2023</w:t>
            </w: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8"/>
                <w:szCs w:val="8"/>
                <w:b w:val="1"/>
                <w:bCs w:val="1"/>
                <w:color w:val="auto"/>
              </w:rPr>
              <w:t>2022</w:t>
            </w:r>
          </w:p>
        </w:tc>
        <w:tc>
          <w:tcPr>
            <w:tcW w:w="20" w:type="dxa"/>
            <w:vAlign w:val="bottom"/>
            <w:tcBorders>
              <w:bottom w:val="single" w:sz="8" w:color="auto"/>
            </w:tcBorders>
          </w:tcPr>
          <w:p>
            <w:pPr>
              <w:spacing w:after="0"/>
              <w:rPr>
                <w:sz w:val="9"/>
                <w:szCs w:val="9"/>
                <w:color w:val="auto"/>
              </w:rPr>
            </w:pPr>
          </w:p>
        </w:tc>
      </w:tr>
      <w:tr>
        <w:trPr>
          <w:trHeight w:val="128"/>
        </w:trPr>
        <w:tc>
          <w:tcPr>
            <w:tcW w:w="51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Content revenue</w:t>
            </w: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177,526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197,513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737,264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789,306</w:t>
            </w:r>
          </w:p>
        </w:tc>
        <w:tc>
          <w:tcPr>
            <w:tcW w:w="20" w:type="dxa"/>
            <w:vAlign w:val="bottom"/>
            <w:shd w:val="clear" w:color="auto" w:fill="CCEEFF"/>
          </w:tcPr>
          <w:p>
            <w:pPr>
              <w:spacing w:after="0"/>
              <w:rPr>
                <w:sz w:val="11"/>
                <w:szCs w:val="11"/>
                <w:color w:val="auto"/>
              </w:rPr>
            </w:pPr>
          </w:p>
        </w:tc>
      </w:tr>
      <w:tr>
        <w:trPr>
          <w:trHeight w:val="129"/>
        </w:trPr>
        <w:tc>
          <w:tcPr>
            <w:tcW w:w="5100" w:type="dxa"/>
            <w:vAlign w:val="bottom"/>
          </w:tcPr>
          <w:p>
            <w:pPr>
              <w:spacing w:after="0"/>
              <w:rPr>
                <w:sz w:val="20"/>
                <w:szCs w:val="20"/>
                <w:color w:val="auto"/>
              </w:rPr>
            </w:pPr>
            <w:r>
              <w:rPr>
                <w:rFonts w:ascii="Times New Roman" w:cs="Times New Roman" w:eastAsia="Times New Roman" w:hAnsi="Times New Roman"/>
                <w:sz w:val="10"/>
                <w:szCs w:val="10"/>
                <w:color w:val="auto"/>
              </w:rPr>
              <w:t>Data, Distribution, and Services revenue</w:t>
            </w:r>
          </w:p>
        </w:tc>
        <w:tc>
          <w:tcPr>
            <w:tcW w:w="1020" w:type="dxa"/>
            <w:vAlign w:val="bottom"/>
            <w:gridSpan w:val="2"/>
          </w:tcPr>
          <w:p>
            <w:pPr>
              <w:jc w:val="right"/>
              <w:ind w:right="714"/>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39,693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733"/>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20,213</w:t>
            </w:r>
          </w:p>
        </w:tc>
        <w:tc>
          <w:tcPr>
            <w:tcW w:w="400" w:type="dxa"/>
            <w:vAlign w:val="bottom"/>
            <w:gridSpan w:val="3"/>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137,323</w:t>
            </w:r>
          </w:p>
        </w:tc>
        <w:tc>
          <w:tcPr>
            <w:tcW w:w="40" w:type="dxa"/>
            <w:vAlign w:val="bottom"/>
          </w:tcPr>
          <w:p>
            <w:pPr>
              <w:spacing w:after="0"/>
              <w:rPr>
                <w:sz w:val="11"/>
                <w:szCs w:val="11"/>
                <w:color w:val="auto"/>
              </w:rPr>
            </w:pPr>
          </w:p>
        </w:tc>
        <w:tc>
          <w:tcPr>
            <w:tcW w:w="580" w:type="dxa"/>
            <w:vAlign w:val="bottom"/>
            <w:gridSpan w:val="2"/>
          </w:tcPr>
          <w:p>
            <w:pPr>
              <w:jc w:val="right"/>
              <w:ind w:right="41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38,520</w:t>
            </w:r>
          </w:p>
        </w:tc>
        <w:tc>
          <w:tcPr>
            <w:tcW w:w="20" w:type="dxa"/>
            <w:vAlign w:val="bottom"/>
          </w:tcPr>
          <w:p>
            <w:pPr>
              <w:spacing w:after="0"/>
              <w:rPr>
                <w:sz w:val="11"/>
                <w:szCs w:val="11"/>
                <w:color w:val="auto"/>
              </w:rPr>
            </w:pPr>
          </w:p>
        </w:tc>
      </w:tr>
      <w:tr>
        <w:trPr>
          <w:trHeight w:val="124"/>
        </w:trPr>
        <w:tc>
          <w:tcPr>
            <w:tcW w:w="5100" w:type="dxa"/>
            <w:vAlign w:val="bottom"/>
            <w:tcBorders>
              <w:top w:val="single" w:sz="8" w:color="CCEEFF"/>
            </w:tcBorders>
            <w:shd w:val="clear" w:color="auto" w:fill="CCEEFF"/>
          </w:tcPr>
          <w:p>
            <w:pPr>
              <w:ind w:left="80"/>
              <w:spacing w:after="0" w:line="110" w:lineRule="exact"/>
              <w:rPr>
                <w:sz w:val="20"/>
                <w:szCs w:val="20"/>
                <w:color w:val="auto"/>
              </w:rPr>
            </w:pPr>
            <w:r>
              <w:rPr>
                <w:rFonts w:ascii="Times New Roman" w:cs="Times New Roman" w:eastAsia="Times New Roman" w:hAnsi="Times New Roman"/>
                <w:sz w:val="10"/>
                <w:szCs w:val="10"/>
                <w:color w:val="auto"/>
              </w:rPr>
              <w:t>Total revenue</w:t>
            </w:r>
          </w:p>
        </w:tc>
        <w:tc>
          <w:tcPr>
            <w:tcW w:w="2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217,219</w:t>
            </w: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217,726</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874,587</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827,826</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r>
      <w:tr>
        <w:trPr>
          <w:trHeight w:val="58"/>
        </w:trPr>
        <w:tc>
          <w:tcPr>
            <w:tcW w:w="5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35"/>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Change in total deferred revenue</w:t>
            </w:r>
          </w:p>
        </w:tc>
        <w:tc>
          <w:tcPr>
            <w:tcW w:w="1020" w:type="dxa"/>
            <w:vAlign w:val="bottom"/>
            <w:gridSpan w:val="2"/>
            <w:shd w:val="clear" w:color="auto" w:fill="CCEEFF"/>
          </w:tcPr>
          <w:p>
            <w:pPr>
              <w:jc w:val="right"/>
              <w:ind w:right="714"/>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12,686</w:t>
            </w:r>
          </w:p>
        </w:tc>
        <w:tc>
          <w:tcPr>
            <w:tcW w:w="400" w:type="dxa"/>
            <w:vAlign w:val="bottom"/>
            <w:gridSpan w:val="3"/>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16,393</w:t>
            </w: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1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2,386</w:t>
            </w:r>
          </w:p>
        </w:tc>
        <w:tc>
          <w:tcPr>
            <w:tcW w:w="20" w:type="dxa"/>
            <w:vAlign w:val="bottom"/>
            <w:shd w:val="clear" w:color="auto" w:fill="CCEEFF"/>
          </w:tcPr>
          <w:p>
            <w:pPr>
              <w:spacing w:after="0"/>
              <w:rPr>
                <w:sz w:val="11"/>
                <w:szCs w:val="11"/>
                <w:color w:val="auto"/>
              </w:rPr>
            </w:pPr>
          </w:p>
        </w:tc>
      </w:tr>
      <w:tr>
        <w:trPr>
          <w:trHeight w:val="118"/>
        </w:trPr>
        <w:tc>
          <w:tcPr>
            <w:tcW w:w="5100" w:type="dxa"/>
            <w:vAlign w:val="bottom"/>
          </w:tcPr>
          <w:p>
            <w:pPr>
              <w:ind w:left="80"/>
              <w:spacing w:after="0" w:line="104" w:lineRule="exact"/>
              <w:rPr>
                <w:sz w:val="20"/>
                <w:szCs w:val="20"/>
                <w:color w:val="auto"/>
              </w:rPr>
            </w:pPr>
            <w:r>
              <w:rPr>
                <w:rFonts w:ascii="Times New Roman" w:cs="Times New Roman" w:eastAsia="Times New Roman" w:hAnsi="Times New Roman"/>
                <w:sz w:val="10"/>
                <w:szCs w:val="10"/>
                <w:color w:val="auto"/>
              </w:rPr>
              <w:t>Total billings</w:t>
            </w:r>
          </w:p>
        </w:tc>
        <w:tc>
          <w:tcPr>
            <w:tcW w:w="200" w:type="dxa"/>
            <w:vAlign w:val="bottom"/>
          </w:tcPr>
          <w:p>
            <w:pPr>
              <w:spacing w:after="0"/>
              <w:rPr>
                <w:sz w:val="10"/>
                <w:szCs w:val="10"/>
                <w:color w:val="auto"/>
              </w:rPr>
            </w:pPr>
          </w:p>
        </w:tc>
        <w:tc>
          <w:tcPr>
            <w:tcW w:w="82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217,582</w:t>
            </w:r>
          </w:p>
        </w:tc>
        <w:tc>
          <w:tcPr>
            <w:tcW w:w="40" w:type="dxa"/>
            <w:vAlign w:val="bottom"/>
            <w:tcBorders>
              <w:top w:val="single" w:sz="8" w:color="auto"/>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230,412</w:t>
            </w:r>
          </w:p>
        </w:tc>
        <w:tc>
          <w:tcPr>
            <w:tcW w:w="20" w:type="dxa"/>
            <w:vAlign w:val="bottom"/>
            <w:tcBorders>
              <w:top w:val="single" w:sz="8" w:color="auto"/>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890,980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830,212</w:t>
            </w:r>
          </w:p>
        </w:tc>
        <w:tc>
          <w:tcPr>
            <w:tcW w:w="20" w:type="dxa"/>
            <w:vAlign w:val="bottom"/>
            <w:tcBorders>
              <w:top w:val="single" w:sz="8" w:color="auto"/>
              <w:bottom w:val="single" w:sz="8" w:color="auto"/>
            </w:tcBorders>
          </w:tcPr>
          <w:p>
            <w:pPr>
              <w:spacing w:after="0"/>
              <w:rPr>
                <w:sz w:val="10"/>
                <w:szCs w:val="10"/>
                <w:color w:val="auto"/>
              </w:rPr>
            </w:pPr>
          </w:p>
        </w:tc>
      </w:tr>
      <w:tr>
        <w:trPr>
          <w:trHeight w:val="20"/>
        </w:trPr>
        <w:tc>
          <w:tcPr>
            <w:tcW w:w="5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36"/>
        </w:trPr>
        <w:tc>
          <w:tcPr>
            <w:tcW w:w="5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jc w:val="right"/>
              <w:ind w:right="213"/>
              <w:spacing w:after="0"/>
              <w:rPr>
                <w:sz w:val="20"/>
                <w:szCs w:val="20"/>
                <w:color w:val="auto"/>
              </w:rPr>
            </w:pPr>
            <w:r>
              <w:rPr>
                <w:rFonts w:ascii="Times New Roman" w:cs="Times New Roman" w:eastAsia="Times New Roman" w:hAnsi="Times New Roman"/>
                <w:sz w:val="8"/>
                <w:szCs w:val="8"/>
                <w:b w:val="1"/>
                <w:bCs w:val="1"/>
                <w:color w:val="auto"/>
              </w:rPr>
              <w:t>Three Months Ended December 31,</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ind w:right="52"/>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08"/>
        </w:trPr>
        <w:tc>
          <w:tcPr>
            <w:tcW w:w="510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2022</w:t>
            </w: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8"/>
                <w:szCs w:val="8"/>
                <w:b w:val="1"/>
                <w:bCs w:val="1"/>
                <w:color w:val="auto"/>
              </w:rPr>
              <w:t>2023</w:t>
            </w: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8"/>
                <w:szCs w:val="8"/>
                <w:b w:val="1"/>
                <w:bCs w:val="1"/>
                <w:color w:val="auto"/>
              </w:rPr>
              <w:t>2022</w:t>
            </w:r>
          </w:p>
        </w:tc>
        <w:tc>
          <w:tcPr>
            <w:tcW w:w="20" w:type="dxa"/>
            <w:vAlign w:val="bottom"/>
            <w:tcBorders>
              <w:bottom w:val="single" w:sz="8" w:color="auto"/>
            </w:tcBorders>
          </w:tcPr>
          <w:p>
            <w:pPr>
              <w:spacing w:after="0"/>
              <w:rPr>
                <w:sz w:val="9"/>
                <w:szCs w:val="9"/>
                <w:color w:val="auto"/>
              </w:rPr>
            </w:pPr>
          </w:p>
        </w:tc>
      </w:tr>
      <w:tr>
        <w:trPr>
          <w:trHeight w:val="128"/>
        </w:trPr>
        <w:tc>
          <w:tcPr>
            <w:tcW w:w="51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E-commerce revenue</w:t>
            </w: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102,247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122,332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439,941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501,384</w:t>
            </w:r>
          </w:p>
        </w:tc>
        <w:tc>
          <w:tcPr>
            <w:tcW w:w="20" w:type="dxa"/>
            <w:vAlign w:val="bottom"/>
            <w:shd w:val="clear" w:color="auto" w:fill="CCEEFF"/>
          </w:tcPr>
          <w:p>
            <w:pPr>
              <w:spacing w:after="0"/>
              <w:rPr>
                <w:sz w:val="11"/>
                <w:szCs w:val="11"/>
                <w:color w:val="auto"/>
              </w:rPr>
            </w:pPr>
          </w:p>
        </w:tc>
      </w:tr>
      <w:tr>
        <w:trPr>
          <w:trHeight w:val="129"/>
        </w:trPr>
        <w:tc>
          <w:tcPr>
            <w:tcW w:w="5100" w:type="dxa"/>
            <w:vAlign w:val="bottom"/>
          </w:tcPr>
          <w:p>
            <w:pPr>
              <w:spacing w:after="0"/>
              <w:rPr>
                <w:sz w:val="20"/>
                <w:szCs w:val="20"/>
                <w:color w:val="auto"/>
              </w:rPr>
            </w:pPr>
            <w:r>
              <w:rPr>
                <w:rFonts w:ascii="Times New Roman" w:cs="Times New Roman" w:eastAsia="Times New Roman" w:hAnsi="Times New Roman"/>
                <w:sz w:val="10"/>
                <w:szCs w:val="10"/>
                <w:color w:val="auto"/>
              </w:rPr>
              <w:t>Enterprise revenue</w:t>
            </w:r>
          </w:p>
        </w:tc>
        <w:tc>
          <w:tcPr>
            <w:tcW w:w="1020" w:type="dxa"/>
            <w:vAlign w:val="bottom"/>
            <w:gridSpan w:val="2"/>
          </w:tcPr>
          <w:p>
            <w:pPr>
              <w:jc w:val="right"/>
              <w:ind w:right="714"/>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114,972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733"/>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95,394</w:t>
            </w:r>
          </w:p>
        </w:tc>
        <w:tc>
          <w:tcPr>
            <w:tcW w:w="400" w:type="dxa"/>
            <w:vAlign w:val="bottom"/>
            <w:gridSpan w:val="3"/>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434,646</w:t>
            </w:r>
          </w:p>
        </w:tc>
        <w:tc>
          <w:tcPr>
            <w:tcW w:w="40" w:type="dxa"/>
            <w:vAlign w:val="bottom"/>
          </w:tcPr>
          <w:p>
            <w:pPr>
              <w:spacing w:after="0"/>
              <w:rPr>
                <w:sz w:val="11"/>
                <w:szCs w:val="11"/>
                <w:color w:val="auto"/>
              </w:rPr>
            </w:pPr>
          </w:p>
        </w:tc>
        <w:tc>
          <w:tcPr>
            <w:tcW w:w="580" w:type="dxa"/>
            <w:vAlign w:val="bottom"/>
            <w:gridSpan w:val="2"/>
          </w:tcPr>
          <w:p>
            <w:pPr>
              <w:jc w:val="right"/>
              <w:ind w:right="41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326,442</w:t>
            </w:r>
          </w:p>
        </w:tc>
        <w:tc>
          <w:tcPr>
            <w:tcW w:w="20" w:type="dxa"/>
            <w:vAlign w:val="bottom"/>
          </w:tcPr>
          <w:p>
            <w:pPr>
              <w:spacing w:after="0"/>
              <w:rPr>
                <w:sz w:val="11"/>
                <w:szCs w:val="11"/>
                <w:color w:val="auto"/>
              </w:rPr>
            </w:pPr>
          </w:p>
        </w:tc>
      </w:tr>
      <w:tr>
        <w:trPr>
          <w:trHeight w:val="124"/>
        </w:trPr>
        <w:tc>
          <w:tcPr>
            <w:tcW w:w="5100" w:type="dxa"/>
            <w:vAlign w:val="bottom"/>
            <w:tcBorders>
              <w:top w:val="single" w:sz="8" w:color="CCEEFF"/>
            </w:tcBorders>
            <w:shd w:val="clear" w:color="auto" w:fill="CCEEFF"/>
          </w:tcPr>
          <w:p>
            <w:pPr>
              <w:ind w:left="80"/>
              <w:spacing w:after="0" w:line="110" w:lineRule="exact"/>
              <w:rPr>
                <w:sz w:val="20"/>
                <w:szCs w:val="20"/>
                <w:color w:val="auto"/>
              </w:rPr>
            </w:pPr>
            <w:r>
              <w:rPr>
                <w:rFonts w:ascii="Times New Roman" w:cs="Times New Roman" w:eastAsia="Times New Roman" w:hAnsi="Times New Roman"/>
                <w:sz w:val="10"/>
                <w:szCs w:val="10"/>
                <w:color w:val="auto"/>
              </w:rPr>
              <w:t>Total revenue</w:t>
            </w:r>
          </w:p>
        </w:tc>
        <w:tc>
          <w:tcPr>
            <w:tcW w:w="2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217,219</w:t>
            </w: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217,726</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874,587</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827,826</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180"/>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300"/>
          </w:cols>
          <w:pgMar w:left="300" w:top="874" w:right="299" w:bottom="1440" w:gutter="0" w:footer="0" w:header="0"/>
        </w:sectPr>
      </w:pPr>
    </w:p>
    <w:bookmarkStart w:id="17" w:name="page18"/>
    <w:bookmarkEnd w:id="17"/>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Shutterstock,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Supplemental Financial Data</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225"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2"/>
          <w:szCs w:val="12"/>
          <w:b w:val="1"/>
          <w:bCs w:val="1"/>
          <w:color w:val="auto"/>
        </w:rPr>
        <w:t>Historical Operating Metrics</w:t>
      </w:r>
    </w:p>
    <w:p>
      <w:pPr>
        <w:spacing w:after="0" w:line="35"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7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8"/>
                <w:szCs w:val="8"/>
                <w:b w:val="1"/>
                <w:bCs w:val="1"/>
                <w:color w:val="auto"/>
              </w:rPr>
              <w:t>Three Months Ended</w:t>
            </w: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r>
      <w:tr>
        <w:trPr>
          <w:trHeight w:val="104"/>
        </w:trPr>
        <w:tc>
          <w:tcPr>
            <w:tcW w:w="4740" w:type="dxa"/>
            <w:vAlign w:val="bottom"/>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12/31/23</w:t>
            </w:r>
          </w:p>
        </w:tc>
        <w:tc>
          <w:tcPr>
            <w:tcW w:w="2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8"/>
                <w:szCs w:val="8"/>
                <w:b w:val="1"/>
                <w:bCs w:val="1"/>
                <w:color w:val="auto"/>
              </w:rPr>
              <w:t>9/30/23</w:t>
            </w: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8"/>
                <w:szCs w:val="8"/>
                <w:b w:val="1"/>
                <w:bCs w:val="1"/>
                <w:color w:val="auto"/>
              </w:rPr>
              <w:t>6/30/23</w:t>
            </w:r>
          </w:p>
        </w:tc>
        <w:tc>
          <w:tcPr>
            <w:tcW w:w="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8"/>
                <w:szCs w:val="8"/>
                <w:b w:val="1"/>
                <w:bCs w:val="1"/>
                <w:color w:val="auto"/>
              </w:rPr>
              <w:t>3/31/23</w:t>
            </w: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8"/>
                <w:szCs w:val="8"/>
                <w:b w:val="1"/>
                <w:bCs w:val="1"/>
                <w:color w:val="auto"/>
              </w:rPr>
              <w:t>12/31/22</w:t>
            </w:r>
          </w:p>
        </w:tc>
        <w:tc>
          <w:tcPr>
            <w:tcW w:w="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8"/>
                <w:szCs w:val="8"/>
                <w:b w:val="1"/>
                <w:bCs w:val="1"/>
                <w:color w:val="auto"/>
              </w:rPr>
              <w:t>9/30/22</w:t>
            </w: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8"/>
                <w:szCs w:val="8"/>
                <w:b w:val="1"/>
                <w:bCs w:val="1"/>
                <w:color w:val="auto"/>
              </w:rPr>
              <w:t>6/30/22</w:t>
            </w: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8"/>
                <w:szCs w:val="8"/>
                <w:b w:val="1"/>
                <w:bCs w:val="1"/>
                <w:color w:val="auto"/>
              </w:rPr>
              <w:t>3/31/22</w:t>
            </w:r>
          </w:p>
        </w:tc>
      </w:tr>
      <w:tr>
        <w:trPr>
          <w:trHeight w:val="177"/>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Subscribers (end of period, in thousands) </w:t>
            </w:r>
            <w:r>
              <w:rPr>
                <w:rFonts w:ascii="Times New Roman" w:cs="Times New Roman" w:eastAsia="Times New Roman" w:hAnsi="Times New Roman"/>
                <w:sz w:val="14"/>
                <w:szCs w:val="14"/>
                <w:color w:val="auto"/>
                <w:vertAlign w:val="superscript"/>
              </w:rPr>
              <w:t>(1)</w:t>
            </w:r>
          </w:p>
        </w:tc>
        <w:tc>
          <w:tcPr>
            <w:tcW w:w="5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359</w:t>
            </w:r>
          </w:p>
        </w:tc>
      </w:tr>
      <w:tr>
        <w:trPr>
          <w:trHeight w:val="144"/>
        </w:trPr>
        <w:tc>
          <w:tcPr>
            <w:tcW w:w="47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 xml:space="preserve">Subscriber revenue (in millions) </w:t>
            </w:r>
            <w:r>
              <w:rPr>
                <w:rFonts w:ascii="Times New Roman" w:cs="Times New Roman" w:eastAsia="Times New Roman" w:hAnsi="Times New Roman"/>
                <w:sz w:val="14"/>
                <w:szCs w:val="14"/>
                <w:color w:val="auto"/>
                <w:vertAlign w:val="superscript"/>
              </w:rPr>
              <w:t>(2)</w:t>
            </w:r>
          </w:p>
        </w:tc>
        <w:tc>
          <w:tcPr>
            <w:tcW w:w="54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1"/>
              </w:rPr>
              <w:t>85.2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85.4</w:t>
            </w:r>
          </w:p>
        </w:tc>
      </w:tr>
      <w:tr>
        <w:trPr>
          <w:trHeight w:val="63"/>
        </w:trPr>
        <w:tc>
          <w:tcPr>
            <w:tcW w:w="4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r>
      <w:tr>
        <w:trPr>
          <w:trHeight w:val="144"/>
        </w:trPr>
        <w:tc>
          <w:tcPr>
            <w:tcW w:w="47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 xml:space="preserve">Average revenue per customer (last twelve months) </w:t>
            </w:r>
            <w:r>
              <w:rPr>
                <w:rFonts w:ascii="Times New Roman" w:cs="Times New Roman" w:eastAsia="Times New Roman" w:hAnsi="Times New Roman"/>
                <w:sz w:val="14"/>
                <w:szCs w:val="14"/>
                <w:color w:val="auto"/>
                <w:vertAlign w:val="superscript"/>
              </w:rPr>
              <w:t>(3)</w:t>
            </w:r>
          </w:p>
        </w:tc>
        <w:tc>
          <w:tcPr>
            <w:tcW w:w="54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355</w:t>
            </w:r>
          </w:p>
        </w:tc>
      </w:tr>
      <w:tr>
        <w:trPr>
          <w:trHeight w:val="144"/>
        </w:trPr>
        <w:tc>
          <w:tcPr>
            <w:tcW w:w="474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 xml:space="preserve">Paid downloads (in millions) </w:t>
            </w:r>
            <w:r>
              <w:rPr>
                <w:rFonts w:ascii="Times New Roman" w:cs="Times New Roman" w:eastAsia="Times New Roman" w:hAnsi="Times New Roman"/>
                <w:sz w:val="14"/>
                <w:szCs w:val="14"/>
                <w:color w:val="auto"/>
                <w:vertAlign w:val="superscript"/>
              </w:rPr>
              <w:t>(4)</w:t>
            </w:r>
          </w:p>
        </w:tc>
        <w:tc>
          <w:tcPr>
            <w:tcW w:w="5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1"/>
              </w:rPr>
              <w:t>35.4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44.6</w:t>
            </w:r>
          </w:p>
        </w:tc>
      </w:tr>
      <w:tr>
        <w:trPr>
          <w:trHeight w:val="144"/>
        </w:trPr>
        <w:tc>
          <w:tcPr>
            <w:tcW w:w="47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 xml:space="preserve">Revenue per download </w:t>
            </w:r>
            <w:r>
              <w:rPr>
                <w:rFonts w:ascii="Times New Roman" w:cs="Times New Roman" w:eastAsia="Times New Roman" w:hAnsi="Times New Roman"/>
                <w:sz w:val="14"/>
                <w:szCs w:val="14"/>
                <w:color w:val="auto"/>
                <w:vertAlign w:val="superscript"/>
              </w:rPr>
              <w:t>(5)</w:t>
            </w:r>
          </w:p>
        </w:tc>
        <w:tc>
          <w:tcPr>
            <w:tcW w:w="54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1"/>
              </w:rPr>
              <w:t>5.02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4.22</w:t>
            </w:r>
          </w:p>
        </w:tc>
      </w:tr>
      <w:tr>
        <w:trPr>
          <w:trHeight w:val="144"/>
        </w:trPr>
        <w:tc>
          <w:tcPr>
            <w:tcW w:w="474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 xml:space="preserve">Content in our collection (end of period, in millions): </w:t>
            </w:r>
            <w:r>
              <w:rPr>
                <w:rFonts w:ascii="Times New Roman" w:cs="Times New Roman" w:eastAsia="Times New Roman" w:hAnsi="Times New Roman"/>
                <w:sz w:val="14"/>
                <w:szCs w:val="14"/>
                <w:color w:val="auto"/>
                <w:vertAlign w:val="superscript"/>
              </w:rPr>
              <w:t>(6)</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4"/>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Images</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471</w:t>
            </w:r>
          </w:p>
        </w:tc>
      </w:tr>
      <w:tr>
        <w:trPr>
          <w:trHeight w:val="140"/>
        </w:trPr>
        <w:tc>
          <w:tcPr>
            <w:tcW w:w="47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Footage clips</w:t>
            </w:r>
          </w:p>
        </w:tc>
        <w:tc>
          <w:tcPr>
            <w:tcW w:w="5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w:t>
            </w:r>
          </w:p>
        </w:tc>
      </w:tr>
    </w:tbl>
    <w:p>
      <w:pPr>
        <w:spacing w:after="0" w:line="128" w:lineRule="exact"/>
        <w:rPr>
          <w:sz w:val="20"/>
          <w:szCs w:val="20"/>
          <w:color w:val="auto"/>
        </w:rPr>
      </w:pPr>
    </w:p>
    <w:p>
      <w:pPr>
        <w:ind w:left="8" w:right="220"/>
        <w:spacing w:after="0" w:line="296" w:lineRule="auto"/>
        <w:rPr>
          <w:sz w:val="20"/>
          <w:szCs w:val="20"/>
          <w:color w:val="auto"/>
        </w:rPr>
      </w:pPr>
      <w:r>
        <w:rPr>
          <w:rFonts w:ascii="Times New Roman" w:cs="Times New Roman" w:eastAsia="Times New Roman" w:hAnsi="Times New Roman"/>
          <w:sz w:val="8"/>
          <w:szCs w:val="8"/>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TurboSquid beginning February 2022, from PicMonkey beginning September 2022, and from Pond5 and Splash News beginning May 2023. These metrics exclude the respective counts and revenues from Giphy.</w:t>
      </w:r>
    </w:p>
    <w:p>
      <w:pPr>
        <w:spacing w:after="0" w:line="43" w:lineRule="exact"/>
        <w:rPr>
          <w:sz w:val="20"/>
          <w:szCs w:val="20"/>
          <w:color w:val="auto"/>
        </w:rPr>
      </w:pPr>
    </w:p>
    <w:p>
      <w:pPr>
        <w:ind w:left="128" w:hanging="128"/>
        <w:spacing w:after="0"/>
        <w:tabs>
          <w:tab w:leader="none" w:pos="128" w:val="left"/>
        </w:tabs>
        <w:numPr>
          <w:ilvl w:val="0"/>
          <w:numId w:val="12"/>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Subscribers is defined as those customers who purchase one or more of our monthly recurring products for a continuous period of at least three months, measured as of the end of the reporting period.</w:t>
      </w:r>
    </w:p>
    <w:p>
      <w:pPr>
        <w:spacing w:after="0" w:line="79" w:lineRule="exact"/>
        <w:rPr>
          <w:rFonts w:ascii="Times New Roman" w:cs="Times New Roman" w:eastAsia="Times New Roman" w:hAnsi="Times New Roman"/>
          <w:sz w:val="8"/>
          <w:szCs w:val="8"/>
          <w:color w:val="auto"/>
        </w:rPr>
      </w:pPr>
    </w:p>
    <w:p>
      <w:pPr>
        <w:ind w:left="128" w:hanging="128"/>
        <w:spacing w:after="0"/>
        <w:tabs>
          <w:tab w:leader="none" w:pos="128" w:val="left"/>
        </w:tabs>
        <w:numPr>
          <w:ilvl w:val="0"/>
          <w:numId w:val="12"/>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Subscriber revenue is defined as the revenue generated from subscribers during the period.</w:t>
      </w:r>
    </w:p>
    <w:p>
      <w:pPr>
        <w:spacing w:after="0" w:line="79" w:lineRule="exact"/>
        <w:rPr>
          <w:rFonts w:ascii="Times New Roman" w:cs="Times New Roman" w:eastAsia="Times New Roman" w:hAnsi="Times New Roman"/>
          <w:sz w:val="8"/>
          <w:szCs w:val="8"/>
          <w:color w:val="auto"/>
        </w:rPr>
      </w:pPr>
    </w:p>
    <w:p>
      <w:pPr>
        <w:ind w:left="128" w:hanging="128"/>
        <w:spacing w:after="0"/>
        <w:tabs>
          <w:tab w:leader="none" w:pos="128" w:val="left"/>
        </w:tabs>
        <w:numPr>
          <w:ilvl w:val="0"/>
          <w:numId w:val="12"/>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Average revenue per customer is calculated by dividing total revenue for the last twelve-month period by customers. Customers is defined as total active, paying customers that contributed to total revenue over the last twelve-month period.</w:t>
      </w:r>
    </w:p>
    <w:p>
      <w:pPr>
        <w:spacing w:after="0" w:line="88" w:lineRule="exact"/>
        <w:rPr>
          <w:rFonts w:ascii="Times New Roman" w:cs="Times New Roman" w:eastAsia="Times New Roman" w:hAnsi="Times New Roman"/>
          <w:sz w:val="8"/>
          <w:szCs w:val="8"/>
          <w:color w:val="auto"/>
        </w:rPr>
      </w:pPr>
    </w:p>
    <w:p>
      <w:pPr>
        <w:ind w:left="128" w:hanging="128"/>
        <w:spacing w:after="0"/>
        <w:tabs>
          <w:tab w:leader="none" w:pos="128" w:val="left"/>
        </w:tabs>
        <w:numPr>
          <w:ilvl w:val="0"/>
          <w:numId w:val="12"/>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Paid downloads is the number of downloads that our customers make in a given period of our content. Paid downloads exclude content related to our Studios business, downloads of content that are offered to customers for no charge, including our free trials and downloads associated with our computer vision offering.</w:t>
      </w:r>
    </w:p>
    <w:p>
      <w:pPr>
        <w:spacing w:after="0" w:line="79" w:lineRule="exact"/>
        <w:rPr>
          <w:rFonts w:ascii="Times New Roman" w:cs="Times New Roman" w:eastAsia="Times New Roman" w:hAnsi="Times New Roman"/>
          <w:sz w:val="8"/>
          <w:szCs w:val="8"/>
          <w:color w:val="auto"/>
        </w:rPr>
      </w:pPr>
    </w:p>
    <w:p>
      <w:pPr>
        <w:ind w:left="128" w:hanging="128"/>
        <w:spacing w:after="0"/>
        <w:tabs>
          <w:tab w:leader="none" w:pos="128" w:val="left"/>
        </w:tabs>
        <w:numPr>
          <w:ilvl w:val="0"/>
          <w:numId w:val="12"/>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Revenue per download is the amount of revenue recognized in a given period divided by the number of paid downloads in that period excluding revenue from our Studios business, revenue that is not derived from or associated with content licenses and revenue associated with our computer vision offering.</w:t>
      </w:r>
    </w:p>
    <w:p>
      <w:pPr>
        <w:spacing w:after="0" w:line="79" w:lineRule="exact"/>
        <w:rPr>
          <w:rFonts w:ascii="Times New Roman" w:cs="Times New Roman" w:eastAsia="Times New Roman" w:hAnsi="Times New Roman"/>
          <w:sz w:val="8"/>
          <w:szCs w:val="8"/>
          <w:color w:val="auto"/>
        </w:rPr>
      </w:pPr>
    </w:p>
    <w:p>
      <w:pPr>
        <w:ind w:left="8" w:right="180" w:hanging="8"/>
        <w:spacing w:after="0" w:line="296" w:lineRule="auto"/>
        <w:tabs>
          <w:tab w:leader="none" w:pos="127" w:val="left"/>
        </w:tabs>
        <w:numPr>
          <w:ilvl w:val="0"/>
          <w:numId w:val="12"/>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Content in our collection represents approved images (photographs, vectors and illustrations) and footage (in number of clips) in our library at the end of the period. This metric excludes content that is not uploaded directly to our site but is available for license by our customers through an application program interface, content from our Studios business and AI generated content. Prior to December 31, 2022, this metric only included approved images and footage clips in our library on shutterstock.com at the end of the period.</w:t>
      </w:r>
    </w:p>
    <w:p>
      <w:pPr>
        <w:spacing w:after="0" w:line="27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Equity-Based Compensation by expense category</w:t>
      </w:r>
    </w:p>
    <w:p>
      <w:pPr>
        <w:spacing w:after="0" w:line="143"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4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8"/>
                <w:szCs w:val="8"/>
                <w:b w:val="1"/>
                <w:bCs w:val="1"/>
                <w:color w:val="auto"/>
              </w:rPr>
              <w:t>Three Months Ended</w:t>
            </w: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r>
      <w:tr>
        <w:trPr>
          <w:trHeight w:val="131"/>
        </w:trPr>
        <w:tc>
          <w:tcPr>
            <w:tcW w:w="4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8"/>
                <w:szCs w:val="8"/>
                <w:b w:val="1"/>
                <w:bCs w:val="1"/>
                <w:color w:val="auto"/>
              </w:rPr>
              <w:t>12/31/23</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8"/>
                <w:szCs w:val="8"/>
                <w:b w:val="1"/>
                <w:bCs w:val="1"/>
                <w:color w:val="auto"/>
              </w:rPr>
              <w:t>9/30/23</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8"/>
                <w:szCs w:val="8"/>
                <w:b w:val="1"/>
                <w:bCs w:val="1"/>
                <w:color w:val="auto"/>
              </w:rPr>
              <w:t>6/30/23</w:t>
            </w: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8"/>
                <w:szCs w:val="8"/>
                <w:b w:val="1"/>
                <w:bCs w:val="1"/>
                <w:color w:val="auto"/>
              </w:rPr>
              <w:t>3/31/23</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8"/>
                <w:szCs w:val="8"/>
                <w:b w:val="1"/>
                <w:bCs w:val="1"/>
                <w:color w:val="auto"/>
              </w:rPr>
              <w:t>12/31/22</w:t>
            </w: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8"/>
                <w:szCs w:val="8"/>
                <w:b w:val="1"/>
                <w:bCs w:val="1"/>
                <w:color w:val="auto"/>
              </w:rPr>
              <w:t>9/30/22</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8"/>
                <w:szCs w:val="8"/>
                <w:b w:val="1"/>
                <w:bCs w:val="1"/>
                <w:color w:val="auto"/>
              </w:rPr>
              <w:t>6/30/22</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8"/>
                <w:szCs w:val="8"/>
                <w:b w:val="1"/>
                <w:bCs w:val="1"/>
                <w:color w:val="auto"/>
              </w:rPr>
              <w:t>3/31/22</w:t>
            </w:r>
          </w:p>
        </w:tc>
      </w:tr>
      <w:tr>
        <w:trPr>
          <w:trHeight w:val="171"/>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Cost of revenue</w:t>
            </w: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w:t>
            </w:r>
          </w:p>
        </w:tc>
        <w:tc>
          <w:tcPr>
            <w:tcW w:w="8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80" w:type="dxa"/>
            <w:vAlign w:val="bottom"/>
          </w:tcPr>
          <w:p>
            <w:pPr>
              <w:spacing w:after="0"/>
              <w:rPr>
                <w:sz w:val="14"/>
                <w:szCs w:val="14"/>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306</w:t>
            </w:r>
          </w:p>
        </w:tc>
        <w:tc>
          <w:tcPr>
            <w:tcW w:w="60" w:type="dxa"/>
            <w:vAlign w:val="bottom"/>
          </w:tcPr>
          <w:p>
            <w:pPr>
              <w:spacing w:after="0"/>
              <w:rPr>
                <w:sz w:val="14"/>
                <w:szCs w:val="14"/>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184</w:t>
            </w:r>
          </w:p>
        </w:tc>
        <w:tc>
          <w:tcPr>
            <w:tcW w:w="8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160</w:t>
            </w:r>
          </w:p>
        </w:tc>
        <w:tc>
          <w:tcPr>
            <w:tcW w:w="60" w:type="dxa"/>
            <w:vAlign w:val="bottom"/>
          </w:tcPr>
          <w:p>
            <w:pPr>
              <w:spacing w:after="0"/>
              <w:rPr>
                <w:sz w:val="14"/>
                <w:szCs w:val="14"/>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8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w:t>
            </w:r>
          </w:p>
        </w:tc>
        <w:tc>
          <w:tcPr>
            <w:tcW w:w="80" w:type="dxa"/>
            <w:vAlign w:val="bottom"/>
          </w:tcPr>
          <w:p>
            <w:pPr>
              <w:spacing w:after="0"/>
              <w:rPr>
                <w:sz w:val="14"/>
                <w:szCs w:val="14"/>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w:t>
            </w:r>
          </w:p>
        </w:tc>
      </w:tr>
      <w:tr>
        <w:trPr>
          <w:trHeight w:val="14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Sales and marketing</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2,201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2,067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2,487</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1,629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928</w:t>
            </w:r>
          </w:p>
        </w:tc>
      </w:tr>
      <w:tr>
        <w:trPr>
          <w:trHeight w:val="142"/>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Product development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3,022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3,509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4,221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2,448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3,085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2,957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2,557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1,781</w:t>
            </w:r>
          </w:p>
        </w:tc>
      </w:tr>
      <w:tr>
        <w:trPr>
          <w:trHeight w:val="14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6,620</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7,247</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7,929</w:t>
            </w: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5,407</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7,111</w:t>
            </w: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4,455</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2,702</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5,039</w:t>
            </w:r>
          </w:p>
        </w:tc>
      </w:tr>
      <w:tr>
        <w:trPr>
          <w:trHeight w:val="122"/>
        </w:trPr>
        <w:tc>
          <w:tcPr>
            <w:tcW w:w="4740" w:type="dxa"/>
            <w:vAlign w:val="bottom"/>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non-cash equity-based compensation</w:t>
            </w: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11,988</w:t>
            </w:r>
          </w:p>
        </w:tc>
        <w:tc>
          <w:tcPr>
            <w:tcW w:w="80" w:type="dxa"/>
            <w:vAlign w:val="bottom"/>
          </w:tcPr>
          <w:p>
            <w:pPr>
              <w:spacing w:after="0"/>
              <w:rPr>
                <w:sz w:val="10"/>
                <w:szCs w:val="10"/>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13,003</w:t>
            </w:r>
          </w:p>
        </w:tc>
        <w:tc>
          <w:tcPr>
            <w:tcW w:w="80" w:type="dxa"/>
            <w:vAlign w:val="bottom"/>
          </w:tcPr>
          <w:p>
            <w:pPr>
              <w:spacing w:after="0"/>
              <w:rPr>
                <w:sz w:val="10"/>
                <w:szCs w:val="10"/>
                <w:color w:val="auto"/>
              </w:rPr>
            </w:pPr>
          </w:p>
        </w:tc>
        <w:tc>
          <w:tcPr>
            <w:tcW w:w="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14,943</w:t>
            </w:r>
          </w:p>
        </w:tc>
        <w:tc>
          <w:tcPr>
            <w:tcW w:w="60" w:type="dxa"/>
            <w:vAlign w:val="bottom"/>
          </w:tcPr>
          <w:p>
            <w:pPr>
              <w:spacing w:after="0"/>
              <w:rPr>
                <w:sz w:val="10"/>
                <w:szCs w:val="10"/>
                <w:color w:val="auto"/>
              </w:rPr>
            </w:pPr>
          </w:p>
        </w:tc>
        <w:tc>
          <w:tcPr>
            <w:tcW w:w="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8,643</w:t>
            </w:r>
          </w:p>
        </w:tc>
        <w:tc>
          <w:tcPr>
            <w:tcW w:w="80" w:type="dxa"/>
            <w:vAlign w:val="bottom"/>
          </w:tcPr>
          <w:p>
            <w:pPr>
              <w:spacing w:after="0"/>
              <w:rPr>
                <w:sz w:val="10"/>
                <w:szCs w:val="10"/>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11,782</w:t>
            </w:r>
          </w:p>
        </w:tc>
        <w:tc>
          <w:tcPr>
            <w:tcW w:w="60" w:type="dxa"/>
            <w:vAlign w:val="bottom"/>
          </w:tcPr>
          <w:p>
            <w:pPr>
              <w:spacing w:after="0"/>
              <w:rPr>
                <w:sz w:val="10"/>
                <w:szCs w:val="10"/>
                <w:color w:val="auto"/>
              </w:rPr>
            </w:pPr>
          </w:p>
        </w:tc>
        <w:tc>
          <w:tcPr>
            <w:tcW w:w="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9,088</w:t>
            </w:r>
          </w:p>
        </w:tc>
        <w:tc>
          <w:tcPr>
            <w:tcW w:w="80" w:type="dxa"/>
            <w:vAlign w:val="bottom"/>
          </w:tcPr>
          <w:p>
            <w:pPr>
              <w:spacing w:after="0"/>
              <w:rPr>
                <w:sz w:val="10"/>
                <w:szCs w:val="10"/>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7,044</w:t>
            </w:r>
          </w:p>
        </w:tc>
        <w:tc>
          <w:tcPr>
            <w:tcW w:w="80" w:type="dxa"/>
            <w:vAlign w:val="bottom"/>
          </w:tcPr>
          <w:p>
            <w:pPr>
              <w:spacing w:after="0"/>
              <w:rPr>
                <w:sz w:val="10"/>
                <w:szCs w:val="10"/>
                <w:color w:val="auto"/>
              </w:rPr>
            </w:pPr>
          </w:p>
        </w:tc>
        <w:tc>
          <w:tcPr>
            <w:tcW w:w="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7,826</w:t>
            </w: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Depreciation and Amortization by expense category</w:t>
      </w:r>
    </w:p>
    <w:p>
      <w:pPr>
        <w:spacing w:after="0" w:line="143"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4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8"/>
                <w:szCs w:val="8"/>
                <w:b w:val="1"/>
                <w:bCs w:val="1"/>
                <w:color w:val="auto"/>
              </w:rPr>
              <w:t>Three Months Ended</w:t>
            </w: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r>
      <w:tr>
        <w:trPr>
          <w:trHeight w:val="131"/>
        </w:trPr>
        <w:tc>
          <w:tcPr>
            <w:tcW w:w="4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in thousands)</w:t>
            </w: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8"/>
                <w:szCs w:val="8"/>
                <w:b w:val="1"/>
                <w:bCs w:val="1"/>
                <w:color w:val="auto"/>
              </w:rPr>
              <w:t>12/31/23</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8"/>
                <w:szCs w:val="8"/>
                <w:b w:val="1"/>
                <w:bCs w:val="1"/>
                <w:color w:val="auto"/>
              </w:rPr>
              <w:t>9/30/23</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8"/>
                <w:szCs w:val="8"/>
                <w:b w:val="1"/>
                <w:bCs w:val="1"/>
                <w:color w:val="auto"/>
              </w:rPr>
              <w:t>6/30/23</w:t>
            </w: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8"/>
                <w:szCs w:val="8"/>
                <w:b w:val="1"/>
                <w:bCs w:val="1"/>
                <w:color w:val="auto"/>
              </w:rPr>
              <w:t>3/31/23</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8"/>
                <w:szCs w:val="8"/>
                <w:b w:val="1"/>
                <w:bCs w:val="1"/>
                <w:color w:val="auto"/>
              </w:rPr>
              <w:t>12/31/22</w:t>
            </w: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8"/>
                <w:szCs w:val="8"/>
                <w:b w:val="1"/>
                <w:bCs w:val="1"/>
                <w:color w:val="auto"/>
              </w:rPr>
              <w:t>9/30/22</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8"/>
                <w:szCs w:val="8"/>
                <w:b w:val="1"/>
                <w:bCs w:val="1"/>
                <w:color w:val="auto"/>
              </w:rPr>
              <w:t>6/30/22</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8"/>
                <w:szCs w:val="8"/>
                <w:b w:val="1"/>
                <w:bCs w:val="1"/>
                <w:color w:val="auto"/>
              </w:rPr>
              <w:t>3/31/22</w:t>
            </w:r>
          </w:p>
        </w:tc>
      </w:tr>
      <w:tr>
        <w:trPr>
          <w:trHeight w:val="171"/>
        </w:trPr>
        <w:tc>
          <w:tcPr>
            <w:tcW w:w="4740" w:type="dxa"/>
            <w:vAlign w:val="bottom"/>
          </w:tcPr>
          <w:p>
            <w:pPr>
              <w:spacing w:after="0"/>
              <w:rPr>
                <w:sz w:val="20"/>
                <w:szCs w:val="20"/>
                <w:color w:val="auto"/>
              </w:rPr>
            </w:pPr>
            <w:r>
              <w:rPr>
                <w:rFonts w:ascii="Times New Roman" w:cs="Times New Roman" w:eastAsia="Times New Roman" w:hAnsi="Times New Roman"/>
                <w:sz w:val="11"/>
                <w:szCs w:val="11"/>
                <w:color w:val="auto"/>
              </w:rPr>
              <w:t>Cost of revenue</w:t>
            </w: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18,952</w:t>
            </w:r>
          </w:p>
        </w:tc>
        <w:tc>
          <w:tcPr>
            <w:tcW w:w="8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19,872</w:t>
            </w:r>
          </w:p>
        </w:tc>
        <w:tc>
          <w:tcPr>
            <w:tcW w:w="80" w:type="dxa"/>
            <w:vAlign w:val="bottom"/>
          </w:tcPr>
          <w:p>
            <w:pPr>
              <w:spacing w:after="0"/>
              <w:rPr>
                <w:sz w:val="14"/>
                <w:szCs w:val="14"/>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18,134</w:t>
            </w:r>
          </w:p>
        </w:tc>
        <w:tc>
          <w:tcPr>
            <w:tcW w:w="60" w:type="dxa"/>
            <w:vAlign w:val="bottom"/>
          </w:tcPr>
          <w:p>
            <w:pPr>
              <w:spacing w:after="0"/>
              <w:rPr>
                <w:sz w:val="14"/>
                <w:szCs w:val="14"/>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17,866</w:t>
            </w:r>
          </w:p>
        </w:tc>
        <w:tc>
          <w:tcPr>
            <w:tcW w:w="8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17,341</w:t>
            </w:r>
          </w:p>
        </w:tc>
        <w:tc>
          <w:tcPr>
            <w:tcW w:w="60" w:type="dxa"/>
            <w:vAlign w:val="bottom"/>
          </w:tcPr>
          <w:p>
            <w:pPr>
              <w:spacing w:after="0"/>
              <w:rPr>
                <w:sz w:val="14"/>
                <w:szCs w:val="14"/>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16,856</w:t>
            </w:r>
          </w:p>
        </w:tc>
        <w:tc>
          <w:tcPr>
            <w:tcW w:w="8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15,172</w:t>
            </w:r>
          </w:p>
        </w:tc>
        <w:tc>
          <w:tcPr>
            <w:tcW w:w="80" w:type="dxa"/>
            <w:vAlign w:val="bottom"/>
          </w:tcPr>
          <w:p>
            <w:pPr>
              <w:spacing w:after="0"/>
              <w:rPr>
                <w:sz w:val="14"/>
                <w:szCs w:val="14"/>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13,759</w:t>
            </w:r>
          </w:p>
        </w:tc>
      </w:tr>
      <w:tr>
        <w:trPr>
          <w:trHeight w:val="14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1,404</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1,400</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1,070</w:t>
            </w: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1,031</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1,295</w:t>
            </w: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1,404</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1,338</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1,305</w:t>
            </w:r>
          </w:p>
        </w:tc>
      </w:tr>
      <w:tr>
        <w:trPr>
          <w:trHeight w:val="122"/>
        </w:trPr>
        <w:tc>
          <w:tcPr>
            <w:tcW w:w="4740" w:type="dxa"/>
            <w:vAlign w:val="bottom"/>
          </w:tcPr>
          <w:p>
            <w:pPr>
              <w:ind w:left="140"/>
              <w:spacing w:after="0" w:line="121" w:lineRule="exact"/>
              <w:rPr>
                <w:sz w:val="20"/>
                <w:szCs w:val="20"/>
                <w:color w:val="auto"/>
              </w:rPr>
            </w:pPr>
            <w:r>
              <w:rPr>
                <w:rFonts w:ascii="Times New Roman" w:cs="Times New Roman" w:eastAsia="Times New Roman" w:hAnsi="Times New Roman"/>
                <w:sz w:val="11"/>
                <w:szCs w:val="11"/>
                <w:color w:val="auto"/>
              </w:rPr>
              <w:t>Total depreciation and amortization</w:t>
            </w: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20,356</w:t>
            </w:r>
          </w:p>
        </w:tc>
        <w:tc>
          <w:tcPr>
            <w:tcW w:w="80" w:type="dxa"/>
            <w:vAlign w:val="bottom"/>
          </w:tcPr>
          <w:p>
            <w:pPr>
              <w:spacing w:after="0"/>
              <w:rPr>
                <w:sz w:val="10"/>
                <w:szCs w:val="10"/>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21,272</w:t>
            </w:r>
          </w:p>
        </w:tc>
        <w:tc>
          <w:tcPr>
            <w:tcW w:w="80" w:type="dxa"/>
            <w:vAlign w:val="bottom"/>
          </w:tcPr>
          <w:p>
            <w:pPr>
              <w:spacing w:after="0"/>
              <w:rPr>
                <w:sz w:val="10"/>
                <w:szCs w:val="10"/>
                <w:color w:val="auto"/>
              </w:rPr>
            </w:pPr>
          </w:p>
        </w:tc>
        <w:tc>
          <w:tcPr>
            <w:tcW w:w="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19,204</w:t>
            </w:r>
          </w:p>
        </w:tc>
        <w:tc>
          <w:tcPr>
            <w:tcW w:w="60" w:type="dxa"/>
            <w:vAlign w:val="bottom"/>
          </w:tcPr>
          <w:p>
            <w:pPr>
              <w:spacing w:after="0"/>
              <w:rPr>
                <w:sz w:val="10"/>
                <w:szCs w:val="10"/>
                <w:color w:val="auto"/>
              </w:rPr>
            </w:pPr>
          </w:p>
        </w:tc>
        <w:tc>
          <w:tcPr>
            <w:tcW w:w="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18,897</w:t>
            </w:r>
          </w:p>
        </w:tc>
        <w:tc>
          <w:tcPr>
            <w:tcW w:w="80" w:type="dxa"/>
            <w:vAlign w:val="bottom"/>
          </w:tcPr>
          <w:p>
            <w:pPr>
              <w:spacing w:after="0"/>
              <w:rPr>
                <w:sz w:val="10"/>
                <w:szCs w:val="10"/>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18,636</w:t>
            </w:r>
          </w:p>
        </w:tc>
        <w:tc>
          <w:tcPr>
            <w:tcW w:w="60" w:type="dxa"/>
            <w:vAlign w:val="bottom"/>
          </w:tcPr>
          <w:p>
            <w:pPr>
              <w:spacing w:after="0"/>
              <w:rPr>
                <w:sz w:val="10"/>
                <w:szCs w:val="10"/>
                <w:color w:val="auto"/>
              </w:rPr>
            </w:pPr>
          </w:p>
        </w:tc>
        <w:tc>
          <w:tcPr>
            <w:tcW w:w="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18,260</w:t>
            </w:r>
          </w:p>
        </w:tc>
        <w:tc>
          <w:tcPr>
            <w:tcW w:w="80" w:type="dxa"/>
            <w:vAlign w:val="bottom"/>
          </w:tcPr>
          <w:p>
            <w:pPr>
              <w:spacing w:after="0"/>
              <w:rPr>
                <w:sz w:val="10"/>
                <w:szCs w:val="10"/>
                <w:color w:val="auto"/>
              </w:rPr>
            </w:pP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16,510</w:t>
            </w:r>
          </w:p>
        </w:tc>
        <w:tc>
          <w:tcPr>
            <w:tcW w:w="80" w:type="dxa"/>
            <w:vAlign w:val="bottom"/>
          </w:tcPr>
          <w:p>
            <w:pPr>
              <w:spacing w:after="0"/>
              <w:rPr>
                <w:sz w:val="10"/>
                <w:szCs w:val="10"/>
                <w:color w:val="auto"/>
              </w:rPr>
            </w:pPr>
          </w:p>
        </w:tc>
        <w:tc>
          <w:tcPr>
            <w:tcW w:w="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15,064</w:t>
            </w: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1308"/>
          </w:cols>
          <w:pgMar w:left="292" w:top="845" w:right="299" w:bottom="1440"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Letter"/>
      <w:start w:val="4"/>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2"/>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2024-02-21T06:10:51Z</dcterms:created>
  <dcterms:modified xsi:type="dcterms:W3CDTF">2024-02-21T06:10:51Z</dcterms:modified>
</cp:coreProperties>
</file>