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Ulrich Catherine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04/13/2015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Shutterstock,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SSTK</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3"/>
              </w:rPr>
              <w:t>C/O SHUTTERSTOCK,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350 FIFTH AVENUE, 21ST FLOOR</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10118</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6"/>
        <w:spacing w:after="0"/>
        <w:rPr>
          <w:sz w:val="20"/>
          <w:szCs w:val="20"/>
          <w:color w:val="auto"/>
        </w:rPr>
      </w:pPr>
      <w:r>
        <w:rPr>
          <w:rFonts w:ascii="Arial" w:cs="Arial" w:eastAsia="Arial" w:hAnsi="Arial"/>
          <w:sz w:val="18"/>
          <w:szCs w:val="18"/>
          <w:color w:val="0000FF"/>
        </w:rPr>
        <w:t>Chief Product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center"/>
              <w:ind w:right="404"/>
              <w:spacing w:after="0"/>
              <w:rPr>
                <w:sz w:val="20"/>
                <w:szCs w:val="20"/>
                <w:color w:val="auto"/>
              </w:rPr>
            </w:pPr>
            <w:r>
              <w:rPr>
                <w:rFonts w:ascii="Arial" w:cs="Arial" w:eastAsia="Arial" w:hAnsi="Arial"/>
                <w:sz w:val="18"/>
                <w:szCs w:val="18"/>
                <w:color w:val="0000FF"/>
              </w:rPr>
              <w:t>30,000</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center"/>
              <w:ind w:right="444"/>
              <w:spacing w:after="0"/>
              <w:rPr>
                <w:sz w:val="20"/>
                <w:szCs w:val="20"/>
                <w:color w:val="auto"/>
              </w:rPr>
            </w:pPr>
            <w:r>
              <w:rPr>
                <w:rFonts w:ascii="Arial" w:cs="Arial" w:eastAsia="Arial" w:hAnsi="Arial"/>
                <w:sz w:val="18"/>
                <w:szCs w:val="18"/>
                <w:color w:val="0000FF"/>
              </w:rPr>
              <w:t>8,000</w:t>
            </w:r>
            <w:r>
              <w:rPr>
                <w:rFonts w:ascii="Arial" w:cs="Arial" w:eastAsia="Arial" w:hAnsi="Arial"/>
                <w:sz w:val="22"/>
                <w:szCs w:val="22"/>
                <w:color w:val="008000"/>
                <w:vertAlign w:val="superscript"/>
              </w:rPr>
              <w:t>(2)</w:t>
            </w:r>
          </w:p>
        </w:tc>
        <w:tc>
          <w:tcPr>
            <w:tcW w:w="108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a restricted stock unit award made pursuant to the Issuer's 2012 Omnibus Equity Incentive Plan, and each restricted stock unit represents a contingent right to receive one share of the Issuer's common stock. This award vests in four equal annual installments beginning January 12, 2016, subject to the Reporting Person's employment on such vesting date. Vested shares will be delivered to the Reporting Person as soon as practicable following each vesting date.</w:t>
      </w:r>
    </w:p>
    <w:p>
      <w:pPr>
        <w:spacing w:after="0" w:line="30" w:lineRule="exact"/>
        <w:rPr>
          <w:rFonts w:ascii="Arial" w:cs="Arial" w:eastAsia="Arial" w:hAnsi="Arial"/>
          <w:sz w:val="14"/>
          <w:szCs w:val="14"/>
          <w:color w:val="008000"/>
        </w:rPr>
      </w:pPr>
    </w:p>
    <w:p>
      <w:pPr>
        <w:ind w:left="40" w:right="34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a restricted stock unit award made pursuant to the Issuer's 2012 Omnibus Equity Incentive Plan, and each restricted stock unit represents a contingent right to receive one share of the Issuer's common stock. This award vests in three equal annual installments beginning January 12, 2016, subject to the Reporting Person's employment on such vesting date. Vested shares will be delivered to the Reporting Person as soon as practicable following each vesting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Laurie Harrison,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04/14/2015</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Timothy Bixby, Chief Financial Officer of Shutterstock, Inc. (the "Company"), Laurie Harrison, General Counsel of the Company, and Brian Margolis of Orrick, Herrington &amp; Sutcliffe LLP, and each of them acting or signing alone, as his or her true and lawful attorney-in-fact to:</w:t>
      </w:r>
    </w:p>
    <w:p>
      <w:pPr>
        <w:spacing w:after="0" w:line="209" w:lineRule="exact"/>
        <w:rPr>
          <w:sz w:val="20"/>
          <w:szCs w:val="20"/>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p>
    <w:p>
      <w:pPr>
        <w:spacing w:after="0" w:line="208" w:lineRule="exact"/>
        <w:rPr>
          <w:rFonts w:ascii="Courier New" w:cs="Courier New" w:eastAsia="Courier New" w:hAnsi="Courier New"/>
          <w:sz w:val="18"/>
          <w:szCs w:val="18"/>
          <w:color w:val="auto"/>
        </w:rPr>
      </w:pPr>
    </w:p>
    <w:p>
      <w:pPr>
        <w:jc w:val="both"/>
        <w:ind w:left="1280" w:right="1779" w:hanging="640"/>
        <w:spacing w:after="0" w:line="273" w:lineRule="auto"/>
        <w:tabs>
          <w:tab w:leader="none" w:pos="12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his or her discretion.</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 fact, in serving in such capacity at the request of the undersigned, is hereby assuming, nor is the Company hereby assuming, any of the undersigned's responsibilities to comply with Section 16 of the Securities Exchange Act of 1934.</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the 13th day of April, 2015.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Catherine Ulrich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Catherine Ulrich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9223" TargetMode="External"/><Relationship Id="rId12"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2019-12-09T02:15:33Z</dcterms:created>
  <dcterms:modified xsi:type="dcterms:W3CDTF">2019-12-09T02:15:33Z</dcterms:modified>
</cp:coreProperties>
</file>