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Shutterstock, Inc.</w:t>
      </w:r>
    </w:p>
    <w:p>
      <w:pPr>
        <w:spacing w:after="0" w:line="39" w:lineRule="exact"/>
        <w:rPr>
          <w:sz w:val="24"/>
          <w:szCs w:val="24"/>
          <w:color w:val="auto"/>
        </w:rPr>
      </w:pPr>
    </w:p>
    <w:p>
      <w:pPr>
        <w:ind w:left="7300"/>
        <w:spacing w:after="0"/>
        <w:rPr>
          <w:sz w:val="20"/>
          <w:szCs w:val="20"/>
          <w:color w:val="auto"/>
        </w:rPr>
      </w:pPr>
      <w:r>
        <w:rPr>
          <w:rFonts w:ascii="Times New Roman" w:cs="Times New Roman" w:eastAsia="Times New Roman" w:hAnsi="Times New Roman"/>
          <w:sz w:val="17"/>
          <w:szCs w:val="17"/>
          <w:color w:val="auto"/>
        </w:rPr>
        <w:t>Pursuant to Rule 425 under the Securities Act of 1933,</w:t>
      </w:r>
    </w:p>
    <w:p>
      <w:pPr>
        <w:spacing w:after="0" w:line="21" w:lineRule="exact"/>
        <w:rPr>
          <w:sz w:val="24"/>
          <w:szCs w:val="24"/>
          <w:color w:val="auto"/>
        </w:rPr>
      </w:pPr>
    </w:p>
    <w:p>
      <w:pPr>
        <w:ind w:left="7240"/>
        <w:spacing w:after="0"/>
        <w:rPr>
          <w:sz w:val="20"/>
          <w:szCs w:val="20"/>
          <w:color w:val="auto"/>
        </w:rPr>
      </w:pPr>
      <w:r>
        <w:rPr>
          <w:rFonts w:ascii="Times New Roman" w:cs="Times New Roman" w:eastAsia="Times New Roman" w:hAnsi="Times New Roman"/>
          <w:sz w:val="18"/>
          <w:szCs w:val="18"/>
          <w:color w:val="auto"/>
        </w:rPr>
        <w:t>as amended, and deemed filed pursuant to Rule 14a-12</w:t>
      </w:r>
    </w:p>
    <w:p>
      <w:pPr>
        <w:spacing w:after="0" w:line="9" w:lineRule="exact"/>
        <w:rPr>
          <w:sz w:val="24"/>
          <w:szCs w:val="24"/>
          <w:color w:val="auto"/>
        </w:rPr>
      </w:pPr>
    </w:p>
    <w:p>
      <w:pPr>
        <w:ind w:left="7220"/>
        <w:spacing w:after="0"/>
        <w:rPr>
          <w:sz w:val="20"/>
          <w:szCs w:val="20"/>
          <w:color w:val="auto"/>
        </w:rPr>
      </w:pPr>
      <w:r>
        <w:rPr>
          <w:rFonts w:ascii="Times New Roman" w:cs="Times New Roman" w:eastAsia="Times New Roman" w:hAnsi="Times New Roman"/>
          <w:sz w:val="17"/>
          <w:szCs w:val="17"/>
          <w:color w:val="auto"/>
        </w:rPr>
        <w:t>under the Securities Exchange Act of 1934, as amended</w:t>
      </w:r>
    </w:p>
    <w:p>
      <w:pPr>
        <w:spacing w:after="0" w:line="2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Subject Company: </w:t>
      </w:r>
      <w:r>
        <w:rPr>
          <w:rFonts w:ascii="Times New Roman" w:cs="Times New Roman" w:eastAsia="Times New Roman" w:hAnsi="Times New Roman"/>
          <w:sz w:val="18"/>
          <w:szCs w:val="18"/>
          <w:color w:val="212529"/>
        </w:rPr>
        <w:t>Getty Images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001-41453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Email to Company</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Hi Team,</w:t>
      </w:r>
    </w:p>
    <w:p>
      <w:pPr>
        <w:spacing w:after="0" w:line="225"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 have very big news to share with you. Today we announced that Shutterstock has signed an agreement to merge with Getty Images, combining the complementary strengths and offerings of two iconic brands to create a premier visual content company.</w:t>
      </w:r>
    </w:p>
    <w:p>
      <w:pPr>
        <w:spacing w:after="0" w:line="162"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combination of our companies will offer our customers a more diversified content library with greater depth and breadth, and an increased capacity to invest in growth, for example in innovative content, expanded event coverage, and customer-facing technologies and capabilities, such as search, 3D and generative AI. It also provides contributors greater opportunities to reach new customers around the world.</w:t>
      </w:r>
    </w:p>
    <w:p>
      <w:pPr>
        <w:spacing w:after="0" w:line="176" w:lineRule="exact"/>
        <w:rPr>
          <w:sz w:val="24"/>
          <w:szCs w:val="24"/>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 know you’re probably wondering where we go from here, so let me walk you through what you can expect in the coming months. First, it is important to note that we have </w:t>
      </w:r>
      <w:r>
        <w:rPr>
          <w:rFonts w:ascii="Times New Roman" w:cs="Times New Roman" w:eastAsia="Times New Roman" w:hAnsi="Times New Roman"/>
          <w:sz w:val="18"/>
          <w:szCs w:val="18"/>
          <w:b w:val="1"/>
          <w:bCs w:val="1"/>
          <w:color w:val="auto"/>
        </w:rPr>
        <w:t>signed</w:t>
      </w:r>
      <w:r>
        <w:rPr>
          <w:rFonts w:ascii="Times New Roman" w:cs="Times New Roman" w:eastAsia="Times New Roman" w:hAnsi="Times New Roman"/>
          <w:sz w:val="18"/>
          <w:szCs w:val="18"/>
          <w:color w:val="auto"/>
        </w:rPr>
        <w:t xml:space="preserve"> an agreement, but there are additional steps remaining before we </w:t>
      </w:r>
      <w:r>
        <w:rPr>
          <w:rFonts w:ascii="Times New Roman" w:cs="Times New Roman" w:eastAsia="Times New Roman" w:hAnsi="Times New Roman"/>
          <w:sz w:val="18"/>
          <w:szCs w:val="18"/>
          <w:b w:val="1"/>
          <w:bCs w:val="1"/>
          <w:color w:val="auto"/>
        </w:rPr>
        <w:t>close</w:t>
      </w:r>
      <w:r>
        <w:rPr>
          <w:rFonts w:ascii="Times New Roman" w:cs="Times New Roman" w:eastAsia="Times New Roman" w:hAnsi="Times New Roman"/>
          <w:sz w:val="18"/>
          <w:szCs w:val="18"/>
          <w:color w:val="auto"/>
        </w:rPr>
        <w:t xml:space="preserve"> the merger transaction. These steps include satisfying a number of closing conditions, such as shareholder approvals, regulatory approvals and other customary closing conditions. During this process, we will be discussing the specifics of the future combined organization with members of the Getty team. However, until the deal is closed, both companies will continue to operate independently and it will remain business as usual. Closing is targeted in the second half of 2025.</w:t>
      </w:r>
    </w:p>
    <w:p>
      <w:pPr>
        <w:spacing w:after="0" w:line="183"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 also want to set the expectation that there will be a lot we cannot answer during this period, because discussions are ongoing and many decisions haven’t been finalized. But what I will commit to you is that we will communicate openly and honestly and tell you what we can when we know it. And we will provide you the opportunity to ask questions, and get support and direction when needed via multiple forums. As a first step, we have developed a robust document with more information in the form of an FAQ. I encourage you to read through it. And tomorrow we will have an All Hands meeting where you will have the opportunity to ask more questions. We will also establish an area on the Lens where you can get the latest updates.</w:t>
      </w:r>
    </w:p>
    <w:p>
      <w:pPr>
        <w:spacing w:after="0" w:line="183" w:lineRule="exact"/>
        <w:rPr>
          <w:sz w:val="24"/>
          <w:szCs w:val="24"/>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Here is what I ask of you - stay focused. We have goals to grow our business in 2025 and that remains unchanged. It is critical that we continue to deliver the experience our customers and contributors expect from Shutterstock. So let’s channel our collective talent and enthusiasm to start the year strong and achieve great success in the year ahead!</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Paul</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Acquisition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12529"/>
        </w:rPr>
        <w:t>In connection with the proposed transaction, Shutterstock intends to file a proxy statement with the Securities and Exchange Commission (the “</w:t>
      </w:r>
      <w:r>
        <w:rPr>
          <w:rFonts w:ascii="Times New Roman" w:cs="Times New Roman" w:eastAsia="Times New Roman" w:hAnsi="Times New Roman"/>
          <w:sz w:val="18"/>
          <w:szCs w:val="18"/>
          <w:u w:val="single" w:color="auto"/>
          <w:color w:val="212529"/>
        </w:rPr>
        <w:t>SEC</w:t>
      </w:r>
      <w:r>
        <w:rPr>
          <w:rFonts w:ascii="Times New Roman" w:cs="Times New Roman" w:eastAsia="Times New Roman" w:hAnsi="Times New Roman"/>
          <w:sz w:val="18"/>
          <w:szCs w:val="18"/>
          <w:color w:val="212529"/>
        </w:rPr>
        <w:t>”), which will be included in the registration statement on Form S-4 intended to be filed by Getty Images and that also will include an information statement of Getty Images and constitute a prospectus with respect to shares of Getty Images’ common stock to be issued in the transactions (the “</w:t>
      </w:r>
      <w:r>
        <w:rPr>
          <w:rFonts w:ascii="Times New Roman" w:cs="Times New Roman" w:eastAsia="Times New Roman" w:hAnsi="Times New Roman"/>
          <w:sz w:val="18"/>
          <w:szCs w:val="18"/>
          <w:u w:val="single" w:color="auto"/>
          <w:color w:val="212529"/>
        </w:rPr>
        <w:t>proxy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u w:val="single" w:color="auto"/>
          <w:color w:val="212529"/>
        </w:rPr>
        <w:t>information statement/prospectus</w:t>
      </w:r>
      <w:r>
        <w:rPr>
          <w:rFonts w:ascii="Times New Roman" w:cs="Times New Roman" w:eastAsia="Times New Roman" w:hAnsi="Times New Roman"/>
          <w:sz w:val="18"/>
          <w:szCs w:val="18"/>
          <w:color w:val="212529"/>
        </w:rPr>
        <w:t>”). Each of Getty Images and Shutterstock may also file with or furnish to the SEC other relevant documents regarding the proposed transaction. This filing is not a substitute for the proxy and information statement/prospectus or any other document that Getty Images or Shutterstock may file with or furnish to the SEC. The definitive proxy and information statement/prospectus (if and when available) will be mailed to stockholders of Getty Images and Shutterstock. BEFORE MAKING ANY VOTING OR INVESTMENT DECISION, INVESTORS AND SECURITY HOLDERS ARE URGED TO READ THE PROXY AND INFORMATION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proxy and information statement/prospectus (if and when available) and other documents containing important information about Getty Images, Shutterstock and the proposed transaction, once such documents are filed with or furnished to the SEC through the website maintained by the SEC at www.sec.gov. Copies of the documents filed with or furnished to the SEC by Getty Images will be available free of charge on Getty Images’ website at investors.gettyimages.com. Copies of the documents filed with or furnished to the SEC by Shutterstock will be available free of charge on Shutterstock’s website at investor.shutterstock.com.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proxy and information statement/prospectus and other relevant materials to be filed with or furnished to the SEC regarding the proposed transaction. You may obtain free copies of these documents using the sources indicated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spacing w:after="0" w:line="251" w:lineRule="auto"/>
        <w:rPr>
          <w:sz w:val="20"/>
          <w:szCs w:val="20"/>
          <w:color w:val="auto"/>
        </w:rPr>
      </w:pPr>
      <w:r>
        <w:rPr>
          <w:rFonts w:ascii="Times New Roman" w:cs="Times New Roman" w:eastAsia="Times New Roman" w:hAnsi="Times New Roman"/>
          <w:sz w:val="18"/>
          <w:szCs w:val="18"/>
          <w:color w:val="212529"/>
        </w:rPr>
        <w:t>The statements in this communication,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communication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proxy and information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proxy and information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2025-01-10T11:31:27Z</dcterms:created>
  <dcterms:modified xsi:type="dcterms:W3CDTF">2025-01-10T11:31:27Z</dcterms:modified>
</cp:coreProperties>
</file>