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4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31750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7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18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2040" w:type="dxa"/>
            <w:vAlign w:val="bottom"/>
          </w:tcPr>
          <w:p>
            <w:pPr>
              <w:spacing w:after="0"/>
              <w:rPr>
                <w:sz w:val="24"/>
                <w:szCs w:val="24"/>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350 Fifth Avenue, 21st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1"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55"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1318260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77470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30"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firstLine="439"/>
        <w:spacing w:after="0" w:line="268" w:lineRule="auto"/>
        <w:rPr>
          <w:sz w:val="20"/>
          <w:szCs w:val="20"/>
          <w:color w:val="auto"/>
        </w:rPr>
      </w:pPr>
      <w:r>
        <w:rPr>
          <w:rFonts w:ascii="Times New Roman" w:cs="Times New Roman" w:eastAsia="Times New Roman" w:hAnsi="Times New Roman"/>
          <w:sz w:val="18"/>
          <w:szCs w:val="18"/>
          <w:color w:val="auto"/>
        </w:rPr>
        <w:t>On July 26, 2022, Shutterstock, Inc. (the “Company”) issued a press release announcing its financial results for the fiscal period ended June 30, 2022. A copy of the press release is furnished as Exhibit 99.1 to this current report and is incorporated herein by reference.</w:t>
      </w:r>
    </w:p>
    <w:p>
      <w:pPr>
        <w:spacing w:after="0" w:line="64"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58"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1" w:lineRule="exact"/>
        <w:rPr>
          <w:sz w:val="20"/>
          <w:szCs w:val="20"/>
          <w:color w:val="auto"/>
        </w:rPr>
      </w:pPr>
    </w:p>
    <w:p>
      <w:pPr>
        <w:ind w:left="740" w:hanging="340"/>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entitled “Shutterstock Reports Second Quarter 2022 Financial Results” dated July 26, 2022</w:t>
      </w:r>
    </w:p>
    <w:p>
      <w:pPr>
        <w:spacing w:after="0" w:line="109"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1154430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942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01"/>
        </w:trPr>
        <w:tc>
          <w:tcPr>
            <w:tcW w:w="124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Press release entitled “Shutterstock Reports Second Quarter 2022 Financial Results” dated July 26, 2022</w:t>
            </w:r>
          </w:p>
        </w:tc>
        <w:tc>
          <w:tcPr>
            <w:tcW w:w="2080" w:type="dxa"/>
            <w:vAlign w:val="bottom"/>
          </w:tcPr>
          <w:p>
            <w:pPr>
              <w:spacing w:after="0"/>
              <w:rPr>
                <w:sz w:val="24"/>
                <w:szCs w:val="24"/>
                <w:color w:val="auto"/>
              </w:rPr>
            </w:pPr>
          </w:p>
        </w:tc>
      </w:tr>
      <w:tr>
        <w:trPr>
          <w:trHeight w:val="295"/>
        </w:trPr>
        <w:tc>
          <w:tcPr>
            <w:tcW w:w="124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3" w:name="page4"/>
    <w:bookmarkEnd w:id="3"/>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16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July 26, 2022</w:t>
            </w:r>
          </w:p>
        </w:tc>
        <w:tc>
          <w:tcPr>
            <w:tcW w:w="21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12"/>
        </w:trPr>
        <w:tc>
          <w:tcPr>
            <w:tcW w:w="3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Jarrod Yahes</w:t>
            </w:r>
          </w:p>
        </w:tc>
      </w:tr>
      <w:tr>
        <w:trPr>
          <w:trHeight w:val="228"/>
        </w:trPr>
        <w:tc>
          <w:tcPr>
            <w:tcW w:w="30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81915</wp:posOffset>
            </wp:positionV>
            <wp:extent cx="342582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582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Second Quarter 2022 Financial Results</w:t>
      </w:r>
    </w:p>
    <w:p>
      <w:pPr>
        <w:spacing w:after="0" w:line="200" w:lineRule="exact"/>
        <w:rPr>
          <w:sz w:val="20"/>
          <w:szCs w:val="20"/>
          <w:color w:val="auto"/>
        </w:rPr>
      </w:pPr>
    </w:p>
    <w:p>
      <w:pPr>
        <w:spacing w:after="0" w:line="22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NY - July 26, 2022 - </w:t>
      </w:r>
      <w:r>
        <w:rPr>
          <w:rFonts w:ascii="Times New Roman" w:cs="Times New Roman" w:eastAsia="Times New Roman" w:hAnsi="Times New Roman"/>
          <w:sz w:val="18"/>
          <w:szCs w:val="18"/>
          <w:color w:val="auto"/>
        </w:rPr>
        <w:t>Shutterstock, Inc. (NYSE: SSTK) (the “Company”), a leading global creative platform for transformative brands and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today announced financial results for the second quarter ended June 30, 2022.</w:t>
      </w:r>
    </w:p>
    <w:p>
      <w:pPr>
        <w:spacing w:after="0" w:line="6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“With the acquisitions of Pond5 and Splash News and the release of our Creative Flow suite of workflow applications and the Creative Flow+ subscription product during the quarter, we made significant progress on our journey towards becoming a creative platform that allows our customers to create with confidence. Despite macro headwinds, we grew revenues 13% on a constant currency basis driven by our recent acquisitions and supported by strong growth across a range of solutions in our Enterprise channel.”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highlights compared to Second Quarter 2021:</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21"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9% to $206.9 million. On a constant currency basis, revenue increased 13%.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24% to $25.4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34% to $19.4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8% to $48.9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decreased $0.26 to $0.53.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decreased $0.19 to $0.83.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decreased 48% to $36.9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decreased 65% to $21.6 million.</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increased 15% to 368,000.</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increased 8% to $84.7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customer increased 1% to $359.</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decreased 3% to 43.4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download increased 7% to $4.46.</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collection expanded 9% to over 415 million images.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collection expanded 18% to over 26 million clips, excluding Pond5 footage clips.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SHUTTERSTOCK INVESTOR RELATIONS MICRO SITE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Accessible at content.shutterstock.com/investor-report/index.html.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Second quarter revenue of $206.9 million increased $17.0 million or 9% as compared to the second quarter of 2021. Revenue generated through our E-commerce sales channel increased 6% as compared to the second quarter of 2021, to $127.4 million, and represented 62% of total revenue in the second quarter of 2022. E-commerce revenue growth was primarily driven by revenue generated from our acquisitions of PicMonkey and Pond5. Revenue from our Enterprise sales channel increased 15% as compared to the second quarter of 2021, to $79.5 million, and represented 38% of second quarter revenue in 2022. Enterprise revenue growth was driven by our multi-asset product offerings and continued momentum in Shutterstock Studios and Shutterstock Editorial. Enterprise revenue growth also benefited from our acquisitions of Pond5 and Splash News.</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On a constant currency basis, revenue increased 13% in the second quarter of 2022 as compared to the second quarter of 2021. On a constant currency basis, E-commerce and Enterprise revenues increased by 9% and 19%, respectively, in the second quarter of 2022, as compared to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share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income of $19.4 million decreased $10.0 million as compared to $29.5 million for the second quarter in 2021. Net income per diluted share was $0.53, as compared to $0.79 for the same period in 2021. This decrease was due primarily to increases in operating expenses partially offset by revenue growth in the second quarter of 2022 as compared to 2021. The increase in operating expenses was driven by higher acquisition-related amortization expense reported in cost of revenues, higher marketing expenses and transaction costs incurred to complete our second quarter 2022 acquisitions.</w:t>
      </w:r>
    </w:p>
    <w:p>
      <w:pPr>
        <w:spacing w:after="0" w:line="78" w:lineRule="exact"/>
        <w:rPr>
          <w:sz w:val="20"/>
          <w:szCs w:val="20"/>
          <w:color w:val="auto"/>
        </w:rPr>
      </w:pPr>
    </w:p>
    <w:p>
      <w:pPr>
        <w:ind w:right="1420"/>
        <w:spacing w:after="0" w:line="390" w:lineRule="auto"/>
        <w:rPr>
          <w:sz w:val="20"/>
          <w:szCs w:val="20"/>
          <w:color w:val="auto"/>
        </w:rPr>
      </w:pPr>
      <w:r>
        <w:rPr>
          <w:rFonts w:ascii="Times New Roman" w:cs="Times New Roman" w:eastAsia="Times New Roman" w:hAnsi="Times New Roman"/>
          <w:sz w:val="18"/>
          <w:szCs w:val="18"/>
          <w:color w:val="auto"/>
        </w:rPr>
        <w:t xml:space="preserve">Adjusted net income per diluted share was $0.83 as compared to $1.02 for the second quarter of 2021, a decrease of $0.19 per diluted share. </w:t>
      </w:r>
      <w:r>
        <w:rPr>
          <w:rFonts w:ascii="Times New Roman" w:cs="Times New Roman" w:eastAsia="Times New Roman" w:hAnsi="Times New Roman"/>
          <w:sz w:val="18"/>
          <w:szCs w:val="18"/>
          <w:b w:val="1"/>
          <w:bCs w:val="1"/>
          <w:color w:val="auto"/>
        </w:rPr>
        <w:t>Adjusted EBITDA</w:t>
      </w:r>
    </w:p>
    <w:p>
      <w:pPr>
        <w:spacing w:after="0" w:line="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of $48.9 million for the second quarter of 2022 decreased by $4.1 million, or 8%, as compared to the second quarter of 2021, due primarily to higher operating expenses, partially offset by increased revenue. The adjusted EBITDA margin decreased to 23.7% from 27.9% in the second quarter of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LIQUIDITY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and cash equivalents decreased by $174.1 million to $84.0 million at June 30, 2022, as compared with $258.1 million as of March 31, 2022. This decrease was driven by $227.8 million used in investing activities, partially offset by $36.9 million of net cash provided by our operating activities and $20.2 million provided by financing activities.</w:t>
      </w:r>
    </w:p>
    <w:p>
      <w:pPr>
        <w:spacing w:after="0" w:line="1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Net cash provided by our operating activities was driven by our operating income, in addition to changes in the timing of payments pertaining to operating expenses. Cash used in investing activities primarily consists of $212.1 million related to our acquisitions of Pond5 and Splash News and $15.3 million related to capital expenditures and content acquisition. Cash provided by financing activities consists primarily of a $50.0 million drawdown from our credit facility, partially offset by $18.6 million paid for the repurchase of common stock under our share repurchase program, $8.7 million related to the payment of the quarterly cash dividend and $2.5 million paid in settlement of tax withholding obligations related to employee stock-based compensation awards.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Free cash flow was $21.6 million for the second quarter of 2022, a decrease of $40.1 million from the second quarter of 2021. This change was primarily driven by lower cash flows from operating activities.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the Company declared and paid cash dividends of $0.24 per common share, or $8.7 million.</w:t>
      </w:r>
    </w:p>
    <w:p>
      <w:pPr>
        <w:spacing w:after="0" w:line="1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On July 18, 2022, the Board of Directors declared a dividend of $0.24 per share of outstanding common stock, payable on September 15, 2022 to stockholders of record at the close of business on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00" w:type="dxa"/>
            <w:vAlign w:val="bottom"/>
            <w:tcBorders>
              <w:bottom w:val="single" w:sz="8" w:color="auto"/>
            </w:tcBorders>
          </w:tcPr>
          <w:p>
            <w:pPr>
              <w:spacing w:after="0"/>
              <w:rPr>
                <w:sz w:val="14"/>
                <w:szCs w:val="14"/>
                <w:color w:val="auto"/>
              </w:rPr>
            </w:pPr>
          </w:p>
        </w:tc>
      </w:tr>
      <w:tr>
        <w:trPr>
          <w:trHeight w:val="166"/>
        </w:trPr>
        <w:tc>
          <w:tcPr>
            <w:tcW w:w="4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2"/>
                <w:szCs w:val="12"/>
                <w:b w:val="1"/>
                <w:bCs w:val="1"/>
                <w:color w:val="auto"/>
                <w:w w:val="91"/>
              </w:rPr>
              <w:t>2021</w:t>
            </w:r>
          </w:p>
        </w:tc>
      </w:tr>
      <w:tr>
        <w:trPr>
          <w:trHeight w:val="51"/>
        </w:trPr>
        <w:tc>
          <w:tcPr>
            <w:tcW w:w="4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368,000</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321,000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368,000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321,000</w:t>
            </w: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(2)</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84.7</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170.1</w:t>
            </w:r>
          </w:p>
        </w:tc>
        <w:tc>
          <w:tcPr>
            <w:tcW w:w="7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92"/>
        </w:trPr>
        <w:tc>
          <w:tcPr>
            <w:tcW w:w="47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(3)</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359</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359</w:t>
            </w:r>
          </w:p>
        </w:tc>
        <w:tc>
          <w:tcPr>
            <w:tcW w:w="7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(4)</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43.4</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88.0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Revenue per download</w:t>
            </w:r>
            <w:r>
              <w:rPr>
                <w:rFonts w:ascii="Times New Roman" w:cs="Times New Roman" w:eastAsia="Times New Roman" w:hAnsi="Times New Roman"/>
                <w:sz w:val="20"/>
                <w:szCs w:val="20"/>
                <w:color w:val="auto"/>
                <w:vertAlign w:val="superscript"/>
              </w:rPr>
              <w:t>(5)</w:t>
            </w: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$4.34</w:t>
            </w: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Content in our collection (end of period, in millions)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8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415</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415</w:t>
            </w: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2"/>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26</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jc w:val="both"/>
        <w:ind w:right="200" w:firstLine="5"/>
        <w:spacing w:after="0" w:line="281"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 For the three and six months ended June 30, 2021, subscribers excludes customers related to our acquisitions of TurboSquid, PicMonkey, Pond5 and Splash News. For the three and six months ended June 30, 2022, subscribers excludes customers related to PicMonkey, Pond5 and Splash News.</w:t>
      </w:r>
    </w:p>
    <w:p>
      <w:pPr>
        <w:spacing w:after="0" w:line="67" w:lineRule="exact"/>
        <w:rPr>
          <w:rFonts w:ascii="Times New Roman" w:cs="Times New Roman" w:eastAsia="Times New Roman" w:hAnsi="Times New Roman"/>
          <w:sz w:val="12"/>
          <w:szCs w:val="12"/>
          <w:color w:val="auto"/>
        </w:rPr>
      </w:pPr>
    </w:p>
    <w:p>
      <w:pPr>
        <w:ind w:right="14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 For the three and six months ended June 30, 2021, subscriber revenue excludes revenues related to our acquisitions of TurboSquid, PicMonkey, Pond5 and Splash News. For the three and six months ended June 30, 2022, subscriber revenue excludes revenues related to PicMonkey, Pond5 and Splash News.</w:t>
      </w:r>
    </w:p>
    <w:p>
      <w:pPr>
        <w:spacing w:after="0" w:line="63" w:lineRule="exact"/>
        <w:rPr>
          <w:rFonts w:ascii="Times New Roman" w:cs="Times New Roman" w:eastAsia="Times New Roman" w:hAnsi="Times New Roman"/>
          <w:sz w:val="12"/>
          <w:szCs w:val="12"/>
          <w:color w:val="auto"/>
        </w:rPr>
      </w:pPr>
    </w:p>
    <w:p>
      <w:pPr>
        <w:ind w:right="20" w:firstLine="5"/>
        <w:spacing w:after="0" w:line="281"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 For three and six months ended June 30, 2021, average revenue per customer excludes revenues and customers related to our acquisitions of TurboSquid, PicMonkey, Pond5 and Splash News. For the three and six months ended June 30, 2022, average revenue per customer excludes revenues and customers related to PicMonkey, Pond5 and Splash News.</w:t>
      </w:r>
    </w:p>
    <w:p>
      <w:pPr>
        <w:spacing w:after="0" w:line="67" w:lineRule="exact"/>
        <w:rPr>
          <w:rFonts w:ascii="Times New Roman" w:cs="Times New Roman" w:eastAsia="Times New Roman" w:hAnsi="Times New Roman"/>
          <w:sz w:val="12"/>
          <w:szCs w:val="12"/>
          <w:color w:val="auto"/>
        </w:rPr>
      </w:pPr>
    </w:p>
    <w:p>
      <w:pPr>
        <w:ind w:right="28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w:t>
      </w:r>
    </w:p>
    <w:p>
      <w:pPr>
        <w:spacing w:after="0" w:line="63" w:lineRule="exact"/>
        <w:rPr>
          <w:rFonts w:ascii="Times New Roman" w:cs="Times New Roman" w:eastAsia="Times New Roman" w:hAnsi="Times New Roman"/>
          <w:sz w:val="12"/>
          <w:szCs w:val="12"/>
          <w:color w:val="auto"/>
        </w:rPr>
      </w:pPr>
    </w:p>
    <w:p>
      <w:pPr>
        <w:ind w:right="2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custom content, revenue that is not derived from or associated with content licenses and revenue associated with our computer vision offering.</w:t>
      </w:r>
    </w:p>
    <w:p>
      <w:pPr>
        <w:spacing w:after="0" w:line="76" w:lineRule="exact"/>
        <w:rPr>
          <w:rFonts w:ascii="Times New Roman" w:cs="Times New Roman" w:eastAsia="Times New Roman" w:hAnsi="Times New Roman"/>
          <w:sz w:val="12"/>
          <w:szCs w:val="12"/>
          <w:color w:val="auto"/>
        </w:rPr>
      </w:pPr>
    </w:p>
    <w:p>
      <w:pPr>
        <w:ind w:right="24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approved images (photographs, vectors and illustrations) and footage (in number of clips) in our library on shutterstock.com at the end of the period. This collection metric excludes content that is not uploaded directly to our site but is available for license by our customers through an application program interface, custom content and certain content that may be licensed for editorial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GUIDANCE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expectations for the full year 2022, remain unchanged as follows:</w:t>
      </w:r>
    </w:p>
    <w:p>
      <w:pPr>
        <w:spacing w:after="0" w:line="109"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$835 million to $850 million, representing annual growth of 8% - 10%.</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between $210 million to $217 million.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of between $3.65 to $3.80.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foreign currency transaction gains and losses, interest income and expense and income taxes; adjusted EBITDA margin as the ratio of adjusted EBITDA to revenue; adjusted net income as net income adjusted for the impact of non-cash equity-based compensation, the amortization of acquisition-related intangible assets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and content acquisition. 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 GAAP, are presented under the headings “Reconciliation of Non-GAAP Financial Information to GAAP” and “Supplemental Financial Data” immediately following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TELECONFERENCE INFORMATION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discuss its second quarter and full year financial results during a teleconference today, July 26, 2022, at 8:30 AM ET. The conference call is being webcast live at the Company's website at http://investor.shutterstock.com/. The webcast is listen-only. Those interested in participating in the question-and-answer session should register using the link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register for the call here (https://register.vevent.com/register/BI3879892262844c06939b2a0ed7c0e6a2) to receive the dial-in numbers and unique PIN to access the call seamlessly. It is recommended that you join 10 minutes prior to the event start (although you may register and dial in at any time during the call).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replay of the call will be available on the Company's website beginning on July 26, 2022 at approximately 10:30 AM Eastern Time.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Shutterstock, Inc. (NYSE: SSTK), is the leading global creative platform for transformative brands and media companies. Directly and through its group subsidiaries, Shutterstock’s comprehensive collection includes high-quality licensed photographs, vectors, illustrations, 3D models, videos and music. Working with its growing community of over 2 million contributors, Shutterstock adds hundreds of thousands of images each week, and currently has more than 415 million images and more than 26 million video clips available.</w:t>
      </w:r>
    </w:p>
    <w:p>
      <w:pPr>
        <w:spacing w:after="0" w:line="7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Headquartered in New York City, Shutterstock has offices around the world and customers in more than 150 countries. The Company also owns Splash News, the world’s leading entertainment news agency for newsrooms and media companies worldwide; Pond5, the world’s largest video marketplace, TurboSquid, the world’s largest 3D content marketplace; PicMonkey, a leading online graphic design and image editing platform; Offset, a high-end image collection; Shutterstock Studios, an end-to-end custom creative shop; PremiumBeat, a curated royalty-free music library; Shutterstock Editorial, a premier source of editorial images and videos for the world’s media; Amper Music, an AI-driven music platform; and Bigstock, a value-oriented stock media offering.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www.shutterstock.com and follow Shutterstock on Twitter and on Facebook.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440"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Chris Suh</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646-257-4825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Aimée Leabon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129,589</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87,817</w:t>
            </w: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61,720</w:t>
            </w:r>
          </w:p>
        </w:tc>
        <w:tc>
          <w:tcPr>
            <w:tcW w:w="0" w:type="dxa"/>
            <w:vAlign w:val="bottom"/>
          </w:tcPr>
          <w:p>
            <w:pPr>
              <w:spacing w:after="0"/>
              <w:rPr>
                <w:sz w:val="1"/>
                <w:szCs w:val="1"/>
                <w:color w:val="auto"/>
              </w:rPr>
            </w:pPr>
          </w:p>
        </w:tc>
      </w:tr>
      <w:tr>
        <w:trPr>
          <w:trHeight w:val="20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181,498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301,850</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71,343</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70,204</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19,445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29,454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46,017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58,968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36,578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37,218</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$2,990 and $1,910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9"/>
        </w:trPr>
        <w:tc>
          <w:tcPr>
            <w:tcW w:w="7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 assets,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419,475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 and contingencies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39,482 and 39,209 shares issued and 35,981 and</w:t>
            </w:r>
          </w:p>
        </w:tc>
        <w:tc>
          <w:tcPr>
            <w:tcW w:w="2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36,417 shares outstanding as of June 30, 2022 and December 31, 2021, respectively</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3,501 and 2,792 shares as of June 30, 2022 and December 31, 2021, respectively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0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848,568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2" w:right="339" w:bottom="1440" w:gutter="0" w:footer="0" w:header="0"/>
        </w:sectPr>
      </w:pPr>
    </w:p>
    <w:bookmarkStart w:id="12" w:name="page13"/>
    <w:bookmarkEnd w:id="12"/>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31"/>
        </w:trPr>
        <w:tc>
          <w:tcPr>
            <w:tcW w:w="5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31,575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20,243</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17,896</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(6,056)</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0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11,953</w:t>
            </w:r>
          </w:p>
        </w:tc>
      </w:tr>
      <w:tr>
        <w:trPr>
          <w:trHeight w:val="204"/>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59,574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107,216</w:t>
            </w:r>
          </w:p>
        </w:tc>
      </w:tr>
      <w:tr>
        <w:trPr>
          <w:trHeight w:val="127"/>
        </w:trPr>
        <w:tc>
          <w:tcPr>
            <w:tcW w:w="5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(15,337)</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(72,165)</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acquisitions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content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0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4"/>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(90,963)</w:t>
            </w:r>
          </w:p>
        </w:tc>
      </w:tr>
      <w:tr>
        <w:trPr>
          <w:trHeight w:val="127"/>
        </w:trPr>
        <w:tc>
          <w:tcPr>
            <w:tcW w:w="5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(15,317)</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w:t>
            </w:r>
          </w:p>
        </w:tc>
      </w:tr>
      <w:tr>
        <w:trPr>
          <w:trHeight w:val="127"/>
        </w:trPr>
        <w:tc>
          <w:tcPr>
            <w:tcW w:w="5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09"/>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(17,528)</w:t>
            </w:r>
          </w:p>
        </w:tc>
      </w:tr>
      <w:tr>
        <w:trPr>
          <w:trHeight w:val="145"/>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314,017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428,574</w:t>
            </w:r>
          </w:p>
        </w:tc>
      </w:tr>
      <w:tr>
        <w:trPr>
          <w:trHeight w:val="202"/>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84,046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411,046</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3"/>
        </w:trPr>
        <w:tc>
          <w:tcPr>
            <w:tcW w:w="59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49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19,445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29,454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46,017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58,968</w:t>
            </w:r>
          </w:p>
        </w:tc>
      </w:tr>
      <w:tr>
        <w:trPr>
          <w:trHeight w:val="190"/>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31,575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20,243</w:t>
            </w:r>
          </w:p>
        </w:tc>
      </w:tr>
      <w:tr>
        <w:trPr>
          <w:trHeight w:val="190"/>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88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17,896</w:t>
            </w:r>
          </w:p>
        </w:tc>
      </w:tr>
      <w:tr>
        <w:trPr>
          <w:trHeight w:val="205"/>
        </w:trPr>
        <w:tc>
          <w:tcPr>
            <w:tcW w:w="496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4"/>
                <w:szCs w:val="14"/>
                <w:color w:val="auto"/>
              </w:rPr>
              <w:t xml:space="preserve">Other adjustments, net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1,139</w:t>
            </w:r>
          </w:p>
        </w:tc>
      </w:tr>
      <w:tr>
        <w:trPr>
          <w:trHeight w:val="191"/>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3,268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5,094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9,372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11,236</w:t>
            </w:r>
          </w:p>
        </w:tc>
      </w:tr>
      <w:tr>
        <w:trPr>
          <w:trHeight w:val="22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48,927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53,063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103,736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109,482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29.3 %</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adjustments, net includes unrealized foreign currency transaction gains and losses, and interest income and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66"/>
        </w:trPr>
        <w:tc>
          <w:tcPr>
            <w:tcW w:w="5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2021</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9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w:t>
            </w:r>
          </w:p>
        </w:tc>
        <w:tc>
          <w:tcPr>
            <w:tcW w:w="0" w:type="dxa"/>
            <w:vAlign w:val="bottom"/>
          </w:tcPr>
          <w:p>
            <w:pPr>
              <w:spacing w:after="0"/>
              <w:rPr>
                <w:sz w:val="1"/>
                <w:szCs w:val="1"/>
                <w:color w:val="auto"/>
              </w:rPr>
            </w:pPr>
          </w:p>
        </w:tc>
      </w:tr>
      <w:tr>
        <w:trPr>
          <w:trHeight w:val="190"/>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0" w:type="dxa"/>
            <w:vAlign w:val="bottom"/>
          </w:tcPr>
          <w:p>
            <w:pPr>
              <w:spacing w:after="0"/>
              <w:rPr>
                <w:sz w:val="1"/>
                <w:szCs w:val="1"/>
                <w:color w:val="auto"/>
              </w:rPr>
            </w:pPr>
          </w:p>
        </w:tc>
      </w:tr>
      <w:tr>
        <w:trPr>
          <w:trHeight w:val="190"/>
        </w:trPr>
        <w:tc>
          <w:tcPr>
            <w:tcW w:w="5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9"/>
                <w:szCs w:val="9"/>
                <w:color w:val="auto"/>
              </w:rPr>
              <w:t>(2)</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9"/>
                <w:szCs w:val="9"/>
                <w:color w:val="auto"/>
              </w:rPr>
              <w:t>(3)</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0" w:type="dxa"/>
            <w:vAlign w:val="bottom"/>
          </w:tcPr>
          <w:p>
            <w:pPr>
              <w:spacing w:after="0"/>
              <w:rPr>
                <w:sz w:val="1"/>
                <w:szCs w:val="1"/>
                <w:color w:val="auto"/>
              </w:rPr>
            </w:pPr>
          </w:p>
        </w:tc>
      </w:tr>
      <w:tr>
        <w:trPr>
          <w:trHeight w:val="191"/>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9"/>
                <w:szCs w:val="9"/>
                <w:color w:val="auto"/>
              </w:rPr>
              <w:t>(2)</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74,571</w:t>
            </w:r>
          </w:p>
        </w:tc>
        <w:tc>
          <w:tcPr>
            <w:tcW w:w="0" w:type="dxa"/>
            <w:vAlign w:val="bottom"/>
          </w:tcPr>
          <w:p>
            <w:pPr>
              <w:spacing w:after="0"/>
              <w:rPr>
                <w:sz w:val="1"/>
                <w:szCs w:val="1"/>
                <w:color w:val="auto"/>
              </w:rPr>
            </w:pPr>
          </w:p>
        </w:tc>
      </w:tr>
      <w:tr>
        <w:trPr>
          <w:trHeight w:val="23"/>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diluted share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40" w:type="dxa"/>
            <w:vAlign w:val="bottom"/>
            <w:vMerge w:val="continue"/>
          </w:tcPr>
          <w:p>
            <w:pPr>
              <w:spacing w:after="0"/>
              <w:rPr>
                <w:sz w:val="13"/>
                <w:szCs w:val="13"/>
                <w:color w:val="auto"/>
              </w:rPr>
            </w:pPr>
          </w:p>
        </w:tc>
        <w:tc>
          <w:tcPr>
            <w:tcW w:w="900" w:type="dxa"/>
            <w:vAlign w:val="bottom"/>
            <w:tcBorders>
              <w:bottom w:val="single" w:sz="8" w:color="auto"/>
            </w:tcBorders>
          </w:tcPr>
          <w:p>
            <w:pPr>
              <w:jc w:val="right"/>
              <w:ind w:right="733"/>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52"/>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160" w:hanging="319"/>
        <w:spacing w:after="0" w:line="264" w:lineRule="auto"/>
        <w:tabs>
          <w:tab w:leader="none" w:pos="63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$6.6 million and $0.6 million for the three months ended June 30, 2022 and 2021, respectively, are included within cost of revenue in the Statements of Operations. The remainder of acquisition-related amortization expense is included in general and administrative expense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8"/>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71"/>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206,872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189,912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406,004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373,193</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on a constant currency basis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05"/>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E-commerce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127,388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120,715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254,458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239,115</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E-commerce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E-commerce on a constant currency basis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Enterprise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79,484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69,197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151,546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134,078</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Enterprise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0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Enterprise on a constant currency basis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730"/>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91"/>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36,851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71,388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59,574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107,216</w:t>
            </w:r>
          </w:p>
        </w:tc>
      </w:tr>
      <w:tr>
        <w:trPr>
          <w:trHeight w:val="190"/>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(15,337)</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Content acquisition</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(6,999)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21,564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61,692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31,778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88,483</w:t>
            </w:r>
          </w:p>
        </w:tc>
      </w:tr>
      <w:tr>
        <w:trPr>
          <w:trHeight w:val="26"/>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684"/>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91"/>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E-commerce revenue</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127,388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120,715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254,458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239,115</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revenue</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79,484</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69,197</w:t>
            </w:r>
          </w:p>
        </w:tc>
        <w:tc>
          <w:tcPr>
            <w:tcW w:w="20" w:type="dxa"/>
            <w:vAlign w:val="bottom"/>
          </w:tcPr>
          <w:p>
            <w:pPr>
              <w:spacing w:after="0"/>
              <w:rPr>
                <w:sz w:val="16"/>
                <w:szCs w:val="16"/>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151,546</w:t>
            </w:r>
          </w:p>
        </w:tc>
        <w:tc>
          <w:tcPr>
            <w:tcW w:w="40" w:type="dxa"/>
            <w:vAlign w:val="bottom"/>
          </w:tcPr>
          <w:p>
            <w:pPr>
              <w:spacing w:after="0"/>
              <w:rPr>
                <w:sz w:val="16"/>
                <w:szCs w:val="16"/>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134,078</w:t>
            </w:r>
          </w:p>
        </w:tc>
      </w:tr>
      <w:tr>
        <w:trPr>
          <w:trHeight w:val="191"/>
        </w:trPr>
        <w:tc>
          <w:tcPr>
            <w:tcW w:w="4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206,872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189,912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406,004</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373,193</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total deferred revenue</w:t>
            </w:r>
            <w:r>
              <w:rPr>
                <w:rFonts w:ascii="Times New Roman" w:cs="Times New Roman" w:eastAsia="Times New Roman" w:hAnsi="Times New Roman"/>
                <w:sz w:val="9"/>
                <w:szCs w:val="9"/>
                <w:color w:val="auto"/>
              </w:rPr>
              <w:t>(1)</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8,305</w:t>
            </w: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(6,331)</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w:t>
            </w:r>
          </w:p>
        </w:tc>
      </w:tr>
      <w:tr>
        <w:trPr>
          <w:trHeight w:val="184"/>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billings</w:t>
            </w:r>
          </w:p>
        </w:tc>
        <w:tc>
          <w:tcPr>
            <w:tcW w:w="3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202,786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198,217</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399,673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385,285</w:t>
            </w:r>
          </w:p>
        </w:tc>
      </w:tr>
      <w:tr>
        <w:trPr>
          <w:trHeight w:val="26"/>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Change in total deferred revenue excludes deferred revenue acquired through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4"/>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9/30/20</w:t>
            </w:r>
          </w:p>
        </w:tc>
      </w:tr>
      <w:tr>
        <w:trPr>
          <w:trHeight w:val="26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92"/>
        </w:trPr>
        <w:tc>
          <w:tcPr>
            <w:tcW w:w="4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Revenue per download </w:t>
            </w:r>
            <w:r>
              <w:rPr>
                <w:rFonts w:ascii="Times New Roman" w:cs="Times New Roman" w:eastAsia="Times New Roman" w:hAnsi="Times New Roman"/>
                <w:sz w:val="20"/>
                <w:szCs w:val="20"/>
                <w:color w:val="auto"/>
                <w:vertAlign w:val="superscript"/>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Content in our collection (end of period, in millions): </w:t>
            </w:r>
            <w:r>
              <w:rPr>
                <w:rFonts w:ascii="Times New Roman" w:cs="Times New Roman" w:eastAsia="Times New Roman" w:hAnsi="Times New Roman"/>
                <w:sz w:val="20"/>
                <w:szCs w:val="20"/>
                <w:color w:val="auto"/>
                <w:vertAlign w:val="superscript"/>
              </w:rPr>
              <w:t>(6)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1"/>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9/30/20</w:t>
            </w:r>
          </w:p>
        </w:tc>
      </w:tr>
      <w:tr>
        <w:trPr>
          <w:trHeight w:val="25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w:t>
            </w:r>
          </w:p>
        </w:tc>
      </w:tr>
      <w:tr>
        <w:trPr>
          <w:trHeight w:val="18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9/30/21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9/30/20</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9,749</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right="200" w:firstLine="5"/>
        <w:spacing w:after="0" w:line="270"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 For the three and six months ended June 30, 2021, subscribers excludes customers related to our acquisitions of TurboSquid, PicMonkey, Pond5 and Splash News. For the three and six months ended June 30, 2022, subscribers excludes customers related to PicMonkey, Pond5 and Splash News.</w:t>
      </w:r>
    </w:p>
    <w:p>
      <w:pPr>
        <w:spacing w:after="0" w:line="86" w:lineRule="exact"/>
        <w:rPr>
          <w:rFonts w:ascii="Times New Roman" w:cs="Times New Roman" w:eastAsia="Times New Roman" w:hAnsi="Times New Roman"/>
          <w:sz w:val="12"/>
          <w:szCs w:val="12"/>
          <w:color w:val="auto"/>
        </w:rPr>
      </w:pPr>
    </w:p>
    <w:p>
      <w:pPr>
        <w:ind w:right="140" w:firstLine="5"/>
        <w:spacing w:after="0" w:line="288"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 For the three and six months ended June 30, 2021, subscriber revenue excludes revenues related to our acquisitions of TurboSquid, PicMonkey, Pond5 and Splash News. For the three and six months ended June 30, 2022, subscriber revenue excludes revenues related to PicMonkey, Pond5 and Splash News.</w:t>
      </w:r>
    </w:p>
    <w:p>
      <w:pPr>
        <w:spacing w:after="0" w:line="63" w:lineRule="exact"/>
        <w:rPr>
          <w:rFonts w:ascii="Times New Roman" w:cs="Times New Roman" w:eastAsia="Times New Roman" w:hAnsi="Times New Roman"/>
          <w:sz w:val="12"/>
          <w:szCs w:val="12"/>
          <w:color w:val="auto"/>
        </w:rPr>
      </w:pPr>
    </w:p>
    <w:p>
      <w:pPr>
        <w:ind w:right="20" w:firstLine="5"/>
        <w:spacing w:after="0" w:line="270"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 For three and six months ended June 30, 2021, average revenue per customer excludes revenues and customers related to our acquisitions of TurboSquid, PicMonkey, Pond5 and Splash News. For the three and six months ended June 30, 2022, average revenue per customer excludes revenues and customers related to PicMonkey, Pond5 and Splash News.</w:t>
      </w:r>
    </w:p>
    <w:p>
      <w:pPr>
        <w:spacing w:after="0" w:line="73" w:lineRule="exact"/>
        <w:rPr>
          <w:rFonts w:ascii="Times New Roman" w:cs="Times New Roman" w:eastAsia="Times New Roman" w:hAnsi="Times New Roman"/>
          <w:sz w:val="12"/>
          <w:szCs w:val="12"/>
          <w:color w:val="auto"/>
        </w:rPr>
      </w:pPr>
    </w:p>
    <w:p>
      <w:pPr>
        <w:ind w:right="280" w:firstLine="5"/>
        <w:spacing w:after="0" w:line="311"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w:t>
      </w:r>
    </w:p>
    <w:p>
      <w:pPr>
        <w:spacing w:after="0" w:line="50" w:lineRule="exact"/>
        <w:rPr>
          <w:rFonts w:ascii="Times New Roman" w:cs="Times New Roman" w:eastAsia="Times New Roman" w:hAnsi="Times New Roman"/>
          <w:sz w:val="12"/>
          <w:szCs w:val="12"/>
          <w:color w:val="auto"/>
        </w:rPr>
      </w:pPr>
    </w:p>
    <w:p>
      <w:pPr>
        <w:ind w:right="220" w:firstLine="5"/>
        <w:spacing w:after="0" w:line="288"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custom content, revenue that is not derived from or associated with content licenses and revenue associated with our computer vision offering.</w:t>
      </w:r>
    </w:p>
    <w:p>
      <w:pPr>
        <w:spacing w:after="0" w:line="63" w:lineRule="exact"/>
        <w:rPr>
          <w:rFonts w:ascii="Times New Roman" w:cs="Times New Roman" w:eastAsia="Times New Roman" w:hAnsi="Times New Roman"/>
          <w:sz w:val="12"/>
          <w:szCs w:val="12"/>
          <w:color w:val="auto"/>
        </w:rPr>
      </w:pPr>
    </w:p>
    <w:p>
      <w:pPr>
        <w:ind w:right="240" w:firstLine="5"/>
        <w:spacing w:after="0" w:line="288"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approved images (photographs, vectors and illustrations) and footage (in number of clips) in our library on shutterstock.com at the end of the period. This collection metric excludes content that is not uploaded directly to our site but is available for license by our customers through an application program interface, custom content and certain content that may be licensed for editorial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2022-07-26T06:05:52Z</dcterms:created>
  <dcterms:modified xsi:type="dcterms:W3CDTF">2022-07-26T06:05:52Z</dcterms:modified>
</cp:coreProperties>
</file>