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380"/>
        <w:spacing w:after="0"/>
        <w:rPr>
          <w:sz w:val="20"/>
          <w:szCs w:val="20"/>
          <w:color w:val="auto"/>
        </w:rPr>
      </w:pPr>
      <w:r>
        <w:rPr>
          <w:rFonts w:ascii="Arial" w:cs="Arial" w:eastAsia="Arial" w:hAnsi="Arial"/>
          <w:sz w:val="26"/>
          <w:szCs w:val="26"/>
          <w:b w:val="1"/>
          <w:bCs w:val="1"/>
          <w:color w:val="auto"/>
        </w:rPr>
        <w:drawing>
          <wp:anchor simplePos="0" relativeHeight="251657728" behindDoc="1" locked="0" layoutInCell="0" allowOverlap="1">
            <wp:simplePos x="0" y="0"/>
            <wp:positionH relativeFrom="page">
              <wp:posOffset>149860</wp:posOffset>
            </wp:positionH>
            <wp:positionV relativeFrom="page">
              <wp:posOffset>632460</wp:posOffset>
            </wp:positionV>
            <wp:extent cx="726122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1225" cy="7620"/>
                    </a:xfrm>
                    <a:prstGeom prst="rect">
                      <a:avLst/>
                    </a:prstGeom>
                    <a:noFill/>
                  </pic:spPr>
                </pic:pic>
              </a:graphicData>
            </a:graphic>
          </wp:anchor>
        </w:drawing>
        <w:drawing>
          <wp:anchor simplePos="0" relativeHeight="251657728" behindDoc="1" locked="0" layoutInCell="0" allowOverlap="1">
            <wp:simplePos x="0" y="0"/>
            <wp:positionH relativeFrom="page">
              <wp:posOffset>149860</wp:posOffset>
            </wp:positionH>
            <wp:positionV relativeFrom="page">
              <wp:posOffset>548640</wp:posOffset>
            </wp:positionV>
            <wp:extent cx="7261225" cy="152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1225" cy="15240"/>
                    </a:xfrm>
                    <a:prstGeom prst="rect">
                      <a:avLst/>
                    </a:prstGeom>
                    <a:noFill/>
                  </pic:spPr>
                </pic:pic>
              </a:graphicData>
            </a:graphic>
          </wp:anchor>
        </w:drawing>
        <w:t>UNITED STATES</w:t>
      </w:r>
    </w:p>
    <w:p>
      <w:pPr>
        <w:spacing w:after="0" w:line="99" w:lineRule="exact"/>
        <w:rPr>
          <w:sz w:val="24"/>
          <w:szCs w:val="24"/>
          <w:color w:val="auto"/>
        </w:rPr>
      </w:pPr>
    </w:p>
    <w:p>
      <w:pPr>
        <w:jc w:val="center"/>
        <w:ind w:left="380"/>
        <w:spacing w:after="0"/>
        <w:rPr>
          <w:sz w:val="20"/>
          <w:szCs w:val="20"/>
          <w:color w:val="auto"/>
        </w:rPr>
      </w:pPr>
      <w:r>
        <w:rPr>
          <w:rFonts w:ascii="Arial" w:cs="Arial" w:eastAsia="Arial" w:hAnsi="Arial"/>
          <w:sz w:val="26"/>
          <w:szCs w:val="26"/>
          <w:b w:val="1"/>
          <w:bCs w:val="1"/>
          <w:color w:val="auto"/>
        </w:rPr>
        <w:t>SECURITIES AND EXCHANGE COMMISSION</w:t>
      </w:r>
    </w:p>
    <w:p>
      <w:pPr>
        <w:spacing w:after="0" w:line="113" w:lineRule="exact"/>
        <w:rPr>
          <w:sz w:val="24"/>
          <w:szCs w:val="24"/>
          <w:color w:val="auto"/>
        </w:rPr>
      </w:pPr>
    </w:p>
    <w:p>
      <w:pPr>
        <w:ind w:left="5040"/>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1677670</wp:posOffset>
            </wp:positionH>
            <wp:positionV relativeFrom="paragraph">
              <wp:posOffset>154305</wp:posOffset>
            </wp:positionV>
            <wp:extent cx="388366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883660" cy="7620"/>
                    </a:xfrm>
                    <a:prstGeom prst="rect">
                      <a:avLst/>
                    </a:prstGeom>
                    <a:noFill/>
                  </pic:spPr>
                </pic:pic>
              </a:graphicData>
            </a:graphic>
          </wp:anchor>
        </w:drawing>
      </w:r>
    </w:p>
    <w:p>
      <w:pPr>
        <w:spacing w:after="0" w:line="200" w:lineRule="exact"/>
        <w:rPr>
          <w:sz w:val="24"/>
          <w:szCs w:val="24"/>
          <w:color w:val="auto"/>
        </w:rPr>
      </w:pPr>
    </w:p>
    <w:p>
      <w:pPr>
        <w:spacing w:after="0" w:line="348" w:lineRule="exact"/>
        <w:rPr>
          <w:sz w:val="24"/>
          <w:szCs w:val="24"/>
          <w:color w:val="auto"/>
        </w:rPr>
      </w:pPr>
    </w:p>
    <w:p>
      <w:pPr>
        <w:jc w:val="center"/>
        <w:ind w:right="-199"/>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1677670</wp:posOffset>
            </wp:positionH>
            <wp:positionV relativeFrom="paragraph">
              <wp:posOffset>240665</wp:posOffset>
            </wp:positionV>
            <wp:extent cx="388366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883660" cy="7620"/>
                    </a:xfrm>
                    <a:prstGeom prst="rect">
                      <a:avLst/>
                    </a:prstGeom>
                    <a:noFill/>
                  </pic:spPr>
                </pic:pic>
              </a:graphicData>
            </a:graphic>
          </wp:anchor>
        </w:drawing>
      </w:r>
    </w:p>
    <w:p>
      <w:pPr>
        <w:spacing w:after="0" w:line="370" w:lineRule="exact"/>
        <w:rPr>
          <w:sz w:val="24"/>
          <w:szCs w:val="24"/>
          <w:color w:val="auto"/>
        </w:rPr>
      </w:pPr>
    </w:p>
    <w:p>
      <w:pPr>
        <w:jc w:val="center"/>
        <w:ind w:right="-199"/>
        <w:spacing w:after="0"/>
        <w:rPr>
          <w:sz w:val="20"/>
          <w:szCs w:val="20"/>
          <w:color w:val="auto"/>
        </w:rPr>
      </w:pPr>
      <w:r>
        <w:rPr>
          <w:rFonts w:ascii="Arial" w:cs="Arial" w:eastAsia="Arial" w:hAnsi="Arial"/>
          <w:sz w:val="19"/>
          <w:szCs w:val="19"/>
          <w:b w:val="1"/>
          <w:bCs w:val="1"/>
          <w:color w:val="auto"/>
        </w:rPr>
        <w:t>CURRENT REPORT</w:t>
      </w:r>
    </w:p>
    <w:p>
      <w:pPr>
        <w:spacing w:after="0" w:line="19" w:lineRule="exact"/>
        <w:rPr>
          <w:sz w:val="24"/>
          <w:szCs w:val="24"/>
          <w:color w:val="auto"/>
        </w:rPr>
      </w:pPr>
    </w:p>
    <w:p>
      <w:pPr>
        <w:jc w:val="center"/>
        <w:ind w:right="-199"/>
        <w:spacing w:after="0"/>
        <w:rPr>
          <w:sz w:val="20"/>
          <w:szCs w:val="20"/>
          <w:color w:val="auto"/>
        </w:rPr>
      </w:pPr>
      <w:r>
        <w:rPr>
          <w:rFonts w:ascii="Arial" w:cs="Arial" w:eastAsia="Arial" w:hAnsi="Arial"/>
          <w:sz w:val="19"/>
          <w:szCs w:val="19"/>
          <w:b w:val="1"/>
          <w:bCs w:val="1"/>
          <w:color w:val="auto"/>
        </w:rPr>
        <w:t>Pursuant to Section 13 or 15(d) of the</w:t>
      </w:r>
    </w:p>
    <w:p>
      <w:pPr>
        <w:jc w:val="center"/>
        <w:ind w:right="-199"/>
        <w:spacing w:after="0"/>
        <w:rPr>
          <w:sz w:val="20"/>
          <w:szCs w:val="20"/>
          <w:color w:val="auto"/>
        </w:rPr>
      </w:pPr>
      <w:r>
        <w:rPr>
          <w:rFonts w:ascii="Arial" w:cs="Arial" w:eastAsia="Arial" w:hAnsi="Arial"/>
          <w:sz w:val="19"/>
          <w:szCs w:val="19"/>
          <w:b w:val="1"/>
          <w:bCs w:val="1"/>
          <w:color w:val="auto"/>
        </w:rPr>
        <w:t>Securities Exchange Act of 1934</w:t>
      </w:r>
    </w:p>
    <w:p>
      <w:pPr>
        <w:spacing w:after="0" w:line="33" w:lineRule="exact"/>
        <w:rPr>
          <w:sz w:val="24"/>
          <w:szCs w:val="24"/>
          <w:color w:val="auto"/>
        </w:rPr>
      </w:pPr>
    </w:p>
    <w:p>
      <w:pPr>
        <w:jc w:val="center"/>
        <w:ind w:right="60"/>
        <w:spacing w:after="0"/>
        <w:rPr>
          <w:sz w:val="20"/>
          <w:szCs w:val="20"/>
          <w:color w:val="auto"/>
        </w:rPr>
      </w:pPr>
      <w:r>
        <w:rPr>
          <w:rFonts w:ascii="Arial" w:cs="Arial" w:eastAsia="Arial" w:hAnsi="Arial"/>
          <w:sz w:val="16"/>
          <w:szCs w:val="16"/>
          <w:color w:val="auto"/>
        </w:rPr>
        <w:t xml:space="preserve">Date of Report (Date of earliest event reported): </w:t>
      </w:r>
      <w:r>
        <w:rPr>
          <w:rFonts w:ascii="Arial" w:cs="Arial" w:eastAsia="Arial" w:hAnsi="Arial"/>
          <w:sz w:val="16"/>
          <w:szCs w:val="16"/>
          <w:b w:val="1"/>
          <w:bCs w:val="1"/>
          <w:color w:val="auto"/>
        </w:rPr>
        <w:t>May 4,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1677670</wp:posOffset>
            </wp:positionH>
            <wp:positionV relativeFrom="paragraph">
              <wp:posOffset>31750</wp:posOffset>
            </wp:positionV>
            <wp:extent cx="388366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883660" cy="7620"/>
                    </a:xfrm>
                    <a:prstGeom prst="rect">
                      <a:avLst/>
                    </a:prstGeom>
                    <a:noFill/>
                  </pic:spPr>
                </pic:pic>
              </a:graphicData>
            </a:graphic>
          </wp:anchor>
        </w:drawing>
      </w:r>
    </w:p>
    <w:p>
      <w:pPr>
        <w:spacing w:after="0" w:line="355" w:lineRule="exact"/>
        <w:rPr>
          <w:sz w:val="24"/>
          <w:szCs w:val="24"/>
          <w:color w:val="auto"/>
        </w:rPr>
      </w:pPr>
    </w:p>
    <w:p>
      <w:pPr>
        <w:jc w:val="center"/>
        <w:ind w:right="-199"/>
        <w:spacing w:after="0"/>
        <w:rPr>
          <w:sz w:val="20"/>
          <w:szCs w:val="20"/>
          <w:color w:val="auto"/>
        </w:rPr>
      </w:pPr>
      <w:r>
        <w:rPr>
          <w:rFonts w:ascii="Arial" w:cs="Arial" w:eastAsia="Arial" w:hAnsi="Arial"/>
          <w:sz w:val="29"/>
          <w:szCs w:val="29"/>
          <w:b w:val="1"/>
          <w:bCs w:val="1"/>
          <w:color w:val="auto"/>
        </w:rPr>
        <w:t>Shutterstock, Inc.</w:t>
      </w:r>
    </w:p>
    <w:p>
      <w:pPr>
        <w:spacing w:after="0" w:line="30" w:lineRule="exact"/>
        <w:rPr>
          <w:sz w:val="24"/>
          <w:szCs w:val="24"/>
          <w:color w:val="auto"/>
        </w:rPr>
      </w:pPr>
    </w:p>
    <w:p>
      <w:pPr>
        <w:jc w:val="center"/>
        <w:ind w:right="-159"/>
        <w:spacing w:after="0"/>
        <w:rPr>
          <w:sz w:val="20"/>
          <w:szCs w:val="20"/>
          <w:color w:val="auto"/>
        </w:rPr>
      </w:pPr>
      <w:r>
        <w:rPr>
          <w:rFonts w:ascii="Arial" w:cs="Arial" w:eastAsia="Arial" w:hAnsi="Arial"/>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1677670</wp:posOffset>
            </wp:positionH>
            <wp:positionV relativeFrom="paragraph">
              <wp:posOffset>142875</wp:posOffset>
            </wp:positionV>
            <wp:extent cx="388366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883660" cy="7620"/>
                    </a:xfrm>
                    <a:prstGeom prst="rect">
                      <a:avLst/>
                    </a:prstGeom>
                    <a:noFill/>
                  </pic:spPr>
                </pic:pic>
              </a:graphicData>
            </a:graphic>
          </wp:anchor>
        </w:drawing>
      </w:r>
    </w:p>
    <w:p>
      <w:pPr>
        <w:spacing w:after="0" w:line="200" w:lineRule="exact"/>
        <w:rPr>
          <w:sz w:val="24"/>
          <w:szCs w:val="24"/>
          <w:color w:val="auto"/>
        </w:rPr>
      </w:pPr>
    </w:p>
    <w:p>
      <w:pPr>
        <w:spacing w:after="0" w:line="241" w:lineRule="exact"/>
        <w:rPr>
          <w:sz w:val="24"/>
          <w:szCs w:val="24"/>
          <w:color w:val="auto"/>
        </w:rPr>
      </w:pPr>
    </w:p>
    <w:tbl>
      <w:tblPr>
        <w:tblLayout w:type="fixed"/>
        <w:tblInd w:w="1020" w:type="dxa"/>
        <w:tblCellMar>
          <w:top w:w="0" w:type="dxa"/>
          <w:left w:w="0" w:type="dxa"/>
          <w:bottom w:w="0" w:type="dxa"/>
          <w:right w:w="0" w:type="dxa"/>
        </w:tblCellMar>
      </w:tblPr>
      <w:tr>
        <w:trPr>
          <w:trHeight w:val="209"/>
        </w:trPr>
        <w:tc>
          <w:tcPr>
            <w:tcW w:w="2820" w:type="dxa"/>
            <w:vAlign w:val="bottom"/>
          </w:tcPr>
          <w:p>
            <w:pPr>
              <w:jc w:val="center"/>
              <w:ind w:right="1390"/>
              <w:spacing w:after="0"/>
              <w:rPr>
                <w:sz w:val="20"/>
                <w:szCs w:val="20"/>
                <w:color w:val="auto"/>
              </w:rPr>
            </w:pPr>
            <w:r>
              <w:rPr>
                <w:rFonts w:ascii="Arial" w:cs="Arial" w:eastAsia="Arial" w:hAnsi="Arial"/>
                <w:sz w:val="16"/>
                <w:szCs w:val="16"/>
                <w:b w:val="1"/>
                <w:bCs w:val="1"/>
                <w:color w:val="auto"/>
                <w:w w:val="91"/>
              </w:rPr>
              <w:t>Delaware</w:t>
            </w:r>
          </w:p>
        </w:tc>
        <w:tc>
          <w:tcPr>
            <w:tcW w:w="3740" w:type="dxa"/>
            <w:vAlign w:val="bottom"/>
          </w:tcPr>
          <w:p>
            <w:pPr>
              <w:ind w:left="1460"/>
              <w:spacing w:after="0"/>
              <w:rPr>
                <w:sz w:val="20"/>
                <w:szCs w:val="20"/>
                <w:color w:val="auto"/>
              </w:rPr>
            </w:pPr>
            <w:r>
              <w:rPr>
                <w:rFonts w:ascii="Arial" w:cs="Arial" w:eastAsia="Arial" w:hAnsi="Arial"/>
                <w:sz w:val="16"/>
                <w:szCs w:val="16"/>
                <w:b w:val="1"/>
                <w:bCs w:val="1"/>
                <w:color w:val="auto"/>
              </w:rPr>
              <w:t>001-35669</w:t>
            </w:r>
          </w:p>
        </w:tc>
        <w:tc>
          <w:tcPr>
            <w:tcW w:w="2540" w:type="dxa"/>
            <w:vAlign w:val="bottom"/>
          </w:tcPr>
          <w:p>
            <w:pPr>
              <w:jc w:val="center"/>
              <w:ind w:left="1530"/>
              <w:spacing w:after="0"/>
              <w:rPr>
                <w:sz w:val="20"/>
                <w:szCs w:val="20"/>
                <w:color w:val="auto"/>
              </w:rPr>
            </w:pPr>
            <w:r>
              <w:rPr>
                <w:rFonts w:ascii="Arial" w:cs="Arial" w:eastAsia="Arial" w:hAnsi="Arial"/>
                <w:sz w:val="16"/>
                <w:szCs w:val="16"/>
                <w:b w:val="1"/>
                <w:bCs w:val="1"/>
                <w:color w:val="auto"/>
                <w:w w:val="91"/>
              </w:rPr>
              <w:t>80-0812659</w:t>
            </w:r>
          </w:p>
        </w:tc>
      </w:tr>
      <w:tr>
        <w:trPr>
          <w:trHeight w:val="165"/>
        </w:trPr>
        <w:tc>
          <w:tcPr>
            <w:tcW w:w="2820" w:type="dxa"/>
            <w:vAlign w:val="bottom"/>
          </w:tcPr>
          <w:p>
            <w:pPr>
              <w:jc w:val="center"/>
              <w:ind w:right="1390"/>
              <w:spacing w:after="0"/>
              <w:rPr>
                <w:sz w:val="20"/>
                <w:szCs w:val="20"/>
                <w:color w:val="auto"/>
              </w:rPr>
            </w:pPr>
            <w:r>
              <w:rPr>
                <w:rFonts w:ascii="Arial" w:cs="Arial" w:eastAsia="Arial" w:hAnsi="Arial"/>
                <w:sz w:val="13"/>
                <w:szCs w:val="13"/>
                <w:color w:val="auto"/>
                <w:w w:val="91"/>
              </w:rPr>
              <w:t>(State or other jurisdiction</w:t>
            </w:r>
          </w:p>
        </w:tc>
        <w:tc>
          <w:tcPr>
            <w:tcW w:w="3740" w:type="dxa"/>
            <w:vAlign w:val="bottom"/>
          </w:tcPr>
          <w:p>
            <w:pPr>
              <w:ind w:left="1460"/>
              <w:spacing w:after="0"/>
              <w:rPr>
                <w:sz w:val="20"/>
                <w:szCs w:val="20"/>
                <w:color w:val="auto"/>
              </w:rPr>
            </w:pPr>
            <w:r>
              <w:rPr>
                <w:rFonts w:ascii="Arial" w:cs="Arial" w:eastAsia="Arial" w:hAnsi="Arial"/>
                <w:sz w:val="13"/>
                <w:szCs w:val="13"/>
                <w:color w:val="auto"/>
              </w:rPr>
              <w:t>(Commission</w:t>
            </w:r>
          </w:p>
        </w:tc>
        <w:tc>
          <w:tcPr>
            <w:tcW w:w="2540" w:type="dxa"/>
            <w:vAlign w:val="bottom"/>
          </w:tcPr>
          <w:p>
            <w:pPr>
              <w:jc w:val="center"/>
              <w:ind w:left="1530"/>
              <w:spacing w:after="0"/>
              <w:rPr>
                <w:sz w:val="20"/>
                <w:szCs w:val="20"/>
                <w:color w:val="auto"/>
              </w:rPr>
            </w:pPr>
            <w:r>
              <w:rPr>
                <w:rFonts w:ascii="Arial" w:cs="Arial" w:eastAsia="Arial" w:hAnsi="Arial"/>
                <w:sz w:val="13"/>
                <w:szCs w:val="13"/>
                <w:color w:val="auto"/>
                <w:w w:val="92"/>
              </w:rPr>
              <w:t>(IRS Employer</w:t>
            </w:r>
          </w:p>
        </w:tc>
      </w:tr>
      <w:tr>
        <w:trPr>
          <w:trHeight w:val="163"/>
        </w:trPr>
        <w:tc>
          <w:tcPr>
            <w:tcW w:w="2820" w:type="dxa"/>
            <w:vAlign w:val="bottom"/>
          </w:tcPr>
          <w:p>
            <w:pPr>
              <w:jc w:val="center"/>
              <w:ind w:right="1390"/>
              <w:spacing w:after="0"/>
              <w:rPr>
                <w:sz w:val="20"/>
                <w:szCs w:val="20"/>
                <w:color w:val="auto"/>
              </w:rPr>
            </w:pPr>
            <w:r>
              <w:rPr>
                <w:rFonts w:ascii="Arial" w:cs="Arial" w:eastAsia="Arial" w:hAnsi="Arial"/>
                <w:sz w:val="13"/>
                <w:szCs w:val="13"/>
                <w:color w:val="auto"/>
                <w:w w:val="93"/>
              </w:rPr>
              <w:t>of incorporation)</w:t>
            </w:r>
          </w:p>
        </w:tc>
        <w:tc>
          <w:tcPr>
            <w:tcW w:w="3740" w:type="dxa"/>
            <w:vAlign w:val="bottom"/>
          </w:tcPr>
          <w:p>
            <w:pPr>
              <w:ind w:left="1460"/>
              <w:spacing w:after="0"/>
              <w:rPr>
                <w:sz w:val="20"/>
                <w:szCs w:val="20"/>
                <w:color w:val="auto"/>
              </w:rPr>
            </w:pPr>
            <w:r>
              <w:rPr>
                <w:rFonts w:ascii="Arial" w:cs="Arial" w:eastAsia="Arial" w:hAnsi="Arial"/>
                <w:sz w:val="13"/>
                <w:szCs w:val="13"/>
                <w:color w:val="auto"/>
              </w:rPr>
              <w:t>File Number)</w:t>
            </w:r>
          </w:p>
        </w:tc>
        <w:tc>
          <w:tcPr>
            <w:tcW w:w="2540" w:type="dxa"/>
            <w:vAlign w:val="bottom"/>
          </w:tcPr>
          <w:p>
            <w:pPr>
              <w:jc w:val="center"/>
              <w:ind w:left="1510"/>
              <w:spacing w:after="0"/>
              <w:rPr>
                <w:sz w:val="20"/>
                <w:szCs w:val="20"/>
                <w:color w:val="auto"/>
              </w:rPr>
            </w:pPr>
            <w:r>
              <w:rPr>
                <w:rFonts w:ascii="Arial" w:cs="Arial" w:eastAsia="Arial" w:hAnsi="Arial"/>
                <w:sz w:val="13"/>
                <w:szCs w:val="13"/>
                <w:color w:val="auto"/>
                <w:w w:val="94"/>
              </w:rPr>
              <w:t>Identification No.)</w:t>
            </w:r>
          </w:p>
        </w:tc>
      </w:tr>
    </w:tbl>
    <w:p>
      <w:pPr>
        <w:spacing w:after="0" w:line="200" w:lineRule="exact"/>
        <w:rPr>
          <w:sz w:val="24"/>
          <w:szCs w:val="24"/>
          <w:color w:val="auto"/>
        </w:rPr>
      </w:pPr>
    </w:p>
    <w:p>
      <w:pPr>
        <w:spacing w:after="0" w:line="228" w:lineRule="exact"/>
        <w:rPr>
          <w:sz w:val="24"/>
          <w:szCs w:val="24"/>
          <w:color w:val="auto"/>
        </w:rPr>
      </w:pPr>
    </w:p>
    <w:p>
      <w:pPr>
        <w:jc w:val="center"/>
        <w:ind w:right="-199"/>
        <w:spacing w:after="0"/>
        <w:rPr>
          <w:sz w:val="20"/>
          <w:szCs w:val="20"/>
          <w:color w:val="auto"/>
        </w:rPr>
      </w:pPr>
      <w:r>
        <w:rPr>
          <w:rFonts w:ascii="Arial" w:cs="Arial" w:eastAsia="Arial" w:hAnsi="Arial"/>
          <w:sz w:val="16"/>
          <w:szCs w:val="16"/>
          <w:b w:val="1"/>
          <w:bCs w:val="1"/>
          <w:color w:val="auto"/>
        </w:rPr>
        <w:t>350 Fifth Avenue, 21st Floor</w:t>
      </w:r>
    </w:p>
    <w:p>
      <w:pPr>
        <w:spacing w:after="0" w:line="25" w:lineRule="exact"/>
        <w:rPr>
          <w:sz w:val="24"/>
          <w:szCs w:val="24"/>
          <w:color w:val="auto"/>
        </w:rPr>
      </w:pPr>
    </w:p>
    <w:p>
      <w:pPr>
        <w:jc w:val="center"/>
        <w:ind w:right="-199"/>
        <w:spacing w:after="0"/>
        <w:rPr>
          <w:sz w:val="20"/>
          <w:szCs w:val="20"/>
          <w:color w:val="auto"/>
        </w:rPr>
      </w:pPr>
      <w:r>
        <w:rPr>
          <w:rFonts w:ascii="Arial" w:cs="Arial" w:eastAsia="Arial" w:hAnsi="Arial"/>
          <w:sz w:val="16"/>
          <w:szCs w:val="16"/>
          <w:b w:val="1"/>
          <w:bCs w:val="1"/>
          <w:color w:val="auto"/>
        </w:rPr>
        <w:t>New York, New York 10118</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6"/>
          <w:szCs w:val="16"/>
          <w:color w:val="auto"/>
        </w:rPr>
        <w:t>(Address of principal executive offices, including zip code)</w:t>
      </w:r>
    </w:p>
    <w:p>
      <w:pPr>
        <w:spacing w:after="0" w:line="186" w:lineRule="exact"/>
        <w:rPr>
          <w:sz w:val="24"/>
          <w:szCs w:val="24"/>
          <w:color w:val="auto"/>
        </w:rPr>
      </w:pPr>
    </w:p>
    <w:p>
      <w:pPr>
        <w:jc w:val="center"/>
        <w:ind w:right="-199"/>
        <w:spacing w:after="0"/>
        <w:rPr>
          <w:sz w:val="20"/>
          <w:szCs w:val="20"/>
          <w:color w:val="auto"/>
        </w:rPr>
      </w:pPr>
      <w:r>
        <w:rPr>
          <w:rFonts w:ascii="Arial" w:cs="Arial" w:eastAsia="Arial" w:hAnsi="Arial"/>
          <w:sz w:val="16"/>
          <w:szCs w:val="16"/>
          <w:b w:val="1"/>
          <w:bCs w:val="1"/>
          <w:color w:val="auto"/>
        </w:rPr>
        <w:t>(646) 766-1855</w:t>
      </w:r>
    </w:p>
    <w:p>
      <w:pPr>
        <w:spacing w:after="0" w:line="25" w:lineRule="exact"/>
        <w:rPr>
          <w:sz w:val="24"/>
          <w:szCs w:val="24"/>
          <w:color w:val="auto"/>
        </w:rPr>
      </w:pPr>
    </w:p>
    <w:p>
      <w:pPr>
        <w:jc w:val="center"/>
        <w:ind w:right="-199"/>
        <w:spacing w:after="0"/>
        <w:rPr>
          <w:sz w:val="20"/>
          <w:szCs w:val="20"/>
          <w:color w:val="auto"/>
        </w:rPr>
      </w:pPr>
      <w:r>
        <w:rPr>
          <w:rFonts w:ascii="Arial" w:cs="Arial" w:eastAsia="Arial" w:hAnsi="Arial"/>
          <w:sz w:val="16"/>
          <w:szCs w:val="16"/>
          <w:color w:val="auto"/>
        </w:rPr>
        <w:t>(Registrant’s telephone number, including area code)</w:t>
      </w:r>
    </w:p>
    <w:p>
      <w:pPr>
        <w:spacing w:after="0" w:line="186" w:lineRule="exact"/>
        <w:rPr>
          <w:sz w:val="24"/>
          <w:szCs w:val="24"/>
          <w:color w:val="auto"/>
        </w:rPr>
      </w:pPr>
    </w:p>
    <w:p>
      <w:pPr>
        <w:jc w:val="center"/>
        <w:ind w:right="-199"/>
        <w:spacing w:after="0"/>
        <w:rPr>
          <w:sz w:val="20"/>
          <w:szCs w:val="20"/>
          <w:color w:val="auto"/>
        </w:rPr>
      </w:pPr>
      <w:r>
        <w:rPr>
          <w:rFonts w:ascii="Arial" w:cs="Arial" w:eastAsia="Arial" w:hAnsi="Arial"/>
          <w:sz w:val="16"/>
          <w:szCs w:val="16"/>
          <w:b w:val="1"/>
          <w:bCs w:val="1"/>
          <w:color w:val="auto"/>
        </w:rPr>
        <w:t>Not Applicable</w:t>
      </w:r>
    </w:p>
    <w:p>
      <w:pPr>
        <w:spacing w:after="0" w:line="25" w:lineRule="exact"/>
        <w:rPr>
          <w:sz w:val="24"/>
          <w:szCs w:val="24"/>
          <w:color w:val="auto"/>
        </w:rPr>
      </w:pPr>
    </w:p>
    <w:p>
      <w:pPr>
        <w:jc w:val="center"/>
        <w:ind w:right="-199"/>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1807845</wp:posOffset>
            </wp:positionH>
            <wp:positionV relativeFrom="paragraph">
              <wp:posOffset>143510</wp:posOffset>
            </wp:positionV>
            <wp:extent cx="361505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15055" cy="7620"/>
                    </a:xfrm>
                    <a:prstGeom prst="rect">
                      <a:avLst/>
                    </a:prstGeom>
                    <a:noFill/>
                  </pic:spPr>
                </pic:pic>
              </a:graphicData>
            </a:graphic>
          </wp:anchor>
        </w:drawing>
      </w:r>
    </w:p>
    <w:p>
      <w:pPr>
        <w:spacing w:after="0" w:line="302" w:lineRule="exact"/>
        <w:rPr>
          <w:sz w:val="24"/>
          <w:szCs w:val="24"/>
          <w:color w:val="auto"/>
        </w:rPr>
      </w:pPr>
    </w:p>
    <w:p>
      <w:pPr>
        <w:ind w:left="340"/>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273" w:lineRule="exact"/>
        <w:rPr>
          <w:sz w:val="24"/>
          <w:szCs w:val="24"/>
          <w:color w:val="auto"/>
        </w:rPr>
      </w:pPr>
    </w:p>
    <w:p>
      <w:pPr>
        <w:ind w:left="680" w:hanging="679"/>
        <w:spacing w:after="0"/>
        <w:tabs>
          <w:tab w:leader="none" w:pos="680" w:val="left"/>
        </w:tabs>
        <w:numPr>
          <w:ilvl w:val="0"/>
          <w:numId w:val="1"/>
        </w:numPr>
        <w:rPr>
          <w:rFonts w:ascii="Arial" w:cs="Arial" w:eastAsia="Arial" w:hAnsi="Arial"/>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57" w:lineRule="exact"/>
        <w:rPr>
          <w:rFonts w:ascii="Arial" w:cs="Arial" w:eastAsia="Arial" w:hAnsi="Arial"/>
          <w:sz w:val="16"/>
          <w:szCs w:val="16"/>
          <w:color w:val="auto"/>
        </w:rPr>
      </w:pPr>
    </w:p>
    <w:p>
      <w:pPr>
        <w:ind w:left="680" w:hanging="679"/>
        <w:spacing w:after="0"/>
        <w:tabs>
          <w:tab w:leader="none" w:pos="680" w:val="left"/>
        </w:tabs>
        <w:numPr>
          <w:ilvl w:val="0"/>
          <w:numId w:val="1"/>
        </w:numPr>
        <w:rPr>
          <w:rFonts w:ascii="Arial" w:cs="Arial" w:eastAsia="Arial" w:hAnsi="Arial"/>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57" w:lineRule="exact"/>
        <w:rPr>
          <w:rFonts w:ascii="Arial" w:cs="Arial" w:eastAsia="Arial" w:hAnsi="Arial"/>
          <w:sz w:val="16"/>
          <w:szCs w:val="16"/>
          <w:color w:val="auto"/>
        </w:rPr>
      </w:pPr>
    </w:p>
    <w:p>
      <w:pPr>
        <w:ind w:left="680" w:hanging="679"/>
        <w:spacing w:after="0"/>
        <w:tabs>
          <w:tab w:leader="none" w:pos="68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57" w:lineRule="exact"/>
        <w:rPr>
          <w:rFonts w:ascii="Arial" w:cs="Arial" w:eastAsia="Arial" w:hAnsi="Arial"/>
          <w:sz w:val="16"/>
          <w:szCs w:val="16"/>
          <w:color w:val="auto"/>
        </w:rPr>
      </w:pPr>
    </w:p>
    <w:p>
      <w:pPr>
        <w:ind w:left="680" w:hanging="679"/>
        <w:spacing w:after="0"/>
        <w:tabs>
          <w:tab w:leader="none" w:pos="68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-14605</wp:posOffset>
            </wp:positionH>
            <wp:positionV relativeFrom="paragraph">
              <wp:posOffset>243205</wp:posOffset>
            </wp:positionV>
            <wp:extent cx="7261225" cy="152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1225" cy="1524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167005</wp:posOffset>
            </wp:positionV>
            <wp:extent cx="726122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1225" cy="7620"/>
                    </a:xfrm>
                    <a:prstGeom prst="rect">
                      <a:avLst/>
                    </a:prstGeom>
                    <a:noFill/>
                  </pic:spPr>
                </pic:pic>
              </a:graphicData>
            </a:graphic>
          </wp:anchor>
        </w:drawing>
      </w:r>
    </w:p>
    <w:p>
      <w:pPr>
        <w:sectPr>
          <w:pgSz w:w="11900" w:h="16838" w:orient="portrait"/>
          <w:cols w:equalWidth="0" w:num="1">
            <w:col w:w="11180"/>
          </w:cols>
          <w:pgMar w:left="260" w:top="1074" w:right="459" w:bottom="1440" w:gutter="0" w:footer="0" w:header="0"/>
        </w:sectPr>
      </w:pPr>
    </w:p>
    <w:bookmarkStart w:id="1" w:name="page2"/>
    <w:bookmarkEnd w:id="1"/>
    <w:p>
      <w:pPr>
        <w:ind w:left="20"/>
        <w:spacing w:after="0"/>
        <w:tabs>
          <w:tab w:leader="none" w:pos="1260" w:val="left"/>
        </w:tabs>
        <w:rPr>
          <w:sz w:val="20"/>
          <w:szCs w:val="20"/>
          <w:color w:val="auto"/>
        </w:rPr>
      </w:pPr>
      <w:r>
        <w:rPr>
          <w:rFonts w:ascii="Arial" w:cs="Arial" w:eastAsia="Arial" w:hAnsi="Arial"/>
          <w:sz w:val="16"/>
          <w:szCs w:val="16"/>
          <w:b w:val="1"/>
          <w:bCs w:val="1"/>
          <w:color w:val="auto"/>
        </w:rPr>
        <w:t>Item 2.02</w:t>
      </w:r>
      <w:r>
        <w:rPr>
          <w:sz w:val="20"/>
          <w:szCs w:val="20"/>
          <w:color w:val="auto"/>
        </w:rPr>
        <w:tab/>
      </w:r>
      <w:r>
        <w:rPr>
          <w:rFonts w:ascii="Arial" w:cs="Arial" w:eastAsia="Arial" w:hAnsi="Arial"/>
          <w:sz w:val="14"/>
          <w:szCs w:val="14"/>
          <w:b w:val="1"/>
          <w:bCs w:val="1"/>
          <w:color w:val="auto"/>
        </w:rPr>
        <w:t>Results of Operations and Financial Condition.</w:t>
      </w:r>
    </w:p>
    <w:p>
      <w:pPr>
        <w:spacing w:after="0" w:line="134" w:lineRule="exact"/>
        <w:rPr>
          <w:sz w:val="20"/>
          <w:szCs w:val="20"/>
          <w:color w:val="auto"/>
        </w:rPr>
      </w:pPr>
    </w:p>
    <w:p>
      <w:pPr>
        <w:ind w:firstLine="402"/>
        <w:spacing w:after="0" w:line="320" w:lineRule="auto"/>
        <w:rPr>
          <w:sz w:val="20"/>
          <w:szCs w:val="20"/>
          <w:color w:val="auto"/>
        </w:rPr>
      </w:pPr>
      <w:r>
        <w:rPr>
          <w:rFonts w:ascii="Arial" w:cs="Arial" w:eastAsia="Arial" w:hAnsi="Arial"/>
          <w:sz w:val="14"/>
          <w:szCs w:val="14"/>
          <w:color w:val="auto"/>
        </w:rPr>
        <w:t>On May 4, 2016, Shutterstock, Inc. (the “Company”) issued a press release announcing its financial results for the fiscal period ended March 31, 2016. A copy of the press release is furnished as Exhibit 99.1 to this current report and is incorporated herein by reference. In addition, a copy of the presentation slides which will be referenced on the Company’s earnings call at 8:30 a.m. Eastern Time on Wednesday, May 4, 2016 is furnished as Exhibit 99.2 to this current report and incorporated herein by reference.</w:t>
      </w:r>
    </w:p>
    <w:p>
      <w:pPr>
        <w:spacing w:after="0" w:line="32" w:lineRule="exact"/>
        <w:rPr>
          <w:sz w:val="20"/>
          <w:szCs w:val="20"/>
          <w:color w:val="auto"/>
        </w:rPr>
      </w:pPr>
    </w:p>
    <w:p>
      <w:pPr>
        <w:ind w:right="40" w:firstLine="362"/>
        <w:spacing w:after="0" w:line="261" w:lineRule="auto"/>
        <w:rPr>
          <w:sz w:val="20"/>
          <w:szCs w:val="20"/>
          <w:color w:val="auto"/>
        </w:rPr>
      </w:pPr>
      <w:r>
        <w:rPr>
          <w:rFonts w:ascii="Arial" w:cs="Arial" w:eastAsia="Arial" w:hAnsi="Arial"/>
          <w:sz w:val="16"/>
          <w:szCs w:val="16"/>
          <w:color w:val="auto"/>
        </w:rPr>
        <w:t>In accordance with General Instruction B.2 of Form 8-K, the information in this Current Report on Form 8-K, including Exhibits 99.1 and 99.2 attached hereto, shall not be deemed “filed” for purposes of Section 18 of the Securities Exchange Act of 1934, as amended (the “Exchange Act”), or otherwise subject to the liabilities of that section, nor shall it be deemed incorporated by reference into any filing under the Securities Act of 1933, as amended, or the Exchange Act, except as shall be expressly set forth by specific reference in such a filing.</w:t>
      </w:r>
    </w:p>
    <w:p>
      <w:pPr>
        <w:spacing w:after="0" w:line="28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40"/>
          </w:cols>
          <w:pgMar w:left="240" w:top="774" w:right="219" w:bottom="1440" w:gutter="0" w:footer="0" w:header="0"/>
        </w:sectPr>
      </w:pPr>
    </w:p>
    <w:bookmarkStart w:id="2" w:name="page3"/>
    <w:bookmarkEnd w:id="2"/>
    <w:p>
      <w:pPr>
        <w:spacing w:after="0"/>
        <w:tabs>
          <w:tab w:leader="none" w:pos="1240" w:val="left"/>
        </w:tabs>
        <w:rPr>
          <w:sz w:val="20"/>
          <w:szCs w:val="20"/>
          <w:color w:val="auto"/>
        </w:rPr>
      </w:pPr>
      <w:r>
        <w:rPr>
          <w:rFonts w:ascii="Arial" w:cs="Arial" w:eastAsia="Arial" w:hAnsi="Arial"/>
          <w:sz w:val="16"/>
          <w:szCs w:val="16"/>
          <w:b w:val="1"/>
          <w:bCs w:val="1"/>
          <w:color w:val="auto"/>
        </w:rPr>
        <w:t>Item 7.01</w:t>
      </w:r>
      <w:r>
        <w:rPr>
          <w:sz w:val="20"/>
          <w:szCs w:val="20"/>
          <w:color w:val="auto"/>
        </w:rPr>
        <w:tab/>
      </w:r>
      <w:r>
        <w:rPr>
          <w:rFonts w:ascii="Arial" w:cs="Arial" w:eastAsia="Arial" w:hAnsi="Arial"/>
          <w:sz w:val="14"/>
          <w:szCs w:val="14"/>
          <w:b w:val="1"/>
          <w:bCs w:val="1"/>
          <w:color w:val="auto"/>
        </w:rPr>
        <w:t>Regulation FD Disclosure.</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4"/>
          <w:szCs w:val="14"/>
          <w:color w:val="auto"/>
        </w:rPr>
        <w:t>The information provided above in “Item 2.02 Results of Operations and Financial Condition” is incorporated by reference in this Item 7.01.</w:t>
      </w:r>
    </w:p>
    <w:p>
      <w:pPr>
        <w:spacing w:after="0" w:line="269" w:lineRule="exact"/>
        <w:rPr>
          <w:sz w:val="20"/>
          <w:szCs w:val="20"/>
          <w:color w:val="auto"/>
        </w:rPr>
      </w:pPr>
    </w:p>
    <w:p>
      <w:pPr>
        <w:spacing w:after="0"/>
        <w:tabs>
          <w:tab w:leader="none" w:pos="1120" w:val="left"/>
        </w:tabs>
        <w:rPr>
          <w:sz w:val="20"/>
          <w:szCs w:val="20"/>
          <w:color w:val="auto"/>
        </w:rPr>
      </w:pPr>
      <w:r>
        <w:rPr>
          <w:rFonts w:ascii="Arial" w:cs="Arial" w:eastAsia="Arial" w:hAnsi="Arial"/>
          <w:sz w:val="16"/>
          <w:szCs w:val="16"/>
          <w:b w:val="1"/>
          <w:bCs w:val="1"/>
          <w:color w:val="auto"/>
        </w:rPr>
        <w:t>Item 9.01</w:t>
      </w:r>
      <w:r>
        <w:rPr>
          <w:sz w:val="20"/>
          <w:szCs w:val="20"/>
          <w:color w:val="auto"/>
        </w:rPr>
        <w:tab/>
      </w:r>
      <w:r>
        <w:rPr>
          <w:rFonts w:ascii="Arial" w:cs="Arial" w:eastAsia="Arial" w:hAnsi="Arial"/>
          <w:sz w:val="14"/>
          <w:szCs w:val="14"/>
          <w:b w:val="1"/>
          <w:bCs w:val="1"/>
          <w:color w:val="auto"/>
        </w:rPr>
        <w:t>Financial Statements and Exhibits.</w:t>
      </w:r>
    </w:p>
    <w:p>
      <w:pPr>
        <w:spacing w:after="0" w:line="134" w:lineRule="exact"/>
        <w:rPr>
          <w:sz w:val="20"/>
          <w:szCs w:val="20"/>
          <w:color w:val="auto"/>
        </w:rPr>
      </w:pPr>
    </w:p>
    <w:p>
      <w:pPr>
        <w:ind w:left="640" w:hanging="302"/>
        <w:spacing w:after="0"/>
        <w:tabs>
          <w:tab w:leader="none" w:pos="640" w:val="left"/>
        </w:tabs>
        <w:numPr>
          <w:ilvl w:val="0"/>
          <w:numId w:val="2"/>
        </w:numPr>
        <w:rPr>
          <w:rFonts w:ascii="Arial" w:cs="Arial" w:eastAsia="Arial" w:hAnsi="Arial"/>
          <w:sz w:val="16"/>
          <w:szCs w:val="16"/>
          <w:color w:val="auto"/>
        </w:rPr>
      </w:pPr>
      <w:r>
        <w:rPr>
          <w:rFonts w:ascii="Arial" w:cs="Arial" w:eastAsia="Arial" w:hAnsi="Arial"/>
          <w:sz w:val="16"/>
          <w:szCs w:val="16"/>
          <w:i w:val="1"/>
          <w:iCs w:val="1"/>
          <w:color w:val="auto"/>
        </w:rPr>
        <w:t>Exhibits</w:t>
      </w:r>
      <w:r>
        <w:rPr>
          <w:rFonts w:ascii="Arial" w:cs="Arial" w:eastAsia="Arial" w:hAnsi="Arial"/>
          <w:sz w:val="16"/>
          <w:szCs w:val="16"/>
          <w:color w:val="auto"/>
        </w:rPr>
        <w:t>.</w:t>
      </w:r>
    </w:p>
    <w:p>
      <w:pPr>
        <w:spacing w:after="0" w:line="130" w:lineRule="exact"/>
        <w:rPr>
          <w:sz w:val="20"/>
          <w:szCs w:val="20"/>
          <w:color w:val="auto"/>
        </w:rPr>
      </w:pPr>
    </w:p>
    <w:tbl>
      <w:tblPr>
        <w:tblLayout w:type="fixed"/>
        <w:tblInd w:w="560" w:type="dxa"/>
        <w:tblCellMar>
          <w:top w:w="0" w:type="dxa"/>
          <w:left w:w="0" w:type="dxa"/>
          <w:bottom w:w="0" w:type="dxa"/>
          <w:right w:w="0" w:type="dxa"/>
        </w:tblCellMar>
      </w:tblPr>
      <w:tr>
        <w:trPr>
          <w:trHeight w:val="205"/>
        </w:trPr>
        <w:tc>
          <w:tcPr>
            <w:tcW w:w="560" w:type="dxa"/>
            <w:vAlign w:val="bottom"/>
          </w:tcPr>
          <w:p>
            <w:pPr>
              <w:jc w:val="right"/>
              <w:ind w:right="200"/>
              <w:spacing w:after="0"/>
              <w:rPr>
                <w:sz w:val="20"/>
                <w:szCs w:val="20"/>
                <w:color w:val="auto"/>
              </w:rPr>
            </w:pPr>
            <w:r>
              <w:rPr>
                <w:rFonts w:ascii="Arial" w:cs="Arial" w:eastAsia="Arial" w:hAnsi="Arial"/>
                <w:sz w:val="16"/>
                <w:szCs w:val="16"/>
                <w:color w:val="auto"/>
                <w:w w:val="83"/>
              </w:rPr>
              <w:t>99.1</w:t>
            </w:r>
          </w:p>
        </w:tc>
        <w:tc>
          <w:tcPr>
            <w:tcW w:w="6260" w:type="dxa"/>
            <w:vAlign w:val="bottom"/>
          </w:tcPr>
          <w:p>
            <w:pPr>
              <w:ind w:left="300"/>
              <w:spacing w:after="0"/>
              <w:rPr>
                <w:sz w:val="20"/>
                <w:szCs w:val="20"/>
                <w:color w:val="auto"/>
              </w:rPr>
            </w:pPr>
            <w:r>
              <w:rPr>
                <w:rFonts w:ascii="Arial" w:cs="Arial" w:eastAsia="Arial" w:hAnsi="Arial"/>
                <w:sz w:val="16"/>
                <w:szCs w:val="16"/>
                <w:color w:val="auto"/>
              </w:rPr>
              <w:t>Press release dated May 4, 2016</w:t>
            </w:r>
          </w:p>
        </w:tc>
      </w:tr>
      <w:tr>
        <w:trPr>
          <w:trHeight w:val="326"/>
        </w:trPr>
        <w:tc>
          <w:tcPr>
            <w:tcW w:w="560" w:type="dxa"/>
            <w:vAlign w:val="bottom"/>
          </w:tcPr>
          <w:p>
            <w:pPr>
              <w:jc w:val="right"/>
              <w:ind w:right="200"/>
              <w:spacing w:after="0"/>
              <w:rPr>
                <w:sz w:val="20"/>
                <w:szCs w:val="20"/>
                <w:color w:val="auto"/>
              </w:rPr>
            </w:pPr>
            <w:r>
              <w:rPr>
                <w:rFonts w:ascii="Arial" w:cs="Arial" w:eastAsia="Arial" w:hAnsi="Arial"/>
                <w:sz w:val="16"/>
                <w:szCs w:val="16"/>
                <w:color w:val="auto"/>
                <w:w w:val="83"/>
              </w:rPr>
              <w:t>99.2</w:t>
            </w:r>
          </w:p>
        </w:tc>
        <w:tc>
          <w:tcPr>
            <w:tcW w:w="6260" w:type="dxa"/>
            <w:vAlign w:val="bottom"/>
          </w:tcPr>
          <w:p>
            <w:pPr>
              <w:ind w:left="300"/>
              <w:spacing w:after="0"/>
              <w:rPr>
                <w:sz w:val="20"/>
                <w:szCs w:val="20"/>
                <w:color w:val="auto"/>
              </w:rPr>
            </w:pPr>
            <w:r>
              <w:rPr>
                <w:rFonts w:ascii="Arial" w:cs="Arial" w:eastAsia="Arial" w:hAnsi="Arial"/>
                <w:sz w:val="16"/>
                <w:szCs w:val="16"/>
                <w:color w:val="auto"/>
                <w:w w:val="90"/>
              </w:rPr>
              <w:t>Presentation slides referenced on the earnings call held by Shutterstock, Inc. on May 4, 2016</w:t>
            </w:r>
          </w:p>
        </w:tc>
      </w:tr>
    </w:tbl>
    <w:p>
      <w:pPr>
        <w:spacing w:after="0" w:line="31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0199"/>
          </w:cols>
          <w:pgMar w:left="260" w:top="774" w:right="1440" w:bottom="1440" w:gutter="0" w:footer="0" w:header="0"/>
        </w:sectPr>
      </w:pPr>
    </w:p>
    <w:bookmarkStart w:id="3" w:name="page4"/>
    <w:bookmarkEnd w:id="3"/>
    <w:p>
      <w:pPr>
        <w:jc w:val="center"/>
        <w:ind w:right="-99"/>
        <w:spacing w:after="0"/>
        <w:rPr>
          <w:sz w:val="20"/>
          <w:szCs w:val="20"/>
          <w:color w:val="auto"/>
        </w:rPr>
      </w:pPr>
      <w:r>
        <w:rPr>
          <w:rFonts w:ascii="Arial" w:cs="Arial" w:eastAsia="Arial" w:hAnsi="Arial"/>
          <w:sz w:val="16"/>
          <w:szCs w:val="16"/>
          <w:b w:val="1"/>
          <w:bCs w:val="1"/>
          <w:color w:val="auto"/>
        </w:rPr>
        <w:t>SIGNATURE</w:t>
      </w:r>
    </w:p>
    <w:p>
      <w:pPr>
        <w:spacing w:after="0" w:line="25" w:lineRule="exact"/>
        <w:rPr>
          <w:sz w:val="20"/>
          <w:szCs w:val="20"/>
          <w:color w:val="auto"/>
        </w:rPr>
      </w:pPr>
    </w:p>
    <w:p>
      <w:pPr>
        <w:ind w:firstLine="402"/>
        <w:spacing w:after="0" w:line="263"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208" w:lineRule="exact"/>
        <w:rPr>
          <w:sz w:val="20"/>
          <w:szCs w:val="20"/>
          <w:color w:val="auto"/>
        </w:rPr>
      </w:pPr>
    </w:p>
    <w:p>
      <w:pPr>
        <w:ind w:left="5620"/>
        <w:spacing w:after="0"/>
        <w:rPr>
          <w:sz w:val="20"/>
          <w:szCs w:val="20"/>
          <w:color w:val="auto"/>
        </w:rPr>
      </w:pPr>
      <w:r>
        <w:rPr>
          <w:rFonts w:ascii="Arial" w:cs="Arial" w:eastAsia="Arial" w:hAnsi="Arial"/>
          <w:sz w:val="16"/>
          <w:szCs w:val="16"/>
          <w:b w:val="1"/>
          <w:bCs w:val="1"/>
          <w:color w:val="auto"/>
        </w:rPr>
        <w:t>SHUTTERSTOCK, INC.</w:t>
      </w:r>
    </w:p>
    <w:p>
      <w:pPr>
        <w:spacing w:after="0" w:line="200" w:lineRule="exact"/>
        <w:rPr>
          <w:sz w:val="20"/>
          <w:szCs w:val="20"/>
          <w:color w:val="auto"/>
        </w:rPr>
      </w:pPr>
    </w:p>
    <w:p>
      <w:pPr>
        <w:spacing w:after="0" w:line="344" w:lineRule="exact"/>
        <w:rPr>
          <w:sz w:val="20"/>
          <w:szCs w:val="20"/>
          <w:color w:val="auto"/>
        </w:rPr>
      </w:pPr>
    </w:p>
    <w:p>
      <w:pPr>
        <w:ind w:left="20"/>
        <w:spacing w:after="0"/>
        <w:tabs>
          <w:tab w:leader="none" w:pos="5600" w:val="left"/>
          <w:tab w:leader="none" w:pos="6160" w:val="left"/>
        </w:tabs>
        <w:rPr>
          <w:sz w:val="20"/>
          <w:szCs w:val="20"/>
          <w:color w:val="auto"/>
        </w:rPr>
      </w:pPr>
      <w:r>
        <w:rPr>
          <w:rFonts w:ascii="Arial" w:cs="Arial" w:eastAsia="Arial" w:hAnsi="Arial"/>
          <w:sz w:val="16"/>
          <w:szCs w:val="16"/>
          <w:color w:val="auto"/>
        </w:rPr>
        <w:t>Dated: May 4, 2016</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Steven Berns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3911600</wp:posOffset>
            </wp:positionH>
            <wp:positionV relativeFrom="paragraph">
              <wp:posOffset>29210</wp:posOffset>
            </wp:positionV>
            <wp:extent cx="333184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31845" cy="7620"/>
                    </a:xfrm>
                    <a:prstGeom prst="rect">
                      <a:avLst/>
                    </a:prstGeom>
                    <a:noFill/>
                  </pic:spPr>
                </pic:pic>
              </a:graphicData>
            </a:graphic>
          </wp:anchor>
        </w:drawing>
      </w:r>
    </w:p>
    <w:p>
      <w:pPr>
        <w:spacing w:after="0" w:line="49" w:lineRule="exact"/>
        <w:rPr>
          <w:sz w:val="20"/>
          <w:szCs w:val="20"/>
          <w:color w:val="auto"/>
        </w:rPr>
      </w:pPr>
    </w:p>
    <w:p>
      <w:pPr>
        <w:ind w:left="6180"/>
        <w:spacing w:after="0"/>
        <w:rPr>
          <w:sz w:val="20"/>
          <w:szCs w:val="20"/>
          <w:color w:val="auto"/>
        </w:rPr>
      </w:pPr>
      <w:r>
        <w:rPr>
          <w:rFonts w:ascii="Arial" w:cs="Arial" w:eastAsia="Arial" w:hAnsi="Arial"/>
          <w:sz w:val="16"/>
          <w:szCs w:val="16"/>
          <w:color w:val="auto"/>
        </w:rPr>
        <w:t>Steven Berns</w:t>
      </w:r>
    </w:p>
    <w:p>
      <w:pPr>
        <w:spacing w:after="0" w:line="57" w:lineRule="exact"/>
        <w:rPr>
          <w:sz w:val="20"/>
          <w:szCs w:val="20"/>
          <w:color w:val="auto"/>
        </w:rPr>
      </w:pPr>
    </w:p>
    <w:p>
      <w:pPr>
        <w:ind w:left="6180"/>
        <w:spacing w:after="0"/>
        <w:rPr>
          <w:sz w:val="20"/>
          <w:szCs w:val="20"/>
          <w:color w:val="auto"/>
        </w:rPr>
      </w:pPr>
      <w:r>
        <w:rPr>
          <w:rFonts w:ascii="Arial" w:cs="Arial" w:eastAsia="Arial" w:hAnsi="Arial"/>
          <w:sz w:val="16"/>
          <w:szCs w:val="16"/>
          <w:color w:val="auto"/>
        </w:rPr>
        <w:t>Chief Financial Officer</w:t>
      </w:r>
    </w:p>
    <w:p>
      <w:pPr>
        <w:spacing w:after="0" w:line="34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340"/>
          </w:cols>
          <w:pgMar w:left="240" w:top="630" w:right="3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9"/>
        </w:trPr>
        <w:tc>
          <w:tcPr>
            <w:tcW w:w="1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580" w:type="dxa"/>
            <w:vAlign w:val="bottom"/>
          </w:tcPr>
          <w:p>
            <w:pPr>
              <w:ind w:left="3280"/>
              <w:spacing w:after="0"/>
              <w:rPr>
                <w:sz w:val="20"/>
                <w:szCs w:val="20"/>
                <w:color w:val="auto"/>
              </w:rPr>
            </w:pPr>
            <w:r>
              <w:rPr>
                <w:rFonts w:ascii="Arial" w:cs="Arial" w:eastAsia="Arial" w:hAnsi="Arial"/>
                <w:sz w:val="16"/>
                <w:szCs w:val="16"/>
                <w:b w:val="1"/>
                <w:bCs w:val="1"/>
                <w:color w:val="auto"/>
              </w:rPr>
              <w:t>EXHIBIT INDEX</w:t>
            </w:r>
          </w:p>
        </w:tc>
      </w:tr>
      <w:tr>
        <w:trPr>
          <w:trHeight w:val="297"/>
        </w:trPr>
        <w:tc>
          <w:tcPr>
            <w:tcW w:w="1820" w:type="dxa"/>
            <w:vAlign w:val="bottom"/>
            <w:gridSpan w:val="2"/>
          </w:tcPr>
          <w:p>
            <w:pPr>
              <w:ind w:left="20"/>
              <w:spacing w:after="0"/>
              <w:rPr>
                <w:sz w:val="20"/>
                <w:szCs w:val="20"/>
                <w:color w:val="auto"/>
              </w:rPr>
            </w:pPr>
            <w:r>
              <w:rPr>
                <w:rFonts w:ascii="Arial" w:cs="Arial" w:eastAsia="Arial" w:hAnsi="Arial"/>
                <w:sz w:val="13"/>
                <w:szCs w:val="13"/>
                <w:b w:val="1"/>
                <w:bCs w:val="1"/>
                <w:color w:val="auto"/>
              </w:rPr>
              <w:t>Exhibit No.</w:t>
            </w:r>
          </w:p>
        </w:tc>
        <w:tc>
          <w:tcPr>
            <w:tcW w:w="9580" w:type="dxa"/>
            <w:vAlign w:val="bottom"/>
          </w:tcPr>
          <w:p>
            <w:pPr>
              <w:ind w:left="4260"/>
              <w:spacing w:after="0"/>
              <w:rPr>
                <w:sz w:val="20"/>
                <w:szCs w:val="20"/>
                <w:color w:val="auto"/>
              </w:rPr>
            </w:pPr>
            <w:r>
              <w:rPr>
                <w:rFonts w:ascii="Arial" w:cs="Arial" w:eastAsia="Arial" w:hAnsi="Arial"/>
                <w:sz w:val="13"/>
                <w:szCs w:val="13"/>
                <w:b w:val="1"/>
                <w:bCs w:val="1"/>
                <w:color w:val="auto"/>
              </w:rPr>
              <w:t>Exhibit Description</w:t>
            </w:r>
          </w:p>
        </w:tc>
      </w:tr>
      <w:tr>
        <w:trPr>
          <w:trHeight w:val="455"/>
        </w:trPr>
        <w:tc>
          <w:tcPr>
            <w:tcW w:w="12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99.1</w:t>
            </w:r>
          </w:p>
        </w:tc>
        <w:tc>
          <w:tcPr>
            <w:tcW w:w="560" w:type="dxa"/>
            <w:vAlign w:val="bottom"/>
          </w:tcPr>
          <w:p>
            <w:pPr>
              <w:spacing w:after="0"/>
              <w:rPr>
                <w:sz w:val="24"/>
                <w:szCs w:val="24"/>
                <w:color w:val="auto"/>
              </w:rPr>
            </w:pPr>
          </w:p>
        </w:tc>
        <w:tc>
          <w:tcPr>
            <w:tcW w:w="95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Press release dated May 4, 2016</w:t>
            </w:r>
          </w:p>
        </w:tc>
      </w:tr>
      <w:tr>
        <w:trPr>
          <w:trHeight w:val="350"/>
        </w:trPr>
        <w:tc>
          <w:tcPr>
            <w:tcW w:w="1260" w:type="dxa"/>
            <w:vAlign w:val="bottom"/>
          </w:tcPr>
          <w:p>
            <w:pPr>
              <w:ind w:left="20"/>
              <w:spacing w:after="0"/>
              <w:rPr>
                <w:sz w:val="20"/>
                <w:szCs w:val="20"/>
                <w:color w:val="auto"/>
              </w:rPr>
            </w:pPr>
            <w:r>
              <w:rPr>
                <w:rFonts w:ascii="Arial" w:cs="Arial" w:eastAsia="Arial" w:hAnsi="Arial"/>
                <w:sz w:val="16"/>
                <w:szCs w:val="16"/>
                <w:color w:val="auto"/>
              </w:rPr>
              <w:t>99.2</w:t>
            </w:r>
          </w:p>
        </w:tc>
        <w:tc>
          <w:tcPr>
            <w:tcW w:w="560" w:type="dxa"/>
            <w:vAlign w:val="bottom"/>
          </w:tcPr>
          <w:p>
            <w:pPr>
              <w:spacing w:after="0"/>
              <w:rPr>
                <w:sz w:val="24"/>
                <w:szCs w:val="24"/>
                <w:color w:val="auto"/>
              </w:rPr>
            </w:pPr>
          </w:p>
        </w:tc>
        <w:tc>
          <w:tcPr>
            <w:tcW w:w="9580" w:type="dxa"/>
            <w:vAlign w:val="bottom"/>
          </w:tcPr>
          <w:p>
            <w:pPr>
              <w:ind w:left="40"/>
              <w:spacing w:after="0"/>
              <w:rPr>
                <w:sz w:val="20"/>
                <w:szCs w:val="20"/>
                <w:color w:val="auto"/>
              </w:rPr>
            </w:pPr>
            <w:r>
              <w:rPr>
                <w:rFonts w:ascii="Arial" w:cs="Arial" w:eastAsia="Arial" w:hAnsi="Arial"/>
                <w:sz w:val="16"/>
                <w:szCs w:val="16"/>
                <w:color w:val="auto"/>
              </w:rPr>
              <w:t>Presentation slides referenced on the earnings call held by Shutterstock, Inc. on May 4, 2016</w:t>
            </w:r>
          </w:p>
        </w:tc>
      </w:tr>
      <w:tr>
        <w:trPr>
          <w:trHeight w:val="531"/>
        </w:trPr>
        <w:tc>
          <w:tcPr>
            <w:tcW w:w="1260" w:type="dxa"/>
            <w:vAlign w:val="bottom"/>
          </w:tcPr>
          <w:p>
            <w:pPr>
              <w:jc w:val="right"/>
              <w:ind w:right="744"/>
              <w:spacing w:after="0"/>
              <w:rPr>
                <w:sz w:val="20"/>
                <w:szCs w:val="20"/>
                <w:color w:val="auto"/>
              </w:rPr>
            </w:pPr>
            <w:r>
              <w:rPr>
                <w:rFonts w:ascii="Arial" w:cs="Arial" w:eastAsia="Arial" w:hAnsi="Arial"/>
                <w:sz w:val="16"/>
                <w:szCs w:val="16"/>
                <w:color w:val="auto"/>
              </w:rPr>
              <w:t>5</w:t>
            </w:r>
          </w:p>
        </w:tc>
        <w:tc>
          <w:tcPr>
            <w:tcW w:w="560" w:type="dxa"/>
            <w:vAlign w:val="bottom"/>
          </w:tcPr>
          <w:p>
            <w:pPr>
              <w:spacing w:after="0"/>
              <w:rPr>
                <w:sz w:val="24"/>
                <w:szCs w:val="24"/>
                <w:color w:val="auto"/>
              </w:rPr>
            </w:pPr>
          </w:p>
        </w:tc>
        <w:tc>
          <w:tcPr>
            <w:tcW w:w="9580" w:type="dxa"/>
            <w:vAlign w:val="bottom"/>
          </w:tcPr>
          <w:p>
            <w:pPr>
              <w:spacing w:after="0"/>
              <w:rPr>
                <w:sz w:val="24"/>
                <w:szCs w:val="24"/>
                <w:color w:val="auto"/>
              </w:rPr>
            </w:pPr>
          </w:p>
        </w:tc>
      </w:tr>
    </w:tbl>
    <w:p>
      <w:pPr>
        <w:sectPr>
          <w:pgSz w:w="11900" w:h="16838" w:orient="portrait"/>
          <w:cols w:equalWidth="0" w:num="1">
            <w:col w:w="11400"/>
          </w:cols>
          <w:pgMar w:left="240" w:top="630" w:right="259" w:bottom="1440" w:gutter="0" w:footer="0" w:header="0"/>
        </w:sectPr>
      </w:pPr>
    </w:p>
    <w:bookmarkStart w:id="5" w:name="page6"/>
    <w:bookmarkEnd w:id="5"/>
    <w:p>
      <w:pPr>
        <w:jc w:val="right"/>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2073275</wp:posOffset>
            </wp:positionH>
            <wp:positionV relativeFrom="paragraph">
              <wp:posOffset>77470</wp:posOffset>
            </wp:positionV>
            <wp:extent cx="3140710" cy="4445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140710" cy="444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Shutterstock Reports First Quarter 2016 Financial Results</w:t>
      </w:r>
    </w:p>
    <w:p>
      <w:pPr>
        <w:spacing w:after="0" w:line="3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First Quarter 2016 Highlights:</w:t>
      </w:r>
    </w:p>
    <w:p>
      <w:pPr>
        <w:spacing w:after="0" w:line="206" w:lineRule="exact"/>
        <w:rPr>
          <w:sz w:val="20"/>
          <w:szCs w:val="20"/>
          <w:color w:val="auto"/>
        </w:rPr>
      </w:pPr>
    </w:p>
    <w:p>
      <w:pPr>
        <w:ind w:left="580" w:hanging="294"/>
        <w:spacing w:after="0"/>
        <w:tabs>
          <w:tab w:leader="none" w:pos="580" w:val="left"/>
        </w:tabs>
        <w:numPr>
          <w:ilvl w:val="0"/>
          <w:numId w:val="3"/>
        </w:numPr>
        <w:rPr>
          <w:rFonts w:ascii="Arial" w:cs="Arial" w:eastAsia="Arial" w:hAnsi="Arial"/>
          <w:sz w:val="16"/>
          <w:szCs w:val="16"/>
          <w:color w:val="auto"/>
        </w:rPr>
      </w:pPr>
      <w:r>
        <w:rPr>
          <w:rFonts w:ascii="Arial" w:cs="Arial" w:eastAsia="Arial" w:hAnsi="Arial"/>
          <w:sz w:val="16"/>
          <w:szCs w:val="16"/>
          <w:color w:val="auto"/>
        </w:rPr>
        <w:t>Revenue increased 20% to $116.7 million</w:t>
      </w:r>
    </w:p>
    <w:p>
      <w:pPr>
        <w:spacing w:after="0" w:line="21" w:lineRule="exact"/>
        <w:rPr>
          <w:rFonts w:ascii="Arial" w:cs="Arial" w:eastAsia="Arial" w:hAnsi="Arial"/>
          <w:sz w:val="16"/>
          <w:szCs w:val="16"/>
          <w:color w:val="auto"/>
        </w:rPr>
      </w:pPr>
    </w:p>
    <w:p>
      <w:pPr>
        <w:ind w:left="580" w:hanging="294"/>
        <w:spacing w:after="0"/>
        <w:tabs>
          <w:tab w:leader="none" w:pos="580" w:val="left"/>
        </w:tabs>
        <w:numPr>
          <w:ilvl w:val="0"/>
          <w:numId w:val="3"/>
        </w:numPr>
        <w:rPr>
          <w:rFonts w:ascii="Arial" w:cs="Arial" w:eastAsia="Arial" w:hAnsi="Arial"/>
          <w:sz w:val="16"/>
          <w:szCs w:val="16"/>
          <w:color w:val="auto"/>
        </w:rPr>
      </w:pPr>
      <w:r>
        <w:rPr>
          <w:rFonts w:ascii="Arial" w:cs="Arial" w:eastAsia="Arial" w:hAnsi="Arial"/>
          <w:sz w:val="16"/>
          <w:szCs w:val="16"/>
          <w:color w:val="auto"/>
        </w:rPr>
        <w:t>Adjusted EBITDA increased 28% to $24.0 million</w:t>
      </w:r>
    </w:p>
    <w:p>
      <w:pPr>
        <w:spacing w:after="0" w:line="9" w:lineRule="exact"/>
        <w:rPr>
          <w:rFonts w:ascii="Arial" w:cs="Arial" w:eastAsia="Arial" w:hAnsi="Arial"/>
          <w:sz w:val="16"/>
          <w:szCs w:val="16"/>
          <w:color w:val="auto"/>
        </w:rPr>
      </w:pPr>
    </w:p>
    <w:p>
      <w:pPr>
        <w:ind w:left="580" w:hanging="294"/>
        <w:spacing w:after="0"/>
        <w:tabs>
          <w:tab w:leader="none" w:pos="580" w:val="left"/>
        </w:tabs>
        <w:numPr>
          <w:ilvl w:val="0"/>
          <w:numId w:val="3"/>
        </w:numPr>
        <w:rPr>
          <w:rFonts w:ascii="Arial" w:cs="Arial" w:eastAsia="Arial" w:hAnsi="Arial"/>
          <w:sz w:val="16"/>
          <w:szCs w:val="16"/>
          <w:color w:val="auto"/>
        </w:rPr>
      </w:pPr>
      <w:r>
        <w:rPr>
          <w:rFonts w:ascii="Arial" w:cs="Arial" w:eastAsia="Arial" w:hAnsi="Arial"/>
          <w:sz w:val="16"/>
          <w:szCs w:val="16"/>
          <w:color w:val="auto"/>
        </w:rPr>
        <w:t>Non-GAAP Net Income per diluted share increased 44% to $0.36</w:t>
      </w:r>
    </w:p>
    <w:p>
      <w:pPr>
        <w:spacing w:after="0" w:line="9" w:lineRule="exact"/>
        <w:rPr>
          <w:rFonts w:ascii="Arial" w:cs="Arial" w:eastAsia="Arial" w:hAnsi="Arial"/>
          <w:sz w:val="16"/>
          <w:szCs w:val="16"/>
          <w:color w:val="auto"/>
        </w:rPr>
      </w:pPr>
    </w:p>
    <w:p>
      <w:pPr>
        <w:ind w:left="580" w:hanging="294"/>
        <w:spacing w:after="0"/>
        <w:tabs>
          <w:tab w:leader="none" w:pos="580" w:val="left"/>
        </w:tabs>
        <w:numPr>
          <w:ilvl w:val="0"/>
          <w:numId w:val="3"/>
        </w:numPr>
        <w:rPr>
          <w:rFonts w:ascii="Arial" w:cs="Arial" w:eastAsia="Arial" w:hAnsi="Arial"/>
          <w:sz w:val="16"/>
          <w:szCs w:val="16"/>
          <w:color w:val="auto"/>
        </w:rPr>
      </w:pPr>
      <w:r>
        <w:rPr>
          <w:rFonts w:ascii="Arial" w:cs="Arial" w:eastAsia="Arial" w:hAnsi="Arial"/>
          <w:sz w:val="16"/>
          <w:szCs w:val="16"/>
          <w:color w:val="auto"/>
        </w:rPr>
        <w:t>Repurchased an additional $27.8 million of stock</w:t>
      </w:r>
    </w:p>
    <w:p>
      <w:pPr>
        <w:spacing w:after="0" w:line="9" w:lineRule="exact"/>
        <w:rPr>
          <w:rFonts w:ascii="Arial" w:cs="Arial" w:eastAsia="Arial" w:hAnsi="Arial"/>
          <w:sz w:val="16"/>
          <w:szCs w:val="16"/>
          <w:color w:val="auto"/>
        </w:rPr>
      </w:pPr>
    </w:p>
    <w:p>
      <w:pPr>
        <w:ind w:left="580" w:hanging="294"/>
        <w:spacing w:after="0"/>
        <w:tabs>
          <w:tab w:leader="none" w:pos="580" w:val="left"/>
        </w:tabs>
        <w:numPr>
          <w:ilvl w:val="0"/>
          <w:numId w:val="3"/>
        </w:numPr>
        <w:rPr>
          <w:rFonts w:ascii="Arial" w:cs="Arial" w:eastAsia="Arial" w:hAnsi="Arial"/>
          <w:sz w:val="16"/>
          <w:szCs w:val="16"/>
          <w:color w:val="auto"/>
        </w:rPr>
      </w:pPr>
      <w:r>
        <w:rPr>
          <w:rFonts w:ascii="Arial" w:cs="Arial" w:eastAsia="Arial" w:hAnsi="Arial"/>
          <w:sz w:val="16"/>
          <w:szCs w:val="16"/>
          <w:color w:val="auto"/>
        </w:rPr>
        <w:t>Paid downloads increased 23%</w:t>
      </w:r>
    </w:p>
    <w:p>
      <w:pPr>
        <w:spacing w:after="0" w:line="9" w:lineRule="exact"/>
        <w:rPr>
          <w:rFonts w:ascii="Arial" w:cs="Arial" w:eastAsia="Arial" w:hAnsi="Arial"/>
          <w:sz w:val="16"/>
          <w:szCs w:val="16"/>
          <w:color w:val="auto"/>
        </w:rPr>
      </w:pPr>
    </w:p>
    <w:p>
      <w:pPr>
        <w:ind w:left="580" w:hanging="294"/>
        <w:spacing w:after="0"/>
        <w:tabs>
          <w:tab w:leader="none" w:pos="580" w:val="left"/>
        </w:tabs>
        <w:numPr>
          <w:ilvl w:val="0"/>
          <w:numId w:val="3"/>
        </w:numPr>
        <w:rPr>
          <w:rFonts w:ascii="Arial" w:cs="Arial" w:eastAsia="Arial" w:hAnsi="Arial"/>
          <w:sz w:val="16"/>
          <w:szCs w:val="16"/>
          <w:color w:val="auto"/>
        </w:rPr>
      </w:pPr>
      <w:r>
        <w:rPr>
          <w:rFonts w:ascii="Arial" w:cs="Arial" w:eastAsia="Arial" w:hAnsi="Arial"/>
          <w:sz w:val="16"/>
          <w:szCs w:val="16"/>
          <w:color w:val="auto"/>
        </w:rPr>
        <w:t>Image collection expanded 57% to 81.0 million images and video collection expanded 62% to 4.2 million clips</w:t>
      </w:r>
    </w:p>
    <w:p>
      <w:pPr>
        <w:spacing w:after="0" w:line="186" w:lineRule="exact"/>
        <w:rPr>
          <w:sz w:val="20"/>
          <w:szCs w:val="20"/>
          <w:color w:val="auto"/>
        </w:rPr>
      </w:pPr>
    </w:p>
    <w:p>
      <w:pPr>
        <w:jc w:val="both"/>
        <w:ind w:right="20"/>
        <w:spacing w:after="0" w:line="284" w:lineRule="auto"/>
        <w:rPr>
          <w:sz w:val="20"/>
          <w:szCs w:val="20"/>
          <w:color w:val="auto"/>
        </w:rPr>
      </w:pPr>
      <w:r>
        <w:rPr>
          <w:rFonts w:ascii="Arial" w:cs="Arial" w:eastAsia="Arial" w:hAnsi="Arial"/>
          <w:sz w:val="16"/>
          <w:szCs w:val="16"/>
          <w:b w:val="1"/>
          <w:bCs w:val="1"/>
          <w:color w:val="auto"/>
        </w:rPr>
        <w:t xml:space="preserve">New York - May 4, 2016 - </w:t>
      </w:r>
      <w:r>
        <w:rPr>
          <w:rFonts w:ascii="Arial" w:cs="Arial" w:eastAsia="Arial" w:hAnsi="Arial"/>
          <w:sz w:val="16"/>
          <w:szCs w:val="16"/>
          <w:color w:val="auto"/>
        </w:rPr>
        <w:t>Shutterstock, Inc. (NYSE: SSTK), a leading global provider of commercial imagery and music, today announced financial results for the first quarter</w:t>
      </w:r>
      <w:r>
        <w:rPr>
          <w:rFonts w:ascii="Arial" w:cs="Arial" w:eastAsia="Arial" w:hAnsi="Arial"/>
          <w:sz w:val="16"/>
          <w:szCs w:val="16"/>
          <w:b w:val="1"/>
          <w:bCs w:val="1"/>
          <w:color w:val="auto"/>
        </w:rPr>
        <w:t xml:space="preserve"> </w:t>
      </w:r>
      <w:r>
        <w:rPr>
          <w:rFonts w:ascii="Arial" w:cs="Arial" w:eastAsia="Arial" w:hAnsi="Arial"/>
          <w:sz w:val="16"/>
          <w:szCs w:val="16"/>
          <w:color w:val="auto"/>
        </w:rPr>
        <w:t>ended March 31, 2016.</w:t>
      </w:r>
    </w:p>
    <w:p>
      <w:pPr>
        <w:spacing w:after="0" w:line="148" w:lineRule="exact"/>
        <w:rPr>
          <w:sz w:val="20"/>
          <w:szCs w:val="20"/>
          <w:color w:val="auto"/>
        </w:rPr>
      </w:pPr>
    </w:p>
    <w:p>
      <w:pPr>
        <w:jc w:val="both"/>
        <w:ind w:right="20"/>
        <w:spacing w:after="0" w:line="309" w:lineRule="auto"/>
        <w:rPr>
          <w:sz w:val="20"/>
          <w:szCs w:val="20"/>
          <w:color w:val="auto"/>
        </w:rPr>
      </w:pPr>
      <w:r>
        <w:rPr>
          <w:rFonts w:ascii="Arial" w:cs="Arial" w:eastAsia="Arial" w:hAnsi="Arial"/>
          <w:sz w:val="14"/>
          <w:szCs w:val="14"/>
          <w:color w:val="auto"/>
        </w:rPr>
        <w:t>Founder and CEO Jon Oringer said “The momentum Shutterstock generated throughout 2015 continued unabated during the first quarter of 2016 with both sides of our vibrant marketplace continuing their consistent growth. We added more high quality content than ever before to our diverse portfolio while delivering an unmatched user experience to an expanding customer base. The increased engagement with our platform is translating into sustained financial strength and we are delivering these strong results even as we further invest in new content initiatives, innovative workflow tools and cutting edge technology solutions to provide additional value to contributors and customers.”</w:t>
      </w:r>
    </w:p>
    <w:p>
      <w:pPr>
        <w:spacing w:after="0" w:line="3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FIRST QUARTER RESULTS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Revenue</w:t>
      </w:r>
    </w:p>
    <w:p>
      <w:pPr>
        <w:spacing w:after="0" w:line="20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First quarter revenue of $116.7 million increased $19.1 million or 20% as compared to the first quarter of 2015, primarily due to a 23% increase in the number of paid downloads, mainly due to new customers, and increased activity by enterprise clients. The impact of foreign currency movements partially offset this growth. Excluding the impact of foreign currency, total Company revenue growth was approximately 24% in the first quarter.</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Adjusted EBITDA</w:t>
      </w:r>
    </w:p>
    <w:p>
      <w:pPr>
        <w:spacing w:after="0" w:line="206" w:lineRule="exact"/>
        <w:rPr>
          <w:sz w:val="20"/>
          <w:szCs w:val="20"/>
          <w:color w:val="auto"/>
        </w:rPr>
      </w:pPr>
    </w:p>
    <w:p>
      <w:pPr>
        <w:jc w:val="both"/>
        <w:spacing w:after="0" w:line="279" w:lineRule="auto"/>
        <w:rPr>
          <w:sz w:val="20"/>
          <w:szCs w:val="20"/>
          <w:color w:val="auto"/>
        </w:rPr>
      </w:pPr>
      <w:r>
        <w:rPr>
          <w:rFonts w:ascii="Arial" w:cs="Arial" w:eastAsia="Arial" w:hAnsi="Arial"/>
          <w:sz w:val="15"/>
          <w:szCs w:val="15"/>
          <w:color w:val="auto"/>
        </w:rPr>
        <w:t>Adjusted EBITDA of $24.0 million increased $5.3 million or 28% as compared to the first quarter of 2015 driven by the 20% revenue growth, partially offset by an increase in operating expenses primarily from higher royalty costs associated with the increase in paid downloads. Additionally, the first quarter included higher personnel expenses to support growth initiatives. Excluding the impact of foreign currency, Adjusted EBITDA growth was approximately 36% in the first quarter as compared to the first quarter of 2015. Adjusted EBITDA is defined as net income adjusted for foreign currency transaction gains and losses, changes in fair value of contingent consideration related to acquisitions, interest income and expense, income taxes, depreciation, amortization, disposals and non-cash equity-based compensation.</w:t>
      </w:r>
    </w:p>
    <w:p>
      <w:pPr>
        <w:sectPr>
          <w:pgSz w:w="11900" w:h="16838" w:orient="portrait"/>
          <w:cols w:equalWidth="0" w:num="1">
            <w:col w:w="11440"/>
          </w:cols>
          <w:pgMar w:left="240" w:top="533" w:right="219" w:bottom="1440" w:gutter="0" w:footer="0" w:header="0"/>
        </w:sectPr>
      </w:pPr>
    </w:p>
    <w:bookmarkStart w:id="6" w:name="page7"/>
    <w:bookmarkEnd w:id="6"/>
    <w:p>
      <w:pPr>
        <w:ind w:left="4"/>
        <w:spacing w:after="0"/>
        <w:rPr>
          <w:sz w:val="20"/>
          <w:szCs w:val="20"/>
          <w:color w:val="auto"/>
        </w:rPr>
      </w:pPr>
      <w:r>
        <w:rPr>
          <w:rFonts w:ascii="Arial" w:cs="Arial" w:eastAsia="Arial" w:hAnsi="Arial"/>
          <w:sz w:val="16"/>
          <w:szCs w:val="16"/>
          <w:b w:val="1"/>
          <w:bCs w:val="1"/>
          <w:color w:val="auto"/>
        </w:rPr>
        <w:t>Net Income</w:t>
      </w:r>
    </w:p>
    <w:p>
      <w:pPr>
        <w:spacing w:after="0" w:line="206" w:lineRule="exact"/>
        <w:rPr>
          <w:sz w:val="20"/>
          <w:szCs w:val="20"/>
          <w:color w:val="auto"/>
        </w:rPr>
      </w:pPr>
    </w:p>
    <w:p>
      <w:pPr>
        <w:jc w:val="both"/>
        <w:ind w:left="4" w:right="20"/>
        <w:spacing w:after="0" w:line="265" w:lineRule="auto"/>
        <w:rPr>
          <w:sz w:val="20"/>
          <w:szCs w:val="20"/>
          <w:color w:val="auto"/>
        </w:rPr>
      </w:pPr>
      <w:r>
        <w:rPr>
          <w:rFonts w:ascii="Arial" w:cs="Arial" w:eastAsia="Arial" w:hAnsi="Arial"/>
          <w:sz w:val="16"/>
          <w:szCs w:val="16"/>
          <w:color w:val="auto"/>
        </w:rPr>
        <w:t>Net income available to common stockholders of $6.1 million ($0.17 per diluted share) for the first quarter increased $2.9 million as compared with $3.2 million ($0.09 per diluted share) in the first quarter a year ago as the improved operating performance and a $0.7 million unrealized non-cash gain associated with foreign currency movements was partially offset by a $2.4 million change in the fair value of contingent consideration.</w:t>
      </w:r>
    </w:p>
    <w:p>
      <w:pPr>
        <w:spacing w:after="0" w:line="163" w:lineRule="exact"/>
        <w:rPr>
          <w:sz w:val="20"/>
          <w:szCs w:val="20"/>
          <w:color w:val="auto"/>
        </w:rPr>
      </w:pPr>
    </w:p>
    <w:p>
      <w:pPr>
        <w:jc w:val="both"/>
        <w:ind w:left="4" w:right="20"/>
        <w:spacing w:after="0" w:line="265" w:lineRule="auto"/>
        <w:rPr>
          <w:sz w:val="20"/>
          <w:szCs w:val="20"/>
          <w:color w:val="auto"/>
        </w:rPr>
      </w:pPr>
      <w:r>
        <w:rPr>
          <w:rFonts w:ascii="Arial" w:cs="Arial" w:eastAsia="Arial" w:hAnsi="Arial"/>
          <w:sz w:val="16"/>
          <w:szCs w:val="16"/>
          <w:color w:val="auto"/>
        </w:rPr>
        <w:t>Non-GAAP net income, which excludes the after tax impact of non-cash equity-based compensation, changes in fair value of contingent consideration related to acquisitions and amortization of acquisition related intangible assets was $13.1 million ($0.36 per diluted share) for the first quarter, an increase of 46% as compared to $9.0 million ($0.25 per diluted share) in the first quarter of 2015.</w:t>
      </w:r>
    </w:p>
    <w:p>
      <w:pPr>
        <w:spacing w:after="0" w:line="159"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LIQUIDITY</w:t>
      </w:r>
    </w:p>
    <w:p>
      <w:pPr>
        <w:spacing w:after="0" w:line="206" w:lineRule="exact"/>
        <w:rPr>
          <w:sz w:val="20"/>
          <w:szCs w:val="20"/>
          <w:color w:val="auto"/>
        </w:rPr>
      </w:pPr>
    </w:p>
    <w:p>
      <w:pPr>
        <w:jc w:val="both"/>
        <w:ind w:left="4"/>
        <w:spacing w:after="0" w:line="265" w:lineRule="auto"/>
        <w:rPr>
          <w:sz w:val="20"/>
          <w:szCs w:val="20"/>
          <w:color w:val="auto"/>
        </w:rPr>
      </w:pPr>
      <w:r>
        <w:rPr>
          <w:rFonts w:ascii="Arial" w:cs="Arial" w:eastAsia="Arial" w:hAnsi="Arial"/>
          <w:sz w:val="16"/>
          <w:szCs w:val="16"/>
          <w:color w:val="auto"/>
        </w:rPr>
        <w:t>The Company’s cash, cash equivalents and short term investments totaled $275.5 million at March 31, 2016 as compared with $288.4 million at December 31, 2015 primarily reflecting the $23.0 million of cash generated from operations, which was more than offset by capital expenditures and content acquisitions of $8.4 million and by cash used to repurchase shares of approximately $27.8 million.</w:t>
      </w:r>
    </w:p>
    <w:p>
      <w:pPr>
        <w:spacing w:after="0" w:line="163" w:lineRule="exact"/>
        <w:rPr>
          <w:sz w:val="20"/>
          <w:szCs w:val="20"/>
          <w:color w:val="auto"/>
        </w:rPr>
      </w:pPr>
    </w:p>
    <w:p>
      <w:pPr>
        <w:jc w:val="both"/>
        <w:ind w:left="4" w:right="20"/>
        <w:spacing w:after="0" w:line="265" w:lineRule="auto"/>
        <w:rPr>
          <w:sz w:val="20"/>
          <w:szCs w:val="20"/>
          <w:color w:val="auto"/>
        </w:rPr>
      </w:pPr>
      <w:r>
        <w:rPr>
          <w:rFonts w:ascii="Arial" w:cs="Arial" w:eastAsia="Arial" w:hAnsi="Arial"/>
          <w:sz w:val="16"/>
          <w:szCs w:val="16"/>
          <w:color w:val="auto"/>
        </w:rPr>
        <w:t>Free cash flow was $14.6 million for the first quarter, a decrease of $3.9 million from the first quarter of 2015, as the improved operating performance was partially offset by increased spending on capital expenditures and content acquisitions as well as working capital fluctuations. Free cash flow is defined as cash provided by operating activities adjusted for capital expenditures and content acquisition.</w:t>
      </w:r>
    </w:p>
    <w:p>
      <w:pPr>
        <w:spacing w:after="0" w:line="159"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STOCK REPURCHASE PROGRAM</w:t>
      </w:r>
    </w:p>
    <w:p>
      <w:pPr>
        <w:spacing w:after="0" w:line="206" w:lineRule="exact"/>
        <w:rPr>
          <w:sz w:val="20"/>
          <w:szCs w:val="20"/>
          <w:color w:val="auto"/>
        </w:rPr>
      </w:pPr>
    </w:p>
    <w:p>
      <w:pPr>
        <w:jc w:val="both"/>
        <w:ind w:left="4"/>
        <w:spacing w:after="0" w:line="257" w:lineRule="auto"/>
        <w:rPr>
          <w:sz w:val="20"/>
          <w:szCs w:val="20"/>
          <w:color w:val="auto"/>
        </w:rPr>
      </w:pPr>
      <w:r>
        <w:rPr>
          <w:rFonts w:ascii="Arial" w:cs="Arial" w:eastAsia="Arial" w:hAnsi="Arial"/>
          <w:sz w:val="16"/>
          <w:szCs w:val="16"/>
          <w:color w:val="auto"/>
        </w:rPr>
        <w:t>During the first quarter of 2016, the Company repurchased approximately 881,000 shares of its stock, pursuant to its existing $100 million stock repurchase program, at an average price per share of $31.59 for a total of $27.8 million. Through March 31, 2016, the Company has repurchased 1.3 million shares of its stock for a total of $43.5 million under the stock repurchase program. The stock repurchase program, which commenced in November 2015, authorizes management to purchase shares from time to time through open market purchases or privately negotiated transactions at prevailing prices as permitted by securities laws and other legal requirements. The timing and amount of any shares repurchased will be determined by the Company’s management based on its evaluation of market conditions and other factors. The repurchase program may be suspended or discontinued at any time.</w:t>
      </w:r>
    </w:p>
    <w:p>
      <w:pPr>
        <w:spacing w:after="0" w:line="165"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OPERATING METRICS</w:t>
      </w:r>
    </w:p>
    <w:p>
      <w:pPr>
        <w:spacing w:after="0" w:line="227" w:lineRule="exact"/>
        <w:rPr>
          <w:sz w:val="20"/>
          <w:szCs w:val="20"/>
          <w:color w:val="auto"/>
        </w:rPr>
      </w:pPr>
    </w:p>
    <w:tbl>
      <w:tblPr>
        <w:tblLayout w:type="fixed"/>
        <w:tblInd w:w="4" w:type="dxa"/>
        <w:tblCellMar>
          <w:top w:w="0" w:type="dxa"/>
          <w:left w:w="0" w:type="dxa"/>
          <w:bottom w:w="0" w:type="dxa"/>
          <w:right w:w="0" w:type="dxa"/>
        </w:tblCellMar>
      </w:tblPr>
      <w:tr>
        <w:trPr>
          <w:trHeight w:val="153"/>
        </w:trPr>
        <w:tc>
          <w:tcPr>
            <w:tcW w:w="8120" w:type="dxa"/>
            <w:vAlign w:val="bottom"/>
          </w:tcPr>
          <w:p>
            <w:pPr>
              <w:spacing w:after="0"/>
              <w:rPr>
                <w:sz w:val="13"/>
                <w:szCs w:val="13"/>
                <w:color w:val="auto"/>
              </w:rPr>
            </w:pPr>
          </w:p>
        </w:tc>
        <w:tc>
          <w:tcPr>
            <w:tcW w:w="2900" w:type="dxa"/>
            <w:vAlign w:val="bottom"/>
            <w:tcBorders>
              <w:bottom w:val="single" w:sz="8" w:color="auto"/>
            </w:tcBorders>
            <w:gridSpan w:val="3"/>
          </w:tcPr>
          <w:p>
            <w:pPr>
              <w:jc w:val="center"/>
              <w:ind w:left="378"/>
              <w:spacing w:after="0"/>
              <w:rPr>
                <w:sz w:val="20"/>
                <w:szCs w:val="20"/>
                <w:color w:val="auto"/>
              </w:rPr>
            </w:pPr>
            <w:r>
              <w:rPr>
                <w:rFonts w:ascii="Arial" w:cs="Arial" w:eastAsia="Arial" w:hAnsi="Arial"/>
                <w:sz w:val="11"/>
                <w:szCs w:val="11"/>
                <w:b w:val="1"/>
                <w:bCs w:val="1"/>
                <w:color w:val="auto"/>
                <w:w w:val="94"/>
              </w:rPr>
              <w:t>Three Months Ended March 31,</w:t>
            </w:r>
          </w:p>
        </w:tc>
        <w:tc>
          <w:tcPr>
            <w:tcW w:w="420" w:type="dxa"/>
            <w:vAlign w:val="bottom"/>
            <w:tcBorders>
              <w:bottom w:val="single" w:sz="8" w:color="auto"/>
            </w:tcBorders>
          </w:tcPr>
          <w:p>
            <w:pPr>
              <w:spacing w:after="0"/>
              <w:rPr>
                <w:sz w:val="13"/>
                <w:szCs w:val="13"/>
                <w:color w:val="auto"/>
              </w:rPr>
            </w:pPr>
          </w:p>
        </w:tc>
      </w:tr>
      <w:tr>
        <w:trPr>
          <w:trHeight w:val="233"/>
        </w:trPr>
        <w:tc>
          <w:tcPr>
            <w:tcW w:w="8120" w:type="dxa"/>
            <w:vAlign w:val="bottom"/>
          </w:tcPr>
          <w:p>
            <w:pPr>
              <w:spacing w:after="0"/>
              <w:rPr>
                <w:sz w:val="20"/>
                <w:szCs w:val="20"/>
                <w:color w:val="auto"/>
              </w:rPr>
            </w:pPr>
          </w:p>
        </w:tc>
        <w:tc>
          <w:tcPr>
            <w:tcW w:w="1080" w:type="dxa"/>
            <w:vAlign w:val="bottom"/>
            <w:tcBorders>
              <w:bottom w:val="single" w:sz="8" w:color="auto"/>
            </w:tcBorders>
          </w:tcPr>
          <w:p>
            <w:pPr>
              <w:jc w:val="right"/>
              <w:ind w:right="98"/>
              <w:spacing w:after="0"/>
              <w:rPr>
                <w:sz w:val="20"/>
                <w:szCs w:val="20"/>
                <w:color w:val="auto"/>
              </w:rPr>
            </w:pPr>
            <w:r>
              <w:rPr>
                <w:rFonts w:ascii="Arial" w:cs="Arial" w:eastAsia="Arial" w:hAnsi="Arial"/>
                <w:sz w:val="11"/>
                <w:szCs w:val="11"/>
                <w:b w:val="1"/>
                <w:bCs w:val="1"/>
                <w:color w:val="auto"/>
              </w:rPr>
              <w:t>2016</w:t>
            </w:r>
          </w:p>
        </w:tc>
        <w:tc>
          <w:tcPr>
            <w:tcW w:w="5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96"/>
              <w:spacing w:after="0"/>
              <w:rPr>
                <w:sz w:val="20"/>
                <w:szCs w:val="20"/>
                <w:color w:val="auto"/>
              </w:rPr>
            </w:pPr>
            <w:r>
              <w:rPr>
                <w:rFonts w:ascii="Arial" w:cs="Arial" w:eastAsia="Arial" w:hAnsi="Arial"/>
                <w:sz w:val="11"/>
                <w:szCs w:val="11"/>
                <w:b w:val="1"/>
                <w:bCs w:val="1"/>
                <w:color w:val="auto"/>
              </w:rPr>
              <w:t>2015</w:t>
            </w:r>
          </w:p>
        </w:tc>
        <w:tc>
          <w:tcPr>
            <w:tcW w:w="420" w:type="dxa"/>
            <w:vAlign w:val="bottom"/>
            <w:tcBorders>
              <w:bottom w:val="single" w:sz="8" w:color="auto"/>
            </w:tcBorders>
          </w:tcPr>
          <w:p>
            <w:pPr>
              <w:spacing w:after="0"/>
              <w:rPr>
                <w:sz w:val="20"/>
                <w:szCs w:val="20"/>
                <w:color w:val="auto"/>
              </w:rPr>
            </w:pPr>
          </w:p>
        </w:tc>
      </w:tr>
      <w:tr>
        <w:trPr>
          <w:trHeight w:val="224"/>
        </w:trPr>
        <w:tc>
          <w:tcPr>
            <w:tcW w:w="8120" w:type="dxa"/>
            <w:vAlign w:val="bottom"/>
          </w:tcPr>
          <w:p>
            <w:pPr>
              <w:spacing w:after="0"/>
              <w:rPr>
                <w:sz w:val="19"/>
                <w:szCs w:val="19"/>
                <w:color w:val="auto"/>
              </w:rPr>
            </w:pPr>
          </w:p>
        </w:tc>
        <w:tc>
          <w:tcPr>
            <w:tcW w:w="2900" w:type="dxa"/>
            <w:vAlign w:val="bottom"/>
            <w:gridSpan w:val="3"/>
          </w:tcPr>
          <w:p>
            <w:pPr>
              <w:jc w:val="center"/>
              <w:ind w:left="378"/>
              <w:spacing w:after="0"/>
              <w:rPr>
                <w:sz w:val="20"/>
                <w:szCs w:val="20"/>
                <w:color w:val="auto"/>
              </w:rPr>
            </w:pPr>
            <w:r>
              <w:rPr>
                <w:rFonts w:ascii="Arial" w:cs="Arial" w:eastAsia="Arial" w:hAnsi="Arial"/>
                <w:sz w:val="13"/>
                <w:szCs w:val="13"/>
                <w:b w:val="1"/>
                <w:bCs w:val="1"/>
                <w:color w:val="auto"/>
                <w:w w:val="88"/>
              </w:rPr>
              <w:t>(in millions, except revenue per download)</w:t>
            </w:r>
          </w:p>
        </w:tc>
        <w:tc>
          <w:tcPr>
            <w:tcW w:w="420" w:type="dxa"/>
            <w:vAlign w:val="bottom"/>
          </w:tcPr>
          <w:p>
            <w:pPr>
              <w:spacing w:after="0"/>
              <w:rPr>
                <w:sz w:val="19"/>
                <w:szCs w:val="19"/>
                <w:color w:val="auto"/>
              </w:rPr>
            </w:pPr>
          </w:p>
        </w:tc>
      </w:tr>
      <w:tr>
        <w:trPr>
          <w:trHeight w:val="226"/>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Number of paid downloads</w:t>
            </w:r>
          </w:p>
        </w:tc>
        <w:tc>
          <w:tcPr>
            <w:tcW w:w="108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41.2</w:t>
            </w:r>
          </w:p>
        </w:tc>
        <w:tc>
          <w:tcPr>
            <w:tcW w:w="12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33.4</w:t>
            </w:r>
          </w:p>
        </w:tc>
      </w:tr>
      <w:tr>
        <w:trPr>
          <w:trHeight w:val="241"/>
        </w:trPr>
        <w:tc>
          <w:tcPr>
            <w:tcW w:w="8120" w:type="dxa"/>
            <w:vAlign w:val="bottom"/>
          </w:tcPr>
          <w:p>
            <w:pPr>
              <w:ind w:left="20"/>
              <w:spacing w:after="0"/>
              <w:rPr>
                <w:sz w:val="20"/>
                <w:szCs w:val="20"/>
                <w:color w:val="auto"/>
              </w:rPr>
            </w:pPr>
            <w:r>
              <w:rPr>
                <w:rFonts w:ascii="Arial" w:cs="Arial" w:eastAsia="Arial" w:hAnsi="Arial"/>
                <w:sz w:val="14"/>
                <w:szCs w:val="14"/>
                <w:color w:val="auto"/>
              </w:rPr>
              <w:t xml:space="preserve">Revenue per download </w:t>
            </w:r>
            <w:r>
              <w:rPr>
                <w:rFonts w:ascii="Arial" w:cs="Arial" w:eastAsia="Arial" w:hAnsi="Arial"/>
                <w:sz w:val="19"/>
                <w:szCs w:val="19"/>
                <w:b w:val="1"/>
                <w:bCs w:val="1"/>
                <w:color w:val="auto"/>
                <w:vertAlign w:val="superscript"/>
              </w:rPr>
              <w:t>(1)</w:t>
            </w:r>
          </w:p>
        </w:tc>
        <w:tc>
          <w:tcPr>
            <w:tcW w:w="1080" w:type="dxa"/>
            <w:vAlign w:val="bottom"/>
          </w:tcPr>
          <w:p>
            <w:pPr>
              <w:jc w:val="right"/>
              <w:ind w:right="918"/>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2.77</w:t>
            </w:r>
          </w:p>
        </w:tc>
        <w:tc>
          <w:tcPr>
            <w:tcW w:w="1280" w:type="dxa"/>
            <w:vAlign w:val="bottom"/>
          </w:tcPr>
          <w:p>
            <w:pPr>
              <w:jc w:val="right"/>
              <w:ind w:right="1016"/>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48"/>
              <w:spacing w:after="0"/>
              <w:rPr>
                <w:sz w:val="20"/>
                <w:szCs w:val="20"/>
                <w:color w:val="auto"/>
              </w:rPr>
            </w:pPr>
            <w:r>
              <w:rPr>
                <w:rFonts w:ascii="Arial" w:cs="Arial" w:eastAsia="Arial" w:hAnsi="Arial"/>
                <w:sz w:val="14"/>
                <w:szCs w:val="14"/>
                <w:color w:val="auto"/>
              </w:rPr>
              <w:t>2.87</w:t>
            </w:r>
          </w:p>
        </w:tc>
      </w:tr>
      <w:tr>
        <w:trPr>
          <w:trHeight w:val="241"/>
        </w:trPr>
        <w:tc>
          <w:tcPr>
            <w:tcW w:w="8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Images in our collection (end of period) </w:t>
            </w:r>
            <w:r>
              <w:rPr>
                <w:rFonts w:ascii="Arial" w:cs="Arial" w:eastAsia="Arial" w:hAnsi="Arial"/>
                <w:sz w:val="19"/>
                <w:szCs w:val="19"/>
                <w:color w:val="auto"/>
                <w:vertAlign w:val="superscript"/>
              </w:rPr>
              <w:t>(2)</w:t>
            </w:r>
          </w:p>
        </w:tc>
        <w:tc>
          <w:tcPr>
            <w:tcW w:w="108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81.0</w:t>
            </w:r>
          </w:p>
        </w:tc>
        <w:tc>
          <w:tcPr>
            <w:tcW w:w="128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51.6</w:t>
            </w:r>
          </w:p>
        </w:tc>
      </w:tr>
      <w:tr>
        <w:trPr>
          <w:trHeight w:val="149"/>
        </w:trPr>
        <w:tc>
          <w:tcPr>
            <w:tcW w:w="8120" w:type="dxa"/>
            <w:vAlign w:val="bottom"/>
          </w:tcPr>
          <w:p>
            <w:pPr>
              <w:jc w:val="right"/>
              <w:ind w:right="2314"/>
              <w:spacing w:after="0"/>
              <w:rPr>
                <w:sz w:val="20"/>
                <w:szCs w:val="20"/>
                <w:color w:val="auto"/>
              </w:rPr>
            </w:pPr>
            <w:r>
              <w:rPr>
                <w:rFonts w:ascii="Arial" w:cs="Arial" w:eastAsia="Arial" w:hAnsi="Arial"/>
                <w:sz w:val="10"/>
                <w:szCs w:val="10"/>
                <w:color w:val="auto"/>
                <w:w w:val="86"/>
              </w:rPr>
              <w:t>_______________________________________________________________________________________________________________________</w:t>
            </w:r>
          </w:p>
        </w:tc>
        <w:tc>
          <w:tcPr>
            <w:tcW w:w="10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20" w:type="dxa"/>
            <w:vAlign w:val="bottom"/>
          </w:tcPr>
          <w:p>
            <w:pPr>
              <w:spacing w:after="0"/>
              <w:rPr>
                <w:sz w:val="12"/>
                <w:szCs w:val="12"/>
                <w:color w:val="auto"/>
              </w:rPr>
            </w:pPr>
          </w:p>
        </w:tc>
      </w:tr>
    </w:tbl>
    <w:p>
      <w:pPr>
        <w:spacing w:after="0" w:line="28" w:lineRule="exact"/>
        <w:rPr>
          <w:sz w:val="20"/>
          <w:szCs w:val="20"/>
          <w:color w:val="auto"/>
        </w:rPr>
      </w:pPr>
    </w:p>
    <w:p>
      <w:pPr>
        <w:ind w:left="224" w:hanging="224"/>
        <w:spacing w:after="0"/>
        <w:tabs>
          <w:tab w:leader="none" w:pos="224" w:val="left"/>
        </w:tabs>
        <w:numPr>
          <w:ilvl w:val="0"/>
          <w:numId w:val="4"/>
        </w:numPr>
        <w:rPr>
          <w:rFonts w:ascii="Arial" w:cs="Arial" w:eastAsia="Arial" w:hAnsi="Arial"/>
          <w:sz w:val="13"/>
          <w:szCs w:val="13"/>
          <w:color w:val="auto"/>
        </w:rPr>
      </w:pPr>
      <w:r>
        <w:rPr>
          <w:rFonts w:ascii="Arial" w:cs="Arial" w:eastAsia="Arial" w:hAnsi="Arial"/>
          <w:sz w:val="13"/>
          <w:szCs w:val="13"/>
          <w:color w:val="auto"/>
        </w:rPr>
        <w:t>Revenue per download metric excludes the impact of revenue not associated with content downloads.</w:t>
      </w:r>
    </w:p>
    <w:p>
      <w:pPr>
        <w:spacing w:after="0" w:line="5" w:lineRule="exact"/>
        <w:rPr>
          <w:rFonts w:ascii="Arial" w:cs="Arial" w:eastAsia="Arial" w:hAnsi="Arial"/>
          <w:sz w:val="13"/>
          <w:szCs w:val="13"/>
          <w:color w:val="auto"/>
        </w:rPr>
      </w:pPr>
    </w:p>
    <w:p>
      <w:pPr>
        <w:ind w:left="4" w:right="580" w:hanging="4"/>
        <w:spacing w:after="0" w:line="238" w:lineRule="auto"/>
        <w:tabs>
          <w:tab w:leader="none" w:pos="186" w:val="left"/>
        </w:tabs>
        <w:numPr>
          <w:ilvl w:val="0"/>
          <w:numId w:val="4"/>
        </w:numPr>
        <w:rPr>
          <w:rFonts w:ascii="Arial" w:cs="Arial" w:eastAsia="Arial" w:hAnsi="Arial"/>
          <w:sz w:val="13"/>
          <w:szCs w:val="13"/>
          <w:color w:val="auto"/>
        </w:rPr>
      </w:pPr>
      <w:r>
        <w:rPr>
          <w:rFonts w:ascii="Arial" w:cs="Arial" w:eastAsia="Arial" w:hAnsi="Arial"/>
          <w:sz w:val="13"/>
          <w:szCs w:val="13"/>
          <w:color w:val="auto"/>
        </w:rPr>
        <w:t>Images are photographs, vectors and illustrations available on shutterstock.com at the end of the period. We exclude content that is not uploaded directly to our site but is available to our customers through an application program interface and certain images that may be licensed for editorial use only.</w:t>
      </w:r>
    </w:p>
    <w:p>
      <w:pPr>
        <w:sectPr>
          <w:pgSz w:w="11900" w:h="16838" w:orient="portrait"/>
          <w:cols w:equalWidth="0" w:num="1">
            <w:col w:w="11444"/>
          </w:cols>
          <w:pgMar w:left="236" w:top="726" w:right="219" w:bottom="1440" w:gutter="0" w:footer="0" w:header="0"/>
        </w:sectPr>
      </w:pPr>
    </w:p>
    <w:bookmarkStart w:id="7" w:name="page8"/>
    <w:bookmarkEnd w:id="7"/>
    <w:p>
      <w:pPr>
        <w:spacing w:after="0"/>
        <w:rPr>
          <w:sz w:val="20"/>
          <w:szCs w:val="20"/>
          <w:color w:val="auto"/>
        </w:rPr>
      </w:pPr>
      <w:r>
        <w:rPr>
          <w:rFonts w:ascii="Arial" w:cs="Arial" w:eastAsia="Arial" w:hAnsi="Arial"/>
          <w:sz w:val="16"/>
          <w:szCs w:val="16"/>
          <w:b w:val="1"/>
          <w:bCs w:val="1"/>
          <w:color w:val="auto"/>
        </w:rPr>
        <w:t>FINANCIAL OUTLOOK</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The Company’s current expectations for the full year 2016 remain as follows: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Full Year 2016</w:t>
      </w:r>
    </w:p>
    <w:p>
      <w:pPr>
        <w:spacing w:after="0" w:line="202" w:lineRule="exact"/>
        <w:rPr>
          <w:sz w:val="20"/>
          <w:szCs w:val="20"/>
          <w:color w:val="auto"/>
        </w:rPr>
      </w:pPr>
    </w:p>
    <w:p>
      <w:pPr>
        <w:ind w:left="580" w:hanging="294"/>
        <w:spacing w:after="0"/>
        <w:tabs>
          <w:tab w:leader="none" w:pos="58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Revenue of $495 - $510 million (17% - 20% growth)</w:t>
      </w:r>
    </w:p>
    <w:p>
      <w:pPr>
        <w:spacing w:after="0" w:line="21" w:lineRule="exact"/>
        <w:rPr>
          <w:rFonts w:ascii="Arial" w:cs="Arial" w:eastAsia="Arial" w:hAnsi="Arial"/>
          <w:sz w:val="16"/>
          <w:szCs w:val="16"/>
          <w:color w:val="auto"/>
        </w:rPr>
      </w:pPr>
    </w:p>
    <w:p>
      <w:pPr>
        <w:ind w:left="580" w:hanging="294"/>
        <w:spacing w:after="0"/>
        <w:tabs>
          <w:tab w:leader="none" w:pos="580" w:val="left"/>
        </w:tabs>
        <w:numPr>
          <w:ilvl w:val="0"/>
          <w:numId w:val="5"/>
        </w:numPr>
        <w:rPr>
          <w:rFonts w:ascii="Arial" w:cs="Arial" w:eastAsia="Arial" w:hAnsi="Arial"/>
          <w:sz w:val="16"/>
          <w:szCs w:val="16"/>
          <w:color w:val="auto"/>
        </w:rPr>
      </w:pPr>
      <w:r>
        <w:rPr>
          <w:rFonts w:ascii="Arial" w:cs="Arial" w:eastAsia="Arial" w:hAnsi="Arial"/>
          <w:sz w:val="16"/>
          <w:szCs w:val="16"/>
          <w:color w:val="auto"/>
        </w:rPr>
        <w:t>Adjusted EBITDA of $95 - $100 million (12% - 18% growth)</w:t>
      </w:r>
    </w:p>
    <w:p>
      <w:pPr>
        <w:spacing w:after="0" w:line="9" w:lineRule="exact"/>
        <w:rPr>
          <w:rFonts w:ascii="Arial" w:cs="Arial" w:eastAsia="Arial" w:hAnsi="Arial"/>
          <w:sz w:val="16"/>
          <w:szCs w:val="16"/>
          <w:color w:val="auto"/>
        </w:rPr>
      </w:pPr>
    </w:p>
    <w:p>
      <w:pPr>
        <w:ind w:left="580" w:hanging="294"/>
        <w:spacing w:after="0"/>
        <w:tabs>
          <w:tab w:leader="none" w:pos="580" w:val="left"/>
        </w:tabs>
        <w:numPr>
          <w:ilvl w:val="0"/>
          <w:numId w:val="5"/>
        </w:numPr>
        <w:rPr>
          <w:rFonts w:ascii="Arial" w:cs="Arial" w:eastAsia="Arial" w:hAnsi="Arial"/>
          <w:sz w:val="14"/>
          <w:szCs w:val="14"/>
          <w:color w:val="auto"/>
        </w:rPr>
      </w:pPr>
      <w:r>
        <w:rPr>
          <w:rFonts w:ascii="Arial" w:cs="Arial" w:eastAsia="Arial" w:hAnsi="Arial"/>
          <w:sz w:val="14"/>
          <w:szCs w:val="14"/>
          <w:color w:val="auto"/>
        </w:rPr>
        <w:t>Non-cash equity-based compensation expense of approximately $35 million</w:t>
      </w:r>
    </w:p>
    <w:p>
      <w:pPr>
        <w:spacing w:after="0" w:line="32" w:lineRule="exact"/>
        <w:rPr>
          <w:rFonts w:ascii="Arial" w:cs="Arial" w:eastAsia="Arial" w:hAnsi="Arial"/>
          <w:sz w:val="14"/>
          <w:szCs w:val="14"/>
          <w:color w:val="auto"/>
        </w:rPr>
      </w:pPr>
    </w:p>
    <w:p>
      <w:pPr>
        <w:ind w:left="580" w:hanging="294"/>
        <w:spacing w:after="0"/>
        <w:tabs>
          <w:tab w:leader="none" w:pos="580" w:val="left"/>
        </w:tabs>
        <w:numPr>
          <w:ilvl w:val="0"/>
          <w:numId w:val="5"/>
        </w:numPr>
        <w:rPr>
          <w:rFonts w:ascii="Arial" w:cs="Arial" w:eastAsia="Arial" w:hAnsi="Arial"/>
          <w:sz w:val="16"/>
          <w:szCs w:val="16"/>
          <w:color w:val="auto"/>
        </w:rPr>
      </w:pPr>
      <w:r>
        <w:rPr>
          <w:rFonts w:ascii="Arial" w:cs="Arial" w:eastAsia="Arial" w:hAnsi="Arial"/>
          <w:sz w:val="16"/>
          <w:szCs w:val="16"/>
          <w:color w:val="auto"/>
        </w:rPr>
        <w:t>Capital expenditures of approximately $25 million</w:t>
      </w:r>
    </w:p>
    <w:p>
      <w:pPr>
        <w:sectPr>
          <w:pgSz w:w="11900" w:h="16838" w:orient="portrait"/>
          <w:cols w:equalWidth="0" w:num="1">
            <w:col w:w="10219"/>
          </w:cols>
          <w:pgMar w:left="240" w:top="533" w:right="1440" w:bottom="1440" w:gutter="0" w:footer="0" w:header="0"/>
        </w:sectPr>
      </w:pPr>
    </w:p>
    <w:bookmarkStart w:id="8" w:name="page9"/>
    <w:bookmarkEnd w:id="8"/>
    <w:p>
      <w:pPr>
        <w:spacing w:after="0"/>
        <w:rPr>
          <w:sz w:val="20"/>
          <w:szCs w:val="20"/>
          <w:color w:val="auto"/>
        </w:rPr>
      </w:pPr>
      <w:r>
        <w:rPr>
          <w:rFonts w:ascii="Arial" w:cs="Arial" w:eastAsia="Arial" w:hAnsi="Arial"/>
          <w:sz w:val="16"/>
          <w:szCs w:val="16"/>
          <w:b w:val="1"/>
          <w:bCs w:val="1"/>
          <w:color w:val="auto"/>
        </w:rPr>
        <w:t>NON-GAAP FINANCIAL MEASURES</w:t>
      </w:r>
    </w:p>
    <w:p>
      <w:pPr>
        <w:spacing w:after="0" w:line="206" w:lineRule="exact"/>
        <w:rPr>
          <w:sz w:val="20"/>
          <w:szCs w:val="20"/>
          <w:color w:val="auto"/>
        </w:rPr>
      </w:pPr>
    </w:p>
    <w:p>
      <w:pPr>
        <w:jc w:val="both"/>
        <w:spacing w:after="0" w:line="295" w:lineRule="auto"/>
        <w:rPr>
          <w:sz w:val="20"/>
          <w:szCs w:val="20"/>
          <w:color w:val="auto"/>
        </w:rPr>
      </w:pPr>
      <w:r>
        <w:rPr>
          <w:rFonts w:ascii="Arial" w:cs="Arial" w:eastAsia="Arial" w:hAnsi="Arial"/>
          <w:sz w:val="14"/>
          <w:szCs w:val="14"/>
          <w:color w:val="auto"/>
        </w:rPr>
        <w:t>Shutterstock considers Adjusted EBITDA, non-GAAP net income, and free cash flow to be important financial indicators of the Company’s operational strength and the performance of its business. Shutterstock defines Adjusted EBITDA as net income adjusted for foreign currency transaction gains and losses, changes in fair value of contingent consideration related to acquisitions, interest income and expense, income taxes, depreciation, amortization, disposals and non-cash equity-based compensation; non-GAAP net income as net income excluding the after tax impact of non-cash equity-based compensation, the amortization of acquisition related intangible assets and changes in the fair value of contingent consideration related to acquisitions; and free cash flow as cash provided by/(used in) operating activities adjusted for capital expenditures and content acquisition. These figures have not been calculated in accordance with United States generally accepted accounting principles (GAAP) and should be considered in addition to results prepared in accordance with GAAP and should not be considered as a substitute for, or superior to, GAAP results. In addition, Adjusted EBITDA, non-GAAP net income, and free cash flow should not be construed as indicators of our operating performance, liquidity or cash flows generated by operating, investing and financing activities, as there may be significant factors or trends that they fail to address. We caution investors that non-GAAP financial information, by its nature, departs from traditional accounting conventions; accordingly, its use can make it difficult to compare our current results with our results from other reporting periods and with the results of other companies.</w:t>
      </w:r>
    </w:p>
    <w:p>
      <w:pPr>
        <w:spacing w:after="0" w:line="14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A reconciliation of the differences between Adjusted EBITDA, non-GAAP net income, and free cash flow, and the most comparable financial measure calculated and presented in accordance with GAAP, is presented under the heading “Reconciliation of Non-GAAP Financial Information to GAAP” immediately following the Consolidated Balance Sheets.</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EARNINGS TELECONFERENCE INFORMATION</w:t>
      </w:r>
    </w:p>
    <w:p>
      <w:pPr>
        <w:spacing w:after="0" w:line="20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Company will discuss its first quarter financial results during a teleconference today, May 4, 2016, at 8:30 AM ET. The conference call can be accessed in the U.S. at (877) 306-0077 or outside the U.S. at (678) 562-4243 with the conference ID# 82816060. A live audio webcast of the call will also be available simultaneously at http://investor.shutterstock.com.</w:t>
      </w:r>
    </w:p>
    <w:p>
      <w:pPr>
        <w:spacing w:after="0" w:line="163"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Following completion of the call, a recorded replay of the webcast will be available in the investor relations section of Shutterstock’s website. A telephone replay of the call will also be available until May 11, 2016 in the U.S. at (855) 859-2056 or outside the U.S. at (404) 537-3406 with the conference ID# 82816060.</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Additional investor information can be accessed at http://investor.shutterstock.com.</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SHUTTERSTOCK</w:t>
      </w:r>
    </w:p>
    <w:p>
      <w:pPr>
        <w:spacing w:after="0" w:line="20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Shutterstock, Inc. (NYSE: SSTK) is a leading global provider of high-quality licensed photographs, vectors, illustrations, videos and music to businesses, marketing agencies and media organizations around the world. Working with its growing community of over 100,000 contributors, Shutterstock adds hundreds of thousands of images each week, and currently has more than 80 million images and over 4 million video clips available.</w:t>
      </w:r>
    </w:p>
    <w:p>
      <w:pPr>
        <w:spacing w:after="0" w:line="163"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Headquartered in New York City, with offices in Amsterdam, Berlin, Chicago, Dallas, Denver, London, Los Angeles, Montreal, Paris, San Francisco and Silicon Valley, Shutterstock has customers in more than 150 countries. The Company also owns Bigstock, a value-oriented stock media agency; Offset, a high-end image collection; PremiumBeat a curated royalty-free music library; Rex Features, a premier source of editorial images for the world’s media; and WebDAM, a cloud-based digital asset management service for businesses.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For more information, please visit www.shutterstock.com, and follow Shutterstock on Twitter or Facebook.</w:t>
      </w:r>
    </w:p>
    <w:p>
      <w:pPr>
        <w:sectPr>
          <w:pgSz w:w="11900" w:h="16838" w:orient="portrait"/>
          <w:cols w:equalWidth="0" w:num="1">
            <w:col w:w="11420"/>
          </w:cols>
          <w:pgMar w:left="240" w:top="533" w:right="239" w:bottom="1440" w:gutter="0" w:footer="0" w:header="0"/>
        </w:sectPr>
      </w:pPr>
    </w:p>
    <w:bookmarkStart w:id="9" w:name="page10"/>
    <w:bookmarkEnd w:id="9"/>
    <w:p>
      <w:pPr>
        <w:spacing w:after="0"/>
        <w:rPr>
          <w:sz w:val="20"/>
          <w:szCs w:val="20"/>
          <w:color w:val="auto"/>
        </w:rPr>
      </w:pPr>
      <w:r>
        <w:rPr>
          <w:rFonts w:ascii="Arial" w:cs="Arial" w:eastAsia="Arial" w:hAnsi="Arial"/>
          <w:sz w:val="16"/>
          <w:szCs w:val="16"/>
          <w:b w:val="1"/>
          <w:bCs w:val="1"/>
          <w:color w:val="auto"/>
        </w:rPr>
        <w:t>SAFE HARBOR PROVISION</w:t>
      </w:r>
    </w:p>
    <w:p>
      <w:pPr>
        <w:spacing w:after="0" w:line="206" w:lineRule="exact"/>
        <w:rPr>
          <w:sz w:val="20"/>
          <w:szCs w:val="20"/>
          <w:color w:val="auto"/>
        </w:rPr>
      </w:pPr>
    </w:p>
    <w:p>
      <w:pPr>
        <w:jc w:val="both"/>
        <w:spacing w:after="0" w:line="271" w:lineRule="auto"/>
        <w:rPr>
          <w:sz w:val="20"/>
          <w:szCs w:val="20"/>
          <w:color w:val="auto"/>
        </w:rPr>
      </w:pPr>
      <w:r>
        <w:rPr>
          <w:rFonts w:ascii="Arial" w:cs="Arial" w:eastAsia="Arial" w:hAnsi="Arial"/>
          <w:sz w:val="15"/>
          <w:szCs w:val="15"/>
          <w:color w:val="auto"/>
        </w:rPr>
        <w:t>Statements in this press release regarding management’s future expectations, predictions, beliefs, goals, intentions, plans, prospects or strategies, including statements regarding Shutterstock’s future financial and operating performance on both a GAAP and non-GAAP basis and statements regarding Shutterstock’s ability to drive long-term value, may constitute forward looking statements within the meaning of the Private Securities Litigation Reform Act of 1995 and other federal securities laws. Such forward-looking statements involve known and unknown risks, uncertainties and other factors including risks related to any unforeseen changes to or the effects on liabilities, financial condition, future capital expenditures, revenue, expenses, net income or loss, synergies and future prospects; our inability to continue to attract and retain customers and contributors to our online marketplace for commercial digital imagery and music; a decrease in repeat customer purchases or in content contributed to our online marketplace; our inability to successfully operate in a new and rapidly changing market and to evaluate our future prospects; competitive factors; assertions by third parties of infringement or other violations of intellectual property rights by Shutterstock; our inability to increase market awareness of Shutterstock and our services; our inability to effectively manage our growth: failure to respond to technological changes or upgrade Shutterstock’s website and technology systems; Shutterstock’s inability to increase the percentage of its revenues that come from larger companies; our inability to continue expansion into international markets and the additional risks associated with operating internationally, including fluctuations in currency exchange rates; general economic conditions worldwide; our ability to successfully integrate acquisitions and the associated technology and achieve operational efficiencies; and other factors and risks discussed under the heading “Risk Factors” in our most recent Annual Report on Form 10-K, as well as in other documents that may be filed by Shutterstock from time to time with the Securities and Exchange Commission. As a result of such risks, uncertainties and factors, Shutterstock’s actual results may differ materially from any future results, performance or achievements discussed in or implied by the forward-looking statements contained herein. Shutterstock is providing the information in this press release as of this date and assumes no obligation to update the information included in this press release or revise any forward-looking statements, whether as a result of new information, future developments or otherwise.</w:t>
      </w:r>
    </w:p>
    <w:p>
      <w:pPr>
        <w:sectPr>
          <w:pgSz w:w="11900" w:h="16838" w:orient="portrait"/>
          <w:cols w:equalWidth="0" w:num="1">
            <w:col w:w="11420"/>
          </w:cols>
          <w:pgMar w:left="240" w:top="533" w:right="239" w:bottom="1440" w:gutter="0" w:footer="0" w:header="0"/>
        </w:sectPr>
      </w:pPr>
    </w:p>
    <w:p>
      <w:pPr>
        <w:spacing w:after="0" w:line="305"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Media Contact:</w:t>
      </w:r>
    </w:p>
    <w:p>
      <w:pPr>
        <w:spacing w:after="0" w:line="20" w:lineRule="exact"/>
        <w:rPr>
          <w:sz w:val="20"/>
          <w:szCs w:val="20"/>
          <w:color w:val="auto"/>
        </w:rPr>
      </w:pPr>
      <w:r>
        <w:rPr>
          <w:sz w:val="20"/>
          <w:szCs w:val="20"/>
          <w:color w:val="auto"/>
        </w:rPr>
        <w:br w:type="column"/>
      </w: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Investor Contact:</w:t>
      </w:r>
    </w:p>
    <w:p>
      <w:pPr>
        <w:spacing w:after="0" w:line="80" w:lineRule="exact"/>
        <w:rPr>
          <w:sz w:val="20"/>
          <w:szCs w:val="20"/>
          <w:color w:val="auto"/>
        </w:rPr>
      </w:pPr>
    </w:p>
    <w:p>
      <w:pPr>
        <w:sectPr>
          <w:pgSz w:w="11900" w:h="16838" w:orient="portrait"/>
          <w:cols w:equalWidth="0" w:num="2">
            <w:col w:w="2960" w:space="720"/>
            <w:col w:w="7740"/>
          </w:cols>
          <w:pgMar w:left="240" w:top="533" w:right="239" w:bottom="1440" w:gutter="0" w:footer="0" w:header="0"/>
          <w:type w:val="continuous"/>
        </w:sectPr>
      </w:pPr>
    </w:p>
    <w:p>
      <w:pPr>
        <w:ind w:left="20"/>
        <w:spacing w:after="0"/>
        <w:rPr>
          <w:sz w:val="20"/>
          <w:szCs w:val="20"/>
          <w:color w:val="auto"/>
        </w:rPr>
      </w:pPr>
      <w:r>
        <w:rPr>
          <w:rFonts w:ascii="Arial" w:cs="Arial" w:eastAsia="Arial" w:hAnsi="Arial"/>
          <w:sz w:val="14"/>
          <w:szCs w:val="14"/>
          <w:b w:val="1"/>
          <w:bCs w:val="1"/>
          <w:color w:val="auto"/>
        </w:rPr>
        <w:t>Niamh Hughes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b w:val="1"/>
          <w:bCs w:val="1"/>
          <w:color w:val="auto"/>
        </w:rPr>
        <w:t>Craig Felenstein</w:t>
      </w:r>
    </w:p>
    <w:p>
      <w:pPr>
        <w:spacing w:after="0" w:line="84" w:lineRule="exact"/>
        <w:rPr>
          <w:sz w:val="20"/>
          <w:szCs w:val="20"/>
          <w:color w:val="auto"/>
        </w:rPr>
      </w:pPr>
    </w:p>
    <w:p>
      <w:pPr>
        <w:sectPr>
          <w:pgSz w:w="11900" w:h="16838" w:orient="portrait"/>
          <w:cols w:equalWidth="0" w:num="2">
            <w:col w:w="2960" w:space="720"/>
            <w:col w:w="7740"/>
          </w:cols>
          <w:pgMar w:left="240" w:top="533" w:right="239" w:bottom="1440" w:gutter="0" w:footer="0" w:header="0"/>
          <w:type w:val="continuous"/>
        </w:sectPr>
      </w:pPr>
    </w:p>
    <w:p>
      <w:pPr>
        <w:ind w:left="20"/>
        <w:spacing w:after="0"/>
        <w:rPr>
          <w:sz w:val="20"/>
          <w:szCs w:val="20"/>
          <w:color w:val="auto"/>
        </w:rPr>
      </w:pPr>
      <w:r>
        <w:rPr>
          <w:rFonts w:ascii="Arial" w:cs="Arial" w:eastAsia="Arial" w:hAnsi="Arial"/>
          <w:sz w:val="14"/>
          <w:szCs w:val="14"/>
          <w:color w:val="auto"/>
        </w:rPr>
        <w:t>917 563 4991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212 598 9440</w:t>
      </w:r>
    </w:p>
    <w:p>
      <w:pPr>
        <w:spacing w:after="0" w:line="80" w:lineRule="exact"/>
        <w:rPr>
          <w:sz w:val="20"/>
          <w:szCs w:val="20"/>
          <w:color w:val="auto"/>
        </w:rPr>
      </w:pPr>
    </w:p>
    <w:p>
      <w:pPr>
        <w:sectPr>
          <w:pgSz w:w="11900" w:h="16838" w:orient="portrait"/>
          <w:cols w:equalWidth="0" w:num="2">
            <w:col w:w="2960" w:space="720"/>
            <w:col w:w="7740"/>
          </w:cols>
          <w:pgMar w:left="240" w:top="533" w:right="239" w:bottom="1440" w:gutter="0" w:footer="0" w:header="0"/>
          <w:type w:val="continuous"/>
        </w:sectPr>
      </w:pPr>
    </w:p>
    <w:p>
      <w:pPr>
        <w:ind w:left="20"/>
        <w:spacing w:after="0"/>
        <w:rPr>
          <w:sz w:val="20"/>
          <w:szCs w:val="20"/>
          <w:color w:val="auto"/>
        </w:rPr>
      </w:pPr>
      <w:r>
        <w:rPr>
          <w:rFonts w:ascii="Arial" w:cs="Arial" w:eastAsia="Arial" w:hAnsi="Arial"/>
          <w:sz w:val="14"/>
          <w:szCs w:val="14"/>
          <w:color w:val="auto"/>
        </w:rPr>
        <w:t>press@shutterstock.com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ir@shutterstock.com</w:t>
      </w:r>
    </w:p>
    <w:p>
      <w:pPr>
        <w:sectPr>
          <w:pgSz w:w="11900" w:h="16838" w:orient="portrait"/>
          <w:cols w:equalWidth="0" w:num="2">
            <w:col w:w="2960" w:space="720"/>
            <w:col w:w="7740"/>
          </w:cols>
          <w:pgMar w:left="240" w:top="533" w:right="239" w:bottom="1440" w:gutter="0" w:footer="0" w:header="0"/>
          <w:type w:val="continuous"/>
        </w:sectPr>
      </w:pPr>
    </w:p>
    <w:bookmarkStart w:id="10" w:name="page11"/>
    <w:bookmarkEnd w:id="10"/>
    <w:p>
      <w:pPr>
        <w:jc w:val="center"/>
        <w:ind w:right="20"/>
        <w:spacing w:after="0"/>
        <w:rPr>
          <w:sz w:val="20"/>
          <w:szCs w:val="20"/>
          <w:color w:val="auto"/>
        </w:rPr>
      </w:pPr>
      <w:r>
        <w:rPr>
          <w:rFonts w:ascii="Arial" w:cs="Arial" w:eastAsia="Arial" w:hAnsi="Arial"/>
          <w:sz w:val="16"/>
          <w:szCs w:val="16"/>
          <w:b w:val="1"/>
          <w:bCs w:val="1"/>
          <w:color w:val="auto"/>
        </w:rPr>
        <w:t>Shutterstock, Inc.</w:t>
      </w:r>
    </w:p>
    <w:p>
      <w:pPr>
        <w:spacing w:after="0" w:line="25" w:lineRule="exact"/>
        <w:rPr>
          <w:sz w:val="20"/>
          <w:szCs w:val="20"/>
          <w:color w:val="auto"/>
        </w:rPr>
      </w:pPr>
    </w:p>
    <w:p>
      <w:pPr>
        <w:ind w:left="4380"/>
        <w:spacing w:after="0"/>
        <w:rPr>
          <w:sz w:val="20"/>
          <w:szCs w:val="20"/>
          <w:color w:val="auto"/>
        </w:rPr>
      </w:pPr>
      <w:r>
        <w:rPr>
          <w:rFonts w:ascii="Arial" w:cs="Arial" w:eastAsia="Arial" w:hAnsi="Arial"/>
          <w:sz w:val="16"/>
          <w:szCs w:val="16"/>
          <w:b w:val="1"/>
          <w:bCs w:val="1"/>
          <w:color w:val="auto"/>
        </w:rPr>
        <w:t>Consolidated Statements of Operations</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(In thousands, except for per share data)</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(unaudited)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360" w:type="dxa"/>
            <w:vAlign w:val="bottom"/>
          </w:tcPr>
          <w:p>
            <w:pPr>
              <w:spacing w:after="0"/>
              <w:rPr>
                <w:sz w:val="14"/>
                <w:szCs w:val="14"/>
                <w:color w:val="auto"/>
              </w:rPr>
            </w:pPr>
          </w:p>
        </w:tc>
        <w:tc>
          <w:tcPr>
            <w:tcW w:w="2520" w:type="dxa"/>
            <w:vAlign w:val="bottom"/>
            <w:tcBorders>
              <w:bottom w:val="single" w:sz="8" w:color="auto"/>
            </w:tcBorders>
            <w:gridSpan w:val="4"/>
          </w:tcPr>
          <w:p>
            <w:pPr>
              <w:jc w:val="right"/>
              <w:ind w:right="29"/>
              <w:spacing w:after="0"/>
              <w:rPr>
                <w:sz w:val="20"/>
                <w:szCs w:val="20"/>
                <w:color w:val="auto"/>
              </w:rPr>
            </w:pPr>
            <w:r>
              <w:rPr>
                <w:rFonts w:ascii="Arial" w:cs="Arial" w:eastAsia="Arial" w:hAnsi="Arial"/>
                <w:sz w:val="13"/>
                <w:szCs w:val="13"/>
                <w:b w:val="1"/>
                <w:bCs w:val="1"/>
                <w:color w:val="auto"/>
              </w:rPr>
              <w:t>Three Months Ended March 31,</w:t>
            </w:r>
          </w:p>
        </w:tc>
        <w:tc>
          <w:tcPr>
            <w:tcW w:w="560" w:type="dxa"/>
            <w:vAlign w:val="bottom"/>
            <w:tcBorders>
              <w:bottom w:val="single" w:sz="8" w:color="auto"/>
            </w:tcBorders>
          </w:tcPr>
          <w:p>
            <w:pPr>
              <w:spacing w:after="0"/>
              <w:rPr>
                <w:sz w:val="14"/>
                <w:szCs w:val="14"/>
                <w:color w:val="auto"/>
              </w:rPr>
            </w:pPr>
          </w:p>
        </w:tc>
      </w:tr>
      <w:tr>
        <w:trPr>
          <w:trHeight w:val="233"/>
        </w:trPr>
        <w:tc>
          <w:tcPr>
            <w:tcW w:w="8360" w:type="dxa"/>
            <w:vAlign w:val="bottom"/>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2016</w:t>
            </w:r>
          </w:p>
        </w:tc>
        <w:tc>
          <w:tcPr>
            <w:tcW w:w="6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2015</w:t>
            </w:r>
          </w:p>
        </w:tc>
        <w:tc>
          <w:tcPr>
            <w:tcW w:w="560" w:type="dxa"/>
            <w:vAlign w:val="bottom"/>
            <w:tcBorders>
              <w:bottom w:val="single" w:sz="8" w:color="auto"/>
            </w:tcBorders>
          </w:tcPr>
          <w:p>
            <w:pPr>
              <w:spacing w:after="0"/>
              <w:rPr>
                <w:sz w:val="20"/>
                <w:szCs w:val="20"/>
                <w:color w:val="auto"/>
              </w:rPr>
            </w:pPr>
          </w:p>
        </w:tc>
      </w:tr>
      <w:tr>
        <w:trPr>
          <w:trHeight w:val="263"/>
        </w:trPr>
        <w:tc>
          <w:tcPr>
            <w:tcW w:w="83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60" w:type="dxa"/>
            <w:vAlign w:val="bottom"/>
          </w:tcPr>
          <w:p>
            <w:pPr>
              <w:spacing w:after="0"/>
              <w:rPr>
                <w:sz w:val="22"/>
                <w:szCs w:val="22"/>
                <w:color w:val="auto"/>
              </w:rPr>
            </w:pPr>
          </w:p>
        </w:tc>
      </w:tr>
      <w:tr>
        <w:trPr>
          <w:trHeight w:val="241"/>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90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90"/>
              </w:rPr>
              <w:t>116,652</w:t>
            </w: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749"/>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97"/>
              </w:rPr>
              <w:t>97,522</w:t>
            </w:r>
          </w:p>
        </w:tc>
      </w:tr>
      <w:tr>
        <w:trPr>
          <w:trHeight w:val="137"/>
        </w:trPr>
        <w:tc>
          <w:tcPr>
            <w:tcW w:w="836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r>
      <w:tr>
        <w:trPr>
          <w:trHeight w:val="221"/>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9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r>
      <w:tr>
        <w:trPr>
          <w:trHeight w:val="211"/>
        </w:trPr>
        <w:tc>
          <w:tcPr>
            <w:tcW w:w="8360" w:type="dxa"/>
            <w:vAlign w:val="bottom"/>
          </w:tcPr>
          <w:p>
            <w:pPr>
              <w:ind w:left="340"/>
              <w:spacing w:after="0"/>
              <w:rPr>
                <w:sz w:val="20"/>
                <w:szCs w:val="20"/>
                <w:color w:val="auto"/>
              </w:rPr>
            </w:pPr>
            <w:r>
              <w:rPr>
                <w:rFonts w:ascii="Arial" w:cs="Arial" w:eastAsia="Arial" w:hAnsi="Arial"/>
                <w:sz w:val="14"/>
                <w:szCs w:val="14"/>
                <w:color w:val="auto"/>
              </w:rPr>
              <w:t>Cost of revenue</w:t>
            </w:r>
          </w:p>
        </w:tc>
        <w:tc>
          <w:tcPr>
            <w:tcW w:w="900" w:type="dxa"/>
            <w:vAlign w:val="bottom"/>
          </w:tcPr>
          <w:p>
            <w:pPr>
              <w:spacing w:after="0"/>
              <w:rPr>
                <w:sz w:val="18"/>
                <w:szCs w:val="18"/>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48,063</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w w:val="97"/>
              </w:rPr>
              <w:t>39,525</w:t>
            </w:r>
          </w:p>
        </w:tc>
      </w:tr>
      <w:tr>
        <w:trPr>
          <w:trHeight w:val="30"/>
        </w:trPr>
        <w:tc>
          <w:tcPr>
            <w:tcW w:w="8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21"/>
        </w:trPr>
        <w:tc>
          <w:tcPr>
            <w:tcW w:w="83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Sales and marketing</w:t>
            </w:r>
          </w:p>
        </w:tc>
        <w:tc>
          <w:tcPr>
            <w:tcW w:w="9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27,088</w:t>
            </w: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97"/>
              </w:rPr>
              <w:t>25,105</w:t>
            </w:r>
          </w:p>
        </w:tc>
      </w:tr>
      <w:tr>
        <w:trPr>
          <w:trHeight w:val="211"/>
        </w:trPr>
        <w:tc>
          <w:tcPr>
            <w:tcW w:w="8360" w:type="dxa"/>
            <w:vAlign w:val="bottom"/>
          </w:tcPr>
          <w:p>
            <w:pPr>
              <w:ind w:left="340"/>
              <w:spacing w:after="0"/>
              <w:rPr>
                <w:sz w:val="20"/>
                <w:szCs w:val="20"/>
                <w:color w:val="auto"/>
              </w:rPr>
            </w:pPr>
            <w:r>
              <w:rPr>
                <w:rFonts w:ascii="Arial" w:cs="Arial" w:eastAsia="Arial" w:hAnsi="Arial"/>
                <w:sz w:val="14"/>
                <w:szCs w:val="14"/>
                <w:color w:val="auto"/>
              </w:rPr>
              <w:t>Product development</w:t>
            </w:r>
          </w:p>
        </w:tc>
        <w:tc>
          <w:tcPr>
            <w:tcW w:w="900" w:type="dxa"/>
            <w:vAlign w:val="bottom"/>
          </w:tcPr>
          <w:p>
            <w:pPr>
              <w:spacing w:after="0"/>
              <w:rPr>
                <w:sz w:val="18"/>
                <w:szCs w:val="18"/>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11,225</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w w:val="97"/>
              </w:rPr>
              <w:t>10,684</w:t>
            </w:r>
          </w:p>
        </w:tc>
      </w:tr>
      <w:tr>
        <w:trPr>
          <w:trHeight w:val="30"/>
        </w:trPr>
        <w:tc>
          <w:tcPr>
            <w:tcW w:w="8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41"/>
        </w:trPr>
        <w:tc>
          <w:tcPr>
            <w:tcW w:w="83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General and administrative</w:t>
            </w:r>
          </w:p>
        </w:tc>
        <w:tc>
          <w:tcPr>
            <w:tcW w:w="9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19,454</w:t>
            </w: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97"/>
              </w:rPr>
              <w:t>13,972</w:t>
            </w:r>
          </w:p>
        </w:tc>
      </w:tr>
      <w:tr>
        <w:trPr>
          <w:trHeight w:val="191"/>
        </w:trPr>
        <w:tc>
          <w:tcPr>
            <w:tcW w:w="8360" w:type="dxa"/>
            <w:vAlign w:val="bottom"/>
          </w:tcPr>
          <w:p>
            <w:pPr>
              <w:ind w:left="20"/>
              <w:spacing w:after="0"/>
              <w:rPr>
                <w:sz w:val="20"/>
                <w:szCs w:val="20"/>
                <w:color w:val="auto"/>
              </w:rPr>
            </w:pPr>
            <w:r>
              <w:rPr>
                <w:rFonts w:ascii="Arial" w:cs="Arial" w:eastAsia="Arial" w:hAnsi="Arial"/>
                <w:sz w:val="14"/>
                <w:szCs w:val="14"/>
                <w:color w:val="auto"/>
              </w:rPr>
              <w:t>Total operating expenses</w:t>
            </w:r>
          </w:p>
        </w:tc>
        <w:tc>
          <w:tcPr>
            <w:tcW w:w="9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w w:val="90"/>
              </w:rPr>
              <w:t>105,830</w:t>
            </w:r>
          </w:p>
        </w:tc>
        <w:tc>
          <w:tcPr>
            <w:tcW w:w="10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w w:val="97"/>
              </w:rPr>
              <w:t>89,286</w:t>
            </w:r>
          </w:p>
        </w:tc>
      </w:tr>
      <w:tr>
        <w:trPr>
          <w:trHeight w:val="30"/>
        </w:trPr>
        <w:tc>
          <w:tcPr>
            <w:tcW w:w="83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01"/>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Income from operations</w:t>
            </w:r>
          </w:p>
        </w:tc>
        <w:tc>
          <w:tcPr>
            <w:tcW w:w="9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10,822</w:t>
            </w: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8,236</w:t>
            </w:r>
          </w:p>
        </w:tc>
      </w:tr>
      <w:tr>
        <w:trPr>
          <w:trHeight w:val="211"/>
        </w:trPr>
        <w:tc>
          <w:tcPr>
            <w:tcW w:w="8360" w:type="dxa"/>
            <w:vAlign w:val="bottom"/>
          </w:tcPr>
          <w:p>
            <w:pPr>
              <w:ind w:left="20"/>
              <w:spacing w:after="0"/>
              <w:rPr>
                <w:sz w:val="20"/>
                <w:szCs w:val="20"/>
                <w:color w:val="auto"/>
              </w:rPr>
            </w:pPr>
            <w:r>
              <w:rPr>
                <w:rFonts w:ascii="Arial" w:cs="Arial" w:eastAsia="Arial" w:hAnsi="Arial"/>
                <w:sz w:val="14"/>
                <w:szCs w:val="14"/>
                <w:color w:val="auto"/>
              </w:rPr>
              <w:t>Other expense, net</w:t>
            </w:r>
          </w:p>
        </w:tc>
        <w:tc>
          <w:tcPr>
            <w:tcW w:w="9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(2,562)</w:t>
            </w:r>
          </w:p>
        </w:tc>
      </w:tr>
      <w:tr>
        <w:trPr>
          <w:trHeight w:val="30"/>
        </w:trPr>
        <w:tc>
          <w:tcPr>
            <w:tcW w:w="83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01"/>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Income before income taxes</w:t>
            </w:r>
          </w:p>
        </w:tc>
        <w:tc>
          <w:tcPr>
            <w:tcW w:w="9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10,810</w:t>
            </w: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5,674</w:t>
            </w:r>
          </w:p>
        </w:tc>
      </w:tr>
      <w:tr>
        <w:trPr>
          <w:trHeight w:val="211"/>
        </w:trPr>
        <w:tc>
          <w:tcPr>
            <w:tcW w:w="8360" w:type="dxa"/>
            <w:vAlign w:val="bottom"/>
          </w:tcPr>
          <w:p>
            <w:pPr>
              <w:ind w:left="20"/>
              <w:spacing w:after="0"/>
              <w:rPr>
                <w:sz w:val="20"/>
                <w:szCs w:val="20"/>
                <w:color w:val="auto"/>
              </w:rPr>
            </w:pPr>
            <w:r>
              <w:rPr>
                <w:rFonts w:ascii="Arial" w:cs="Arial" w:eastAsia="Arial" w:hAnsi="Arial"/>
                <w:sz w:val="14"/>
                <w:szCs w:val="14"/>
                <w:color w:val="auto"/>
              </w:rPr>
              <w:t>Provision for income taxes</w:t>
            </w:r>
          </w:p>
        </w:tc>
        <w:tc>
          <w:tcPr>
            <w:tcW w:w="900" w:type="dxa"/>
            <w:vAlign w:val="bottom"/>
          </w:tcPr>
          <w:p>
            <w:pPr>
              <w:spacing w:after="0"/>
              <w:rPr>
                <w:sz w:val="18"/>
                <w:szCs w:val="18"/>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4,677</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2,431</w:t>
            </w:r>
          </w:p>
        </w:tc>
      </w:tr>
      <w:tr>
        <w:trPr>
          <w:trHeight w:val="30"/>
        </w:trPr>
        <w:tc>
          <w:tcPr>
            <w:tcW w:w="83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01"/>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90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6,133</w:t>
            </w: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ind w:right="749"/>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3,243</w:t>
            </w:r>
          </w:p>
        </w:tc>
      </w:tr>
      <w:tr>
        <w:trPr>
          <w:trHeight w:val="199"/>
        </w:trPr>
        <w:tc>
          <w:tcPr>
            <w:tcW w:w="8360" w:type="dxa"/>
            <w:vAlign w:val="bottom"/>
          </w:tcPr>
          <w:p>
            <w:pPr>
              <w:ind w:left="20"/>
              <w:spacing w:after="0"/>
              <w:rPr>
                <w:sz w:val="20"/>
                <w:szCs w:val="20"/>
                <w:color w:val="auto"/>
              </w:rPr>
            </w:pPr>
            <w:r>
              <w:rPr>
                <w:rFonts w:ascii="Arial" w:cs="Arial" w:eastAsia="Arial" w:hAnsi="Arial"/>
                <w:sz w:val="14"/>
                <w:szCs w:val="14"/>
                <w:color w:val="auto"/>
              </w:rPr>
              <w:t>Less:</w:t>
            </w:r>
          </w:p>
        </w:tc>
        <w:tc>
          <w:tcPr>
            <w:tcW w:w="9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42"/>
        </w:trPr>
        <w:tc>
          <w:tcPr>
            <w:tcW w:w="8360" w:type="dxa"/>
            <w:vAlign w:val="bottom"/>
          </w:tcPr>
          <w:p>
            <w:pPr>
              <w:spacing w:after="0"/>
              <w:rPr>
                <w:sz w:val="3"/>
                <w:szCs w:val="3"/>
                <w:color w:val="auto"/>
              </w:rPr>
            </w:pPr>
          </w:p>
        </w:tc>
        <w:tc>
          <w:tcPr>
            <w:tcW w:w="9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560" w:type="dxa"/>
            <w:vAlign w:val="bottom"/>
          </w:tcPr>
          <w:p>
            <w:pPr>
              <w:spacing w:after="0"/>
              <w:rPr>
                <w:sz w:val="3"/>
                <w:szCs w:val="3"/>
                <w:color w:val="auto"/>
              </w:rPr>
            </w:pPr>
          </w:p>
        </w:tc>
      </w:tr>
      <w:tr>
        <w:trPr>
          <w:trHeight w:val="241"/>
        </w:trPr>
        <w:tc>
          <w:tcPr>
            <w:tcW w:w="83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Undistributed earnings to participating stockholder</w:t>
            </w:r>
          </w:p>
        </w:tc>
        <w:tc>
          <w:tcPr>
            <w:tcW w:w="9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r>
      <w:tr>
        <w:trPr>
          <w:trHeight w:val="191"/>
        </w:trPr>
        <w:tc>
          <w:tcPr>
            <w:tcW w:w="8360" w:type="dxa"/>
            <w:vAlign w:val="bottom"/>
          </w:tcPr>
          <w:p>
            <w:pPr>
              <w:ind w:left="20"/>
              <w:spacing w:after="0"/>
              <w:rPr>
                <w:sz w:val="20"/>
                <w:szCs w:val="20"/>
                <w:color w:val="auto"/>
              </w:rPr>
            </w:pPr>
            <w:r>
              <w:rPr>
                <w:rFonts w:ascii="Arial" w:cs="Arial" w:eastAsia="Arial" w:hAnsi="Arial"/>
                <w:sz w:val="14"/>
                <w:szCs w:val="14"/>
                <w:color w:val="auto"/>
              </w:rPr>
              <w:t>Net income available to common stockholders</w:t>
            </w:r>
          </w:p>
        </w:tc>
        <w:tc>
          <w:tcPr>
            <w:tcW w:w="900" w:type="dxa"/>
            <w:vAlign w:val="bottom"/>
            <w:tcBorders>
              <w:top w:val="single" w:sz="8" w:color="auto"/>
            </w:tcBorders>
          </w:tcPr>
          <w:p>
            <w:pPr>
              <w:jc w:val="right"/>
              <w:ind w:right="730"/>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6,133</w:t>
            </w:r>
          </w:p>
        </w:tc>
        <w:tc>
          <w:tcPr>
            <w:tcW w:w="100" w:type="dxa"/>
            <w:vAlign w:val="bottom"/>
          </w:tcPr>
          <w:p>
            <w:pPr>
              <w:spacing w:after="0"/>
              <w:rPr>
                <w:sz w:val="16"/>
                <w:szCs w:val="16"/>
                <w:color w:val="auto"/>
              </w:rPr>
            </w:pPr>
          </w:p>
        </w:tc>
        <w:tc>
          <w:tcPr>
            <w:tcW w:w="920" w:type="dxa"/>
            <w:vAlign w:val="bottom"/>
            <w:tcBorders>
              <w:top w:val="single" w:sz="8" w:color="auto"/>
            </w:tcBorders>
          </w:tcPr>
          <w:p>
            <w:pPr>
              <w:jc w:val="right"/>
              <w:ind w:right="749"/>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3,241</w:t>
            </w:r>
          </w:p>
        </w:tc>
      </w:tr>
      <w:tr>
        <w:trPr>
          <w:trHeight w:val="30"/>
        </w:trPr>
        <w:tc>
          <w:tcPr>
            <w:tcW w:w="83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0"/>
        </w:trPr>
        <w:tc>
          <w:tcPr>
            <w:tcW w:w="83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193"/>
        </w:trPr>
        <w:tc>
          <w:tcPr>
            <w:tcW w:w="8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221"/>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 per common share available to common stockholders:</w:t>
            </w:r>
          </w:p>
        </w:tc>
        <w:tc>
          <w:tcPr>
            <w:tcW w:w="9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r>
      <w:tr>
        <w:trPr>
          <w:trHeight w:val="199"/>
        </w:trPr>
        <w:tc>
          <w:tcPr>
            <w:tcW w:w="8360" w:type="dxa"/>
            <w:vAlign w:val="bottom"/>
          </w:tcPr>
          <w:p>
            <w:pPr>
              <w:ind w:left="340"/>
              <w:spacing w:after="0"/>
              <w:rPr>
                <w:sz w:val="20"/>
                <w:szCs w:val="20"/>
                <w:color w:val="auto"/>
              </w:rPr>
            </w:pPr>
            <w:r>
              <w:rPr>
                <w:rFonts w:ascii="Arial" w:cs="Arial" w:eastAsia="Arial" w:hAnsi="Arial"/>
                <w:sz w:val="14"/>
                <w:szCs w:val="14"/>
                <w:color w:val="auto"/>
              </w:rPr>
              <w:t>Basic</w:t>
            </w:r>
          </w:p>
        </w:tc>
        <w:tc>
          <w:tcPr>
            <w:tcW w:w="900" w:type="dxa"/>
            <w:vAlign w:val="bottom"/>
          </w:tcPr>
          <w:p>
            <w:pPr>
              <w:jc w:val="right"/>
              <w:ind w:right="73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0.17</w:t>
            </w:r>
          </w:p>
        </w:tc>
        <w:tc>
          <w:tcPr>
            <w:tcW w:w="100" w:type="dxa"/>
            <w:vAlign w:val="bottom"/>
          </w:tcPr>
          <w:p>
            <w:pPr>
              <w:spacing w:after="0"/>
              <w:rPr>
                <w:sz w:val="17"/>
                <w:szCs w:val="17"/>
                <w:color w:val="auto"/>
              </w:rPr>
            </w:pPr>
          </w:p>
        </w:tc>
        <w:tc>
          <w:tcPr>
            <w:tcW w:w="920" w:type="dxa"/>
            <w:vAlign w:val="bottom"/>
          </w:tcPr>
          <w:p>
            <w:pPr>
              <w:jc w:val="right"/>
              <w:ind w:right="749"/>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0.09</w:t>
            </w:r>
          </w:p>
        </w:tc>
      </w:tr>
      <w:tr>
        <w:trPr>
          <w:trHeight w:val="70"/>
        </w:trPr>
        <w:tc>
          <w:tcPr>
            <w:tcW w:w="8360" w:type="dxa"/>
            <w:vAlign w:val="bottom"/>
            <w:tcBorders>
              <w:bottom w:val="single" w:sz="8" w:color="CCEEFF"/>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r>
      <w:tr>
        <w:trPr>
          <w:trHeight w:val="210"/>
        </w:trPr>
        <w:tc>
          <w:tcPr>
            <w:tcW w:w="8360" w:type="dxa"/>
            <w:vAlign w:val="bottom"/>
            <w:tcBorders>
              <w:bottom w:val="single" w:sz="8" w:color="CCEEFF"/>
            </w:tcBorders>
            <w:shd w:val="clear" w:color="auto" w:fill="CCEEFF"/>
          </w:tcPr>
          <w:p>
            <w:pPr>
              <w:ind w:left="340"/>
              <w:spacing w:after="0" w:line="151" w:lineRule="exact"/>
              <w:rPr>
                <w:sz w:val="20"/>
                <w:szCs w:val="20"/>
                <w:color w:val="auto"/>
              </w:rPr>
            </w:pPr>
            <w:r>
              <w:rPr>
                <w:rFonts w:ascii="Arial" w:cs="Arial" w:eastAsia="Arial" w:hAnsi="Arial"/>
                <w:sz w:val="14"/>
                <w:szCs w:val="14"/>
                <w:color w:val="auto"/>
              </w:rPr>
              <w:t>Diluted</w:t>
            </w:r>
          </w:p>
        </w:tc>
        <w:tc>
          <w:tcPr>
            <w:tcW w:w="90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0.17</w:t>
            </w: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ind w:right="749"/>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0.09</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r>
      <w:tr>
        <w:trPr>
          <w:trHeight w:val="85"/>
        </w:trPr>
        <w:tc>
          <w:tcPr>
            <w:tcW w:w="8360" w:type="dxa"/>
            <w:vAlign w:val="bottom"/>
          </w:tcPr>
          <w:p>
            <w:pPr>
              <w:spacing w:after="0"/>
              <w:rPr>
                <w:sz w:val="7"/>
                <w:szCs w:val="7"/>
                <w:color w:val="auto"/>
              </w:rPr>
            </w:pPr>
          </w:p>
        </w:tc>
        <w:tc>
          <w:tcPr>
            <w:tcW w:w="9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560" w:type="dxa"/>
            <w:vAlign w:val="bottom"/>
          </w:tcPr>
          <w:p>
            <w:pPr>
              <w:spacing w:after="0"/>
              <w:rPr>
                <w:sz w:val="7"/>
                <w:szCs w:val="7"/>
                <w:color w:val="auto"/>
              </w:rPr>
            </w:pPr>
          </w:p>
        </w:tc>
      </w:tr>
      <w:tr>
        <w:trPr>
          <w:trHeight w:val="221"/>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Weighted average common shares outstanding:</w:t>
            </w:r>
          </w:p>
        </w:tc>
        <w:tc>
          <w:tcPr>
            <w:tcW w:w="9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r>
      <w:tr>
        <w:trPr>
          <w:trHeight w:val="199"/>
        </w:trPr>
        <w:tc>
          <w:tcPr>
            <w:tcW w:w="8360" w:type="dxa"/>
            <w:vAlign w:val="bottom"/>
          </w:tcPr>
          <w:p>
            <w:pPr>
              <w:ind w:left="340"/>
              <w:spacing w:after="0"/>
              <w:rPr>
                <w:sz w:val="20"/>
                <w:szCs w:val="20"/>
                <w:color w:val="auto"/>
              </w:rPr>
            </w:pPr>
            <w:r>
              <w:rPr>
                <w:rFonts w:ascii="Arial" w:cs="Arial" w:eastAsia="Arial" w:hAnsi="Arial"/>
                <w:sz w:val="14"/>
                <w:szCs w:val="14"/>
                <w:color w:val="auto"/>
              </w:rPr>
              <w:t>Basic</w:t>
            </w:r>
          </w:p>
        </w:tc>
        <w:tc>
          <w:tcPr>
            <w:tcW w:w="900" w:type="dxa"/>
            <w:vAlign w:val="bottom"/>
          </w:tcPr>
          <w:p>
            <w:pPr>
              <w:spacing w:after="0"/>
              <w:rPr>
                <w:sz w:val="17"/>
                <w:szCs w:val="17"/>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35,375</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w w:val="97"/>
              </w:rPr>
              <w:t>35,635</w:t>
            </w:r>
          </w:p>
        </w:tc>
      </w:tr>
      <w:tr>
        <w:trPr>
          <w:trHeight w:val="70"/>
        </w:trPr>
        <w:tc>
          <w:tcPr>
            <w:tcW w:w="8360" w:type="dxa"/>
            <w:vAlign w:val="bottom"/>
            <w:tcBorders>
              <w:bottom w:val="single" w:sz="8" w:color="CCEEFF"/>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r>
      <w:tr>
        <w:trPr>
          <w:trHeight w:val="210"/>
        </w:trPr>
        <w:tc>
          <w:tcPr>
            <w:tcW w:w="8360" w:type="dxa"/>
            <w:vAlign w:val="bottom"/>
            <w:tcBorders>
              <w:bottom w:val="single" w:sz="8" w:color="CCEEFF"/>
            </w:tcBorders>
            <w:shd w:val="clear" w:color="auto" w:fill="CCEEFF"/>
          </w:tcPr>
          <w:p>
            <w:pPr>
              <w:ind w:left="340"/>
              <w:spacing w:after="0" w:line="151" w:lineRule="exact"/>
              <w:rPr>
                <w:sz w:val="20"/>
                <w:szCs w:val="20"/>
                <w:color w:val="auto"/>
              </w:rPr>
            </w:pPr>
            <w:r>
              <w:rPr>
                <w:rFonts w:ascii="Arial" w:cs="Arial" w:eastAsia="Arial" w:hAnsi="Arial"/>
                <w:sz w:val="14"/>
                <w:szCs w:val="14"/>
                <w:color w:val="auto"/>
              </w:rPr>
              <w:t>Diluted</w:t>
            </w:r>
          </w:p>
        </w:tc>
        <w:tc>
          <w:tcPr>
            <w:tcW w:w="9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36,099</w:t>
            </w: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97"/>
              </w:rPr>
              <w:t>36,193</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r>
    </w:tbl>
    <w:p>
      <w:pPr>
        <w:sectPr>
          <w:pgSz w:w="11900" w:h="16838" w:orient="portrait"/>
          <w:cols w:equalWidth="0" w:num="1">
            <w:col w:w="11440"/>
          </w:cols>
          <w:pgMar w:left="240" w:top="533" w:right="219" w:bottom="1440" w:gutter="0" w:footer="0" w:header="0"/>
        </w:sectPr>
      </w:pPr>
    </w:p>
    <w:bookmarkStart w:id="11" w:name="page12"/>
    <w:bookmarkEnd w:id="11"/>
    <w:p>
      <w:pPr>
        <w:jc w:val="center"/>
        <w:ind w:right="20"/>
        <w:spacing w:after="0"/>
        <w:rPr>
          <w:sz w:val="20"/>
          <w:szCs w:val="20"/>
          <w:color w:val="auto"/>
        </w:rPr>
      </w:pPr>
      <w:r>
        <w:rPr>
          <w:rFonts w:ascii="Arial" w:cs="Arial" w:eastAsia="Arial" w:hAnsi="Arial"/>
          <w:sz w:val="16"/>
          <w:szCs w:val="16"/>
          <w:b w:val="1"/>
          <w:bCs w:val="1"/>
          <w:color w:val="auto"/>
        </w:rPr>
        <w:t>Shutterstock, Inc.</w:t>
      </w:r>
    </w:p>
    <w:p>
      <w:pPr>
        <w:spacing w:after="0" w:line="2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Consolidated Balance Sheets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(In thousands, except par value amount)</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(unaudited)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gridSpan w:val="2"/>
          </w:tcPr>
          <w:p>
            <w:pPr>
              <w:ind w:left="180"/>
              <w:spacing w:after="0"/>
              <w:rPr>
                <w:sz w:val="20"/>
                <w:szCs w:val="20"/>
                <w:color w:val="auto"/>
              </w:rPr>
            </w:pPr>
            <w:r>
              <w:rPr>
                <w:rFonts w:ascii="Arial" w:cs="Arial" w:eastAsia="Arial" w:hAnsi="Arial"/>
                <w:sz w:val="13"/>
                <w:szCs w:val="13"/>
                <w:b w:val="1"/>
                <w:bCs w:val="1"/>
                <w:color w:val="auto"/>
              </w:rPr>
              <w:t>March 31, 2016</w:t>
            </w:r>
          </w:p>
        </w:tc>
        <w:tc>
          <w:tcPr>
            <w:tcW w:w="200" w:type="dxa"/>
            <w:vAlign w:val="bottom"/>
          </w:tcPr>
          <w:p>
            <w:pPr>
              <w:spacing w:after="0"/>
              <w:rPr>
                <w:sz w:val="14"/>
                <w:szCs w:val="14"/>
                <w:color w:val="auto"/>
              </w:rPr>
            </w:pPr>
          </w:p>
        </w:tc>
        <w:tc>
          <w:tcPr>
            <w:tcW w:w="1500" w:type="dxa"/>
            <w:vAlign w:val="bottom"/>
          </w:tcPr>
          <w:p>
            <w:pPr>
              <w:jc w:val="right"/>
              <w:ind w:right="268"/>
              <w:spacing w:after="0"/>
              <w:rPr>
                <w:sz w:val="20"/>
                <w:szCs w:val="20"/>
                <w:color w:val="auto"/>
              </w:rPr>
            </w:pPr>
            <w:r>
              <w:rPr>
                <w:rFonts w:ascii="Arial" w:cs="Arial" w:eastAsia="Arial" w:hAnsi="Arial"/>
                <w:sz w:val="13"/>
                <w:szCs w:val="13"/>
                <w:b w:val="1"/>
                <w:bCs w:val="1"/>
                <w:color w:val="auto"/>
                <w:w w:val="97"/>
              </w:rPr>
              <w:t>December 31, 2015</w:t>
            </w:r>
          </w:p>
        </w:tc>
      </w:tr>
      <w:tr>
        <w:trPr>
          <w:trHeight w:val="250"/>
        </w:trPr>
        <w:tc>
          <w:tcPr>
            <w:tcW w:w="79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4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500" w:type="dxa"/>
            <w:vAlign w:val="bottom"/>
            <w:tcBorders>
              <w:top w:val="single" w:sz="8" w:color="auto"/>
            </w:tcBorders>
          </w:tcPr>
          <w:p>
            <w:pPr>
              <w:spacing w:after="0"/>
              <w:rPr>
                <w:sz w:val="21"/>
                <w:szCs w:val="21"/>
                <w:color w:val="auto"/>
              </w:rPr>
            </w:pPr>
          </w:p>
        </w:tc>
      </w:tr>
      <w:tr>
        <w:trPr>
          <w:trHeight w:val="221"/>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6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spacing w:after="0"/>
              <w:rPr>
                <w:sz w:val="19"/>
                <w:szCs w:val="19"/>
                <w:color w:val="auto"/>
              </w:rPr>
            </w:pPr>
          </w:p>
        </w:tc>
      </w:tr>
      <w:tr>
        <w:trPr>
          <w:trHeight w:val="199"/>
        </w:trPr>
        <w:tc>
          <w:tcPr>
            <w:tcW w:w="7900" w:type="dxa"/>
            <w:vAlign w:val="bottom"/>
          </w:tcPr>
          <w:p>
            <w:pPr>
              <w:ind w:left="140"/>
              <w:spacing w:after="0"/>
              <w:rPr>
                <w:sz w:val="20"/>
                <w:szCs w:val="20"/>
                <w:color w:val="auto"/>
              </w:rPr>
            </w:pPr>
            <w:r>
              <w:rPr>
                <w:rFonts w:ascii="Arial" w:cs="Arial" w:eastAsia="Arial" w:hAnsi="Arial"/>
                <w:sz w:val="14"/>
                <w:szCs w:val="14"/>
                <w:color w:val="auto"/>
              </w:rPr>
              <w:t>Current assets:</w:t>
            </w:r>
          </w:p>
        </w:tc>
        <w:tc>
          <w:tcPr>
            <w:tcW w:w="2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42"/>
        </w:trPr>
        <w:tc>
          <w:tcPr>
            <w:tcW w:w="79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221"/>
        </w:trPr>
        <w:tc>
          <w:tcPr>
            <w:tcW w:w="79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Cash and cash equivalents</w:t>
            </w: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220,563</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5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241,304</w:t>
            </w:r>
          </w:p>
        </w:tc>
      </w:tr>
      <w:tr>
        <w:trPr>
          <w:trHeight w:val="211"/>
        </w:trPr>
        <w:tc>
          <w:tcPr>
            <w:tcW w:w="7900" w:type="dxa"/>
            <w:vAlign w:val="bottom"/>
          </w:tcPr>
          <w:p>
            <w:pPr>
              <w:ind w:left="340"/>
              <w:spacing w:after="0"/>
              <w:rPr>
                <w:sz w:val="20"/>
                <w:szCs w:val="20"/>
                <w:color w:val="auto"/>
              </w:rPr>
            </w:pPr>
            <w:r>
              <w:rPr>
                <w:rFonts w:ascii="Arial" w:cs="Arial" w:eastAsia="Arial" w:hAnsi="Arial"/>
                <w:sz w:val="14"/>
                <w:szCs w:val="14"/>
                <w:color w:val="auto"/>
              </w:rPr>
              <w:t>Short-term investments</w:t>
            </w:r>
          </w:p>
        </w:tc>
        <w:tc>
          <w:tcPr>
            <w:tcW w:w="260" w:type="dxa"/>
            <w:vAlign w:val="bottom"/>
          </w:tcPr>
          <w:p>
            <w:pPr>
              <w:spacing w:after="0"/>
              <w:rPr>
                <w:sz w:val="18"/>
                <w:szCs w:val="18"/>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54,980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47,078</w:t>
            </w:r>
          </w:p>
        </w:tc>
      </w:tr>
      <w:tr>
        <w:trPr>
          <w:trHeight w:val="30"/>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21"/>
        </w:trPr>
        <w:tc>
          <w:tcPr>
            <w:tcW w:w="79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Credit card receivables</w:t>
            </w:r>
          </w:p>
        </w:tc>
        <w:tc>
          <w:tcPr>
            <w:tcW w:w="26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4,548</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2,811</w:t>
            </w:r>
          </w:p>
        </w:tc>
      </w:tr>
      <w:tr>
        <w:trPr>
          <w:trHeight w:val="211"/>
        </w:trPr>
        <w:tc>
          <w:tcPr>
            <w:tcW w:w="7900" w:type="dxa"/>
            <w:vAlign w:val="bottom"/>
          </w:tcPr>
          <w:p>
            <w:pPr>
              <w:ind w:left="340"/>
              <w:spacing w:after="0"/>
              <w:rPr>
                <w:sz w:val="20"/>
                <w:szCs w:val="20"/>
                <w:color w:val="auto"/>
              </w:rPr>
            </w:pPr>
            <w:r>
              <w:rPr>
                <w:rFonts w:ascii="Arial" w:cs="Arial" w:eastAsia="Arial" w:hAnsi="Arial"/>
                <w:sz w:val="14"/>
                <w:szCs w:val="14"/>
                <w:color w:val="auto"/>
              </w:rPr>
              <w:t>Accounts receivable, net</w:t>
            </w:r>
          </w:p>
        </w:tc>
        <w:tc>
          <w:tcPr>
            <w:tcW w:w="260" w:type="dxa"/>
            <w:vAlign w:val="bottom"/>
          </w:tcPr>
          <w:p>
            <w:pPr>
              <w:spacing w:after="0"/>
              <w:rPr>
                <w:sz w:val="18"/>
                <w:szCs w:val="18"/>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30,412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25,653</w:t>
            </w:r>
          </w:p>
        </w:tc>
      </w:tr>
      <w:tr>
        <w:trPr>
          <w:trHeight w:val="30"/>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21"/>
        </w:trPr>
        <w:tc>
          <w:tcPr>
            <w:tcW w:w="79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Prepaid expenses and other current assets</w:t>
            </w:r>
          </w:p>
        </w:tc>
        <w:tc>
          <w:tcPr>
            <w:tcW w:w="26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12,111</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11,713</w:t>
            </w:r>
          </w:p>
        </w:tc>
      </w:tr>
      <w:tr>
        <w:trPr>
          <w:trHeight w:val="211"/>
        </w:trPr>
        <w:tc>
          <w:tcPr>
            <w:tcW w:w="7900" w:type="dxa"/>
            <w:vAlign w:val="bottom"/>
          </w:tcPr>
          <w:p>
            <w:pPr>
              <w:ind w:left="340"/>
              <w:spacing w:after="0"/>
              <w:rPr>
                <w:sz w:val="20"/>
                <w:szCs w:val="20"/>
                <w:color w:val="auto"/>
              </w:rPr>
            </w:pPr>
            <w:r>
              <w:rPr>
                <w:rFonts w:ascii="Arial" w:cs="Arial" w:eastAsia="Arial" w:hAnsi="Arial"/>
                <w:sz w:val="14"/>
                <w:szCs w:val="14"/>
                <w:color w:val="auto"/>
              </w:rPr>
              <w:t>Deferred tax assets, net</w:t>
            </w:r>
          </w:p>
        </w:tc>
        <w:tc>
          <w:tcPr>
            <w:tcW w:w="260" w:type="dxa"/>
            <w:vAlign w:val="bottom"/>
          </w:tcPr>
          <w:p>
            <w:pPr>
              <w:spacing w:after="0"/>
              <w:rPr>
                <w:sz w:val="18"/>
                <w:szCs w:val="18"/>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6,655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7,116</w:t>
            </w:r>
          </w:p>
        </w:tc>
      </w:tr>
      <w:tr>
        <w:trPr>
          <w:trHeight w:val="30"/>
        </w:trPr>
        <w:tc>
          <w:tcPr>
            <w:tcW w:w="7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01"/>
        </w:trPr>
        <w:tc>
          <w:tcPr>
            <w:tcW w:w="79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4"/>
                <w:szCs w:val="14"/>
                <w:color w:val="auto"/>
              </w:rPr>
              <w:t>Total current assets</w:t>
            </w:r>
          </w:p>
        </w:tc>
        <w:tc>
          <w:tcPr>
            <w:tcW w:w="26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329,269</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335,675</w:t>
            </w:r>
          </w:p>
        </w:tc>
      </w:tr>
      <w:tr>
        <w:trPr>
          <w:trHeight w:val="211"/>
        </w:trPr>
        <w:tc>
          <w:tcPr>
            <w:tcW w:w="7900" w:type="dxa"/>
            <w:vAlign w:val="bottom"/>
          </w:tcPr>
          <w:p>
            <w:pPr>
              <w:ind w:left="140"/>
              <w:spacing w:after="0"/>
              <w:rPr>
                <w:sz w:val="20"/>
                <w:szCs w:val="20"/>
                <w:color w:val="auto"/>
              </w:rPr>
            </w:pPr>
            <w:r>
              <w:rPr>
                <w:rFonts w:ascii="Arial" w:cs="Arial" w:eastAsia="Arial" w:hAnsi="Arial"/>
                <w:sz w:val="14"/>
                <w:szCs w:val="14"/>
                <w:color w:val="auto"/>
              </w:rPr>
              <w:t>Property and equipment, net</w:t>
            </w:r>
          </w:p>
        </w:tc>
        <w:tc>
          <w:tcPr>
            <w:tcW w:w="260" w:type="dxa"/>
            <w:vAlign w:val="bottom"/>
          </w:tcPr>
          <w:p>
            <w:pPr>
              <w:spacing w:after="0"/>
              <w:rPr>
                <w:sz w:val="18"/>
                <w:szCs w:val="18"/>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37,884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32,094</w:t>
            </w:r>
          </w:p>
        </w:tc>
      </w:tr>
      <w:tr>
        <w:trPr>
          <w:trHeight w:val="30"/>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21"/>
        </w:trPr>
        <w:tc>
          <w:tcPr>
            <w:tcW w:w="7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Intangibles assets, net</w:t>
            </w:r>
          </w:p>
        </w:tc>
        <w:tc>
          <w:tcPr>
            <w:tcW w:w="26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29,231</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29,781</w:t>
            </w:r>
          </w:p>
        </w:tc>
      </w:tr>
      <w:tr>
        <w:trPr>
          <w:trHeight w:val="211"/>
        </w:trPr>
        <w:tc>
          <w:tcPr>
            <w:tcW w:w="7900" w:type="dxa"/>
            <w:vAlign w:val="bottom"/>
          </w:tcPr>
          <w:p>
            <w:pPr>
              <w:ind w:left="140"/>
              <w:spacing w:after="0"/>
              <w:rPr>
                <w:sz w:val="20"/>
                <w:szCs w:val="20"/>
                <w:color w:val="auto"/>
              </w:rPr>
            </w:pPr>
            <w:r>
              <w:rPr>
                <w:rFonts w:ascii="Arial" w:cs="Arial" w:eastAsia="Arial" w:hAnsi="Arial"/>
                <w:sz w:val="14"/>
                <w:szCs w:val="14"/>
                <w:color w:val="auto"/>
              </w:rPr>
              <w:t>Goodwill</w:t>
            </w:r>
          </w:p>
        </w:tc>
        <w:tc>
          <w:tcPr>
            <w:tcW w:w="260" w:type="dxa"/>
            <w:vAlign w:val="bottom"/>
          </w:tcPr>
          <w:p>
            <w:pPr>
              <w:spacing w:after="0"/>
              <w:rPr>
                <w:sz w:val="18"/>
                <w:szCs w:val="18"/>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52,385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50,934</w:t>
            </w:r>
          </w:p>
        </w:tc>
      </w:tr>
      <w:tr>
        <w:trPr>
          <w:trHeight w:val="30"/>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21"/>
        </w:trPr>
        <w:tc>
          <w:tcPr>
            <w:tcW w:w="7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Deferred tax assets, net</w:t>
            </w:r>
          </w:p>
        </w:tc>
        <w:tc>
          <w:tcPr>
            <w:tcW w:w="26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17,789</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18,691</w:t>
            </w:r>
          </w:p>
        </w:tc>
      </w:tr>
      <w:tr>
        <w:trPr>
          <w:trHeight w:val="211"/>
        </w:trPr>
        <w:tc>
          <w:tcPr>
            <w:tcW w:w="7900" w:type="dxa"/>
            <w:vAlign w:val="bottom"/>
          </w:tcPr>
          <w:p>
            <w:pPr>
              <w:ind w:left="140"/>
              <w:spacing w:after="0"/>
              <w:rPr>
                <w:sz w:val="20"/>
                <w:szCs w:val="20"/>
                <w:color w:val="auto"/>
              </w:rPr>
            </w:pPr>
            <w:r>
              <w:rPr>
                <w:rFonts w:ascii="Arial" w:cs="Arial" w:eastAsia="Arial" w:hAnsi="Arial"/>
                <w:sz w:val="14"/>
                <w:szCs w:val="14"/>
                <w:color w:val="auto"/>
              </w:rPr>
              <w:t>Other assets</w:t>
            </w:r>
          </w:p>
        </w:tc>
        <w:tc>
          <w:tcPr>
            <w:tcW w:w="260" w:type="dxa"/>
            <w:vAlign w:val="bottom"/>
          </w:tcPr>
          <w:p>
            <w:pPr>
              <w:spacing w:after="0"/>
              <w:rPr>
                <w:sz w:val="18"/>
                <w:szCs w:val="18"/>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2,765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1,946</w:t>
            </w:r>
          </w:p>
        </w:tc>
      </w:tr>
      <w:tr>
        <w:trPr>
          <w:trHeight w:val="30"/>
        </w:trPr>
        <w:tc>
          <w:tcPr>
            <w:tcW w:w="7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26"/>
        </w:trPr>
        <w:tc>
          <w:tcPr>
            <w:tcW w:w="7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Total assets</w:t>
            </w: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469,323</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5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469,121</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r>
        <w:trPr>
          <w:trHeight w:val="193"/>
        </w:trPr>
        <w:tc>
          <w:tcPr>
            <w:tcW w:w="7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221"/>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 AND STOCKHOLDERS’ EQUITY</w:t>
            </w:r>
          </w:p>
        </w:tc>
        <w:tc>
          <w:tcPr>
            <w:tcW w:w="26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spacing w:after="0"/>
              <w:rPr>
                <w:sz w:val="19"/>
                <w:szCs w:val="19"/>
                <w:color w:val="auto"/>
              </w:rPr>
            </w:pPr>
          </w:p>
        </w:tc>
      </w:tr>
      <w:tr>
        <w:trPr>
          <w:trHeight w:val="199"/>
        </w:trPr>
        <w:tc>
          <w:tcPr>
            <w:tcW w:w="7900" w:type="dxa"/>
            <w:vAlign w:val="bottom"/>
          </w:tcPr>
          <w:p>
            <w:pPr>
              <w:ind w:left="140"/>
              <w:spacing w:after="0"/>
              <w:rPr>
                <w:sz w:val="20"/>
                <w:szCs w:val="20"/>
                <w:color w:val="auto"/>
              </w:rPr>
            </w:pPr>
            <w:r>
              <w:rPr>
                <w:rFonts w:ascii="Arial" w:cs="Arial" w:eastAsia="Arial" w:hAnsi="Arial"/>
                <w:sz w:val="14"/>
                <w:szCs w:val="14"/>
                <w:color w:val="auto"/>
              </w:rPr>
              <w:t>Current liabilities:</w:t>
            </w:r>
          </w:p>
        </w:tc>
        <w:tc>
          <w:tcPr>
            <w:tcW w:w="2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42"/>
        </w:trPr>
        <w:tc>
          <w:tcPr>
            <w:tcW w:w="79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221"/>
        </w:trPr>
        <w:tc>
          <w:tcPr>
            <w:tcW w:w="79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Accounts payable</w:t>
            </w: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8,989</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5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6,816</w:t>
            </w:r>
          </w:p>
        </w:tc>
      </w:tr>
      <w:tr>
        <w:trPr>
          <w:trHeight w:val="211"/>
        </w:trPr>
        <w:tc>
          <w:tcPr>
            <w:tcW w:w="7900" w:type="dxa"/>
            <w:vAlign w:val="bottom"/>
          </w:tcPr>
          <w:p>
            <w:pPr>
              <w:ind w:left="340"/>
              <w:spacing w:after="0"/>
              <w:rPr>
                <w:sz w:val="20"/>
                <w:szCs w:val="20"/>
                <w:color w:val="auto"/>
              </w:rPr>
            </w:pPr>
            <w:r>
              <w:rPr>
                <w:rFonts w:ascii="Arial" w:cs="Arial" w:eastAsia="Arial" w:hAnsi="Arial"/>
                <w:sz w:val="14"/>
                <w:szCs w:val="14"/>
                <w:color w:val="auto"/>
              </w:rPr>
              <w:t>Accrued expenses</w:t>
            </w:r>
          </w:p>
        </w:tc>
        <w:tc>
          <w:tcPr>
            <w:tcW w:w="260" w:type="dxa"/>
            <w:vAlign w:val="bottom"/>
          </w:tcPr>
          <w:p>
            <w:pPr>
              <w:spacing w:after="0"/>
              <w:rPr>
                <w:sz w:val="18"/>
                <w:szCs w:val="18"/>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31,315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30,696</w:t>
            </w:r>
          </w:p>
        </w:tc>
      </w:tr>
      <w:tr>
        <w:trPr>
          <w:trHeight w:val="30"/>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21"/>
        </w:trPr>
        <w:tc>
          <w:tcPr>
            <w:tcW w:w="79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Contributor royalties payable</w:t>
            </w:r>
          </w:p>
        </w:tc>
        <w:tc>
          <w:tcPr>
            <w:tcW w:w="26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18,890</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17,822</w:t>
            </w:r>
          </w:p>
        </w:tc>
      </w:tr>
      <w:tr>
        <w:trPr>
          <w:trHeight w:val="211"/>
        </w:trPr>
        <w:tc>
          <w:tcPr>
            <w:tcW w:w="7900" w:type="dxa"/>
            <w:vAlign w:val="bottom"/>
          </w:tcPr>
          <w:p>
            <w:pPr>
              <w:ind w:left="340"/>
              <w:spacing w:after="0"/>
              <w:rPr>
                <w:sz w:val="20"/>
                <w:szCs w:val="20"/>
                <w:color w:val="auto"/>
              </w:rPr>
            </w:pPr>
            <w:r>
              <w:rPr>
                <w:rFonts w:ascii="Arial" w:cs="Arial" w:eastAsia="Arial" w:hAnsi="Arial"/>
                <w:sz w:val="14"/>
                <w:szCs w:val="14"/>
                <w:color w:val="auto"/>
              </w:rPr>
              <w:t>Income taxes payable</w:t>
            </w:r>
          </w:p>
        </w:tc>
        <w:tc>
          <w:tcPr>
            <w:tcW w:w="260" w:type="dxa"/>
            <w:vAlign w:val="bottom"/>
          </w:tcPr>
          <w:p>
            <w:pPr>
              <w:spacing w:after="0"/>
              <w:rPr>
                <w:sz w:val="18"/>
                <w:szCs w:val="18"/>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385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953</w:t>
            </w:r>
          </w:p>
        </w:tc>
      </w:tr>
      <w:tr>
        <w:trPr>
          <w:trHeight w:val="30"/>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21"/>
        </w:trPr>
        <w:tc>
          <w:tcPr>
            <w:tcW w:w="79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Deferred revenue</w:t>
            </w:r>
          </w:p>
        </w:tc>
        <w:tc>
          <w:tcPr>
            <w:tcW w:w="26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105,500</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98,239</w:t>
            </w:r>
          </w:p>
        </w:tc>
      </w:tr>
      <w:tr>
        <w:trPr>
          <w:trHeight w:val="211"/>
        </w:trPr>
        <w:tc>
          <w:tcPr>
            <w:tcW w:w="7900" w:type="dxa"/>
            <w:vAlign w:val="bottom"/>
          </w:tcPr>
          <w:p>
            <w:pPr>
              <w:ind w:left="340"/>
              <w:spacing w:after="0"/>
              <w:rPr>
                <w:sz w:val="20"/>
                <w:szCs w:val="20"/>
                <w:color w:val="auto"/>
              </w:rPr>
            </w:pPr>
            <w:r>
              <w:rPr>
                <w:rFonts w:ascii="Arial" w:cs="Arial" w:eastAsia="Arial" w:hAnsi="Arial"/>
                <w:sz w:val="14"/>
                <w:szCs w:val="14"/>
                <w:color w:val="auto"/>
              </w:rPr>
              <w:t>Other liabilities</w:t>
            </w:r>
          </w:p>
        </w:tc>
        <w:tc>
          <w:tcPr>
            <w:tcW w:w="260" w:type="dxa"/>
            <w:vAlign w:val="bottom"/>
          </w:tcPr>
          <w:p>
            <w:pPr>
              <w:spacing w:after="0"/>
              <w:rPr>
                <w:sz w:val="18"/>
                <w:szCs w:val="18"/>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5,346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6,258</w:t>
            </w:r>
          </w:p>
        </w:tc>
      </w:tr>
      <w:tr>
        <w:trPr>
          <w:trHeight w:val="30"/>
        </w:trPr>
        <w:tc>
          <w:tcPr>
            <w:tcW w:w="7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01"/>
        </w:trPr>
        <w:tc>
          <w:tcPr>
            <w:tcW w:w="79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4"/>
                <w:szCs w:val="14"/>
                <w:color w:val="auto"/>
              </w:rPr>
              <w:t>Total current liabilities</w:t>
            </w:r>
          </w:p>
        </w:tc>
        <w:tc>
          <w:tcPr>
            <w:tcW w:w="26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170,425</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160,784</w:t>
            </w:r>
          </w:p>
        </w:tc>
      </w:tr>
      <w:tr>
        <w:trPr>
          <w:trHeight w:val="211"/>
        </w:trPr>
        <w:tc>
          <w:tcPr>
            <w:tcW w:w="7900" w:type="dxa"/>
            <w:vAlign w:val="bottom"/>
          </w:tcPr>
          <w:p>
            <w:pPr>
              <w:ind w:left="140"/>
              <w:spacing w:after="0"/>
              <w:rPr>
                <w:sz w:val="20"/>
                <w:szCs w:val="20"/>
                <w:color w:val="auto"/>
              </w:rPr>
            </w:pPr>
            <w:r>
              <w:rPr>
                <w:rFonts w:ascii="Arial" w:cs="Arial" w:eastAsia="Arial" w:hAnsi="Arial"/>
                <w:sz w:val="14"/>
                <w:szCs w:val="14"/>
                <w:color w:val="auto"/>
              </w:rPr>
              <w:t>Deferred tax liability, net</w:t>
            </w:r>
          </w:p>
        </w:tc>
        <w:tc>
          <w:tcPr>
            <w:tcW w:w="260" w:type="dxa"/>
            <w:vAlign w:val="bottom"/>
          </w:tcPr>
          <w:p>
            <w:pPr>
              <w:spacing w:after="0"/>
              <w:rPr>
                <w:sz w:val="18"/>
                <w:szCs w:val="18"/>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3,512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3,778</w:t>
            </w:r>
          </w:p>
        </w:tc>
      </w:tr>
      <w:tr>
        <w:trPr>
          <w:trHeight w:val="30"/>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41"/>
        </w:trPr>
        <w:tc>
          <w:tcPr>
            <w:tcW w:w="7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Other non-current liabilities</w:t>
            </w:r>
          </w:p>
        </w:tc>
        <w:tc>
          <w:tcPr>
            <w:tcW w:w="2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18,234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15,994</w:t>
            </w:r>
          </w:p>
        </w:tc>
      </w:tr>
      <w:tr>
        <w:trPr>
          <w:trHeight w:val="191"/>
        </w:trPr>
        <w:tc>
          <w:tcPr>
            <w:tcW w:w="7900" w:type="dxa"/>
            <w:vAlign w:val="bottom"/>
          </w:tcPr>
          <w:p>
            <w:pPr>
              <w:ind w:left="140"/>
              <w:spacing w:after="0"/>
              <w:rPr>
                <w:sz w:val="20"/>
                <w:szCs w:val="20"/>
                <w:color w:val="auto"/>
              </w:rPr>
            </w:pPr>
            <w:r>
              <w:rPr>
                <w:rFonts w:ascii="Arial" w:cs="Arial" w:eastAsia="Arial" w:hAnsi="Arial"/>
                <w:sz w:val="14"/>
                <w:szCs w:val="14"/>
                <w:color w:val="auto"/>
              </w:rPr>
              <w:t>Total liabilities</w:t>
            </w:r>
          </w:p>
        </w:tc>
        <w:tc>
          <w:tcPr>
            <w:tcW w:w="26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192,171</w:t>
            </w: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180,556</w:t>
            </w:r>
          </w:p>
        </w:tc>
      </w:tr>
      <w:tr>
        <w:trPr>
          <w:trHeight w:val="30"/>
        </w:trPr>
        <w:tc>
          <w:tcPr>
            <w:tcW w:w="7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01"/>
        </w:trPr>
        <w:tc>
          <w:tcPr>
            <w:tcW w:w="7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Commitment and contingencies</w:t>
            </w:r>
          </w:p>
        </w:tc>
        <w:tc>
          <w:tcPr>
            <w:tcW w:w="26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spacing w:after="0"/>
              <w:rPr>
                <w:sz w:val="17"/>
                <w:szCs w:val="17"/>
                <w:color w:val="auto"/>
              </w:rPr>
            </w:pPr>
          </w:p>
        </w:tc>
      </w:tr>
      <w:tr>
        <w:trPr>
          <w:trHeight w:val="199"/>
        </w:trPr>
        <w:tc>
          <w:tcPr>
            <w:tcW w:w="7900" w:type="dxa"/>
            <w:vAlign w:val="bottom"/>
          </w:tcPr>
          <w:p>
            <w:pPr>
              <w:ind w:left="140"/>
              <w:spacing w:after="0"/>
              <w:rPr>
                <w:sz w:val="20"/>
                <w:szCs w:val="20"/>
                <w:color w:val="auto"/>
              </w:rPr>
            </w:pPr>
            <w:r>
              <w:rPr>
                <w:rFonts w:ascii="Arial" w:cs="Arial" w:eastAsia="Arial" w:hAnsi="Arial"/>
                <w:sz w:val="14"/>
                <w:szCs w:val="14"/>
                <w:color w:val="auto"/>
              </w:rPr>
              <w:t>Stockholders’ equity:</w:t>
            </w:r>
          </w:p>
        </w:tc>
        <w:tc>
          <w:tcPr>
            <w:tcW w:w="2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42"/>
        </w:trPr>
        <w:tc>
          <w:tcPr>
            <w:tcW w:w="79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197"/>
        </w:trPr>
        <w:tc>
          <w:tcPr>
            <w:tcW w:w="7900" w:type="dxa"/>
            <w:vAlign w:val="bottom"/>
            <w:shd w:val="clear" w:color="auto" w:fill="CCEEFF"/>
          </w:tcPr>
          <w:p>
            <w:pPr>
              <w:ind w:left="340"/>
              <w:spacing w:after="0"/>
              <w:rPr>
                <w:sz w:val="20"/>
                <w:szCs w:val="20"/>
                <w:color w:val="auto"/>
              </w:rPr>
            </w:pPr>
            <w:r>
              <w:rPr>
                <w:rFonts w:ascii="Arial" w:cs="Arial" w:eastAsia="Arial" w:hAnsi="Arial"/>
                <w:sz w:val="14"/>
                <w:szCs w:val="14"/>
                <w:color w:val="auto"/>
                <w:w w:val="96"/>
              </w:rPr>
              <w:t>Common stock, $0.01 par value; 200,000 shares authorized; 36,453 and 36,146 shares issued and 35,113 and 35,686 shares</w:t>
            </w:r>
          </w:p>
        </w:tc>
        <w:tc>
          <w:tcPr>
            <w:tcW w:w="2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r>
      <w:tr>
        <w:trPr>
          <w:trHeight w:val="193"/>
        </w:trPr>
        <w:tc>
          <w:tcPr>
            <w:tcW w:w="79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outstanding as of March 31, 2016 and December 31, 2015, respectively</w:t>
            </w:r>
          </w:p>
        </w:tc>
        <w:tc>
          <w:tcPr>
            <w:tcW w:w="26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365</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361</w:t>
            </w:r>
          </w:p>
        </w:tc>
      </w:tr>
      <w:tr>
        <w:trPr>
          <w:trHeight w:val="211"/>
        </w:trPr>
        <w:tc>
          <w:tcPr>
            <w:tcW w:w="7900" w:type="dxa"/>
            <w:vAlign w:val="bottom"/>
          </w:tcPr>
          <w:p>
            <w:pPr>
              <w:ind w:left="340"/>
              <w:spacing w:after="0"/>
              <w:rPr>
                <w:sz w:val="20"/>
                <w:szCs w:val="20"/>
                <w:color w:val="auto"/>
              </w:rPr>
            </w:pPr>
            <w:r>
              <w:rPr>
                <w:rFonts w:ascii="Arial" w:cs="Arial" w:eastAsia="Arial" w:hAnsi="Arial"/>
                <w:sz w:val="14"/>
                <w:szCs w:val="14"/>
                <w:color w:val="auto"/>
              </w:rPr>
              <w:t>Treasury stock, at cost; 1,340 and 460 shares as of March 31, 2016 and December 31, 2015, respectively</w:t>
            </w: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(43,461)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(15,635)</w:t>
            </w:r>
          </w:p>
        </w:tc>
      </w:tr>
      <w:tr>
        <w:trPr>
          <w:trHeight w:val="30"/>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21"/>
        </w:trPr>
        <w:tc>
          <w:tcPr>
            <w:tcW w:w="79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Additional paid-in capital</w:t>
            </w:r>
          </w:p>
        </w:tc>
        <w:tc>
          <w:tcPr>
            <w:tcW w:w="26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222,207</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213,851</w:t>
            </w:r>
          </w:p>
        </w:tc>
      </w:tr>
      <w:tr>
        <w:trPr>
          <w:trHeight w:val="211"/>
        </w:trPr>
        <w:tc>
          <w:tcPr>
            <w:tcW w:w="7900" w:type="dxa"/>
            <w:vAlign w:val="bottom"/>
          </w:tcPr>
          <w:p>
            <w:pPr>
              <w:ind w:left="340"/>
              <w:spacing w:after="0"/>
              <w:rPr>
                <w:sz w:val="20"/>
                <w:szCs w:val="20"/>
                <w:color w:val="auto"/>
              </w:rPr>
            </w:pPr>
            <w:r>
              <w:rPr>
                <w:rFonts w:ascii="Arial" w:cs="Arial" w:eastAsia="Arial" w:hAnsi="Arial"/>
                <w:sz w:val="14"/>
                <w:szCs w:val="14"/>
                <w:color w:val="auto"/>
              </w:rPr>
              <w:t>Accumulated other comprehensive loss</w:t>
            </w: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(4,529)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(6,449)</w:t>
            </w:r>
          </w:p>
        </w:tc>
      </w:tr>
      <w:tr>
        <w:trPr>
          <w:trHeight w:val="30"/>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41"/>
        </w:trPr>
        <w:tc>
          <w:tcPr>
            <w:tcW w:w="79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Retained earnings</w:t>
            </w:r>
          </w:p>
        </w:tc>
        <w:tc>
          <w:tcPr>
            <w:tcW w:w="2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102,570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96,437</w:t>
            </w:r>
          </w:p>
        </w:tc>
      </w:tr>
      <w:tr>
        <w:trPr>
          <w:trHeight w:val="191"/>
        </w:trPr>
        <w:tc>
          <w:tcPr>
            <w:tcW w:w="7900" w:type="dxa"/>
            <w:vAlign w:val="bottom"/>
          </w:tcPr>
          <w:p>
            <w:pPr>
              <w:ind w:left="520"/>
              <w:spacing w:after="0"/>
              <w:rPr>
                <w:sz w:val="20"/>
                <w:szCs w:val="20"/>
                <w:color w:val="auto"/>
              </w:rPr>
            </w:pPr>
            <w:r>
              <w:rPr>
                <w:rFonts w:ascii="Arial" w:cs="Arial" w:eastAsia="Arial" w:hAnsi="Arial"/>
                <w:sz w:val="14"/>
                <w:szCs w:val="14"/>
                <w:color w:val="auto"/>
              </w:rPr>
              <w:t>Total stockholders’ equity</w:t>
            </w:r>
          </w:p>
        </w:tc>
        <w:tc>
          <w:tcPr>
            <w:tcW w:w="26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277,152</w:t>
            </w: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288,565</w:t>
            </w:r>
          </w:p>
        </w:tc>
      </w:tr>
      <w:tr>
        <w:trPr>
          <w:trHeight w:val="30"/>
        </w:trPr>
        <w:tc>
          <w:tcPr>
            <w:tcW w:w="7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26"/>
        </w:trPr>
        <w:tc>
          <w:tcPr>
            <w:tcW w:w="7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Total liabilities and stockholders’ equity</w:t>
            </w: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469,323</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5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469,121</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ectPr>
          <w:pgSz w:w="11900" w:h="16838" w:orient="portrait"/>
          <w:cols w:equalWidth="0" w:num="1">
            <w:col w:w="11440"/>
          </w:cols>
          <w:pgMar w:left="240" w:top="533" w:right="219" w:bottom="1440" w:gutter="0" w:footer="0" w:header="0"/>
        </w:sectPr>
      </w:pPr>
    </w:p>
    <w:bookmarkStart w:id="12" w:name="page13"/>
    <w:bookmarkEnd w:id="12"/>
    <w:p>
      <w:pPr>
        <w:jc w:val="center"/>
        <w:ind w:right="-3"/>
        <w:spacing w:after="0"/>
        <w:rPr>
          <w:sz w:val="20"/>
          <w:szCs w:val="20"/>
          <w:color w:val="auto"/>
        </w:rPr>
      </w:pPr>
      <w:r>
        <w:rPr>
          <w:rFonts w:ascii="Arial" w:cs="Arial" w:eastAsia="Arial" w:hAnsi="Arial"/>
          <w:sz w:val="16"/>
          <w:szCs w:val="16"/>
          <w:b w:val="1"/>
          <w:bCs w:val="1"/>
          <w:color w:val="auto"/>
        </w:rPr>
        <w:t>Shutterstock, Inc.</w:t>
      </w:r>
    </w:p>
    <w:p>
      <w:pPr>
        <w:spacing w:after="0" w:line="25"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Reconciliation of Non-GAAP Financial Information to GAAP</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(In thousands, except per share information)</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(Unaudited)</w:t>
      </w:r>
    </w:p>
    <w:p>
      <w:pPr>
        <w:spacing w:after="0" w:line="97" w:lineRule="exact"/>
        <w:rPr>
          <w:sz w:val="20"/>
          <w:szCs w:val="20"/>
          <w:color w:val="auto"/>
        </w:rPr>
      </w:pPr>
    </w:p>
    <w:p>
      <w:pPr>
        <w:jc w:val="both"/>
        <w:ind w:left="4" w:right="20"/>
        <w:spacing w:after="0" w:line="259" w:lineRule="auto"/>
        <w:rPr>
          <w:sz w:val="20"/>
          <w:szCs w:val="20"/>
          <w:color w:val="auto"/>
        </w:rPr>
      </w:pPr>
      <w:r>
        <w:rPr>
          <w:rFonts w:ascii="Arial" w:cs="Arial" w:eastAsia="Arial" w:hAnsi="Arial"/>
          <w:sz w:val="14"/>
          <w:szCs w:val="14"/>
          <w:color w:val="auto"/>
        </w:rPr>
        <w:t>The following information is not a financial measure under United States generally accepted accounting principles (GAAP). In addition, it should not be construed as an alternative to any other measures of performance determined in accordance with GAAP, or as an indicator of our operating performance, liquidity or cash flows generated by operating, investing and financing activities as there may be significant factors or trends that it fails to address. We present this financial information because we believe that it is helpful to some investors as one measure of our operations. We caution investors that non-GAAP financial information, by its nature, departs from traditional accounting conventions; accordingly, its use can make it difficult to compare our results with our results from other reporting periods and with the results of other companies.</w:t>
      </w:r>
    </w:p>
    <w:p>
      <w:pPr>
        <w:spacing w:after="0" w:line="185" w:lineRule="exact"/>
        <w:rPr>
          <w:sz w:val="20"/>
          <w:szCs w:val="20"/>
          <w:color w:val="auto"/>
        </w:rPr>
      </w:pPr>
    </w:p>
    <w:tbl>
      <w:tblPr>
        <w:tblLayout w:type="fixed"/>
        <w:tblInd w:w="4" w:type="dxa"/>
        <w:tblCellMar>
          <w:top w:w="0" w:type="dxa"/>
          <w:left w:w="0" w:type="dxa"/>
          <w:bottom w:w="0" w:type="dxa"/>
          <w:right w:w="0" w:type="dxa"/>
        </w:tblCellMar>
      </w:tblPr>
      <w:tr>
        <w:trPr>
          <w:trHeight w:val="153"/>
        </w:trPr>
        <w:tc>
          <w:tcPr>
            <w:tcW w:w="340" w:type="dxa"/>
            <w:vAlign w:val="bottom"/>
          </w:tcPr>
          <w:p>
            <w:pPr>
              <w:spacing w:after="0"/>
              <w:rPr>
                <w:sz w:val="13"/>
                <w:szCs w:val="13"/>
                <w:color w:val="auto"/>
              </w:rPr>
            </w:pPr>
          </w:p>
        </w:tc>
        <w:tc>
          <w:tcPr>
            <w:tcW w:w="8020" w:type="dxa"/>
            <w:vAlign w:val="bottom"/>
          </w:tcPr>
          <w:p>
            <w:pPr>
              <w:spacing w:after="0"/>
              <w:rPr>
                <w:sz w:val="13"/>
                <w:szCs w:val="13"/>
                <w:color w:val="auto"/>
              </w:rPr>
            </w:pPr>
          </w:p>
        </w:tc>
        <w:tc>
          <w:tcPr>
            <w:tcW w:w="2500" w:type="dxa"/>
            <w:vAlign w:val="bottom"/>
            <w:tcBorders>
              <w:bottom w:val="single" w:sz="8" w:color="auto"/>
            </w:tcBorders>
            <w:gridSpan w:val="4"/>
          </w:tcPr>
          <w:p>
            <w:pPr>
              <w:jc w:val="right"/>
              <w:ind w:right="112"/>
              <w:spacing w:after="0"/>
              <w:rPr>
                <w:sz w:val="20"/>
                <w:szCs w:val="20"/>
                <w:color w:val="auto"/>
              </w:rPr>
            </w:pPr>
            <w:r>
              <w:rPr>
                <w:rFonts w:ascii="Arial" w:cs="Arial" w:eastAsia="Arial" w:hAnsi="Arial"/>
                <w:sz w:val="11"/>
                <w:szCs w:val="11"/>
                <w:b w:val="1"/>
                <w:bCs w:val="1"/>
                <w:color w:val="auto"/>
              </w:rPr>
              <w:t>Three Months Ended March 31,</w:t>
            </w:r>
          </w:p>
        </w:tc>
        <w:tc>
          <w:tcPr>
            <w:tcW w:w="580" w:type="dxa"/>
            <w:vAlign w:val="bottom"/>
            <w:tcBorders>
              <w:bottom w:val="single" w:sz="8" w:color="auto"/>
            </w:tcBorders>
          </w:tcPr>
          <w:p>
            <w:pPr>
              <w:spacing w:after="0"/>
              <w:rPr>
                <w:sz w:val="13"/>
                <w:szCs w:val="13"/>
                <w:color w:val="auto"/>
              </w:rPr>
            </w:pPr>
          </w:p>
        </w:tc>
      </w:tr>
      <w:tr>
        <w:trPr>
          <w:trHeight w:val="233"/>
        </w:trPr>
        <w:tc>
          <w:tcPr>
            <w:tcW w:w="340" w:type="dxa"/>
            <w:vAlign w:val="bottom"/>
          </w:tcPr>
          <w:p>
            <w:pPr>
              <w:spacing w:after="0"/>
              <w:rPr>
                <w:sz w:val="20"/>
                <w:szCs w:val="20"/>
                <w:color w:val="auto"/>
              </w:rPr>
            </w:pPr>
          </w:p>
        </w:tc>
        <w:tc>
          <w:tcPr>
            <w:tcW w:w="8020" w:type="dxa"/>
            <w:vAlign w:val="bottom"/>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2016</w:t>
            </w:r>
          </w:p>
        </w:tc>
        <w:tc>
          <w:tcPr>
            <w:tcW w:w="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2015</w:t>
            </w:r>
          </w:p>
        </w:tc>
        <w:tc>
          <w:tcPr>
            <w:tcW w:w="580" w:type="dxa"/>
            <w:vAlign w:val="bottom"/>
            <w:tcBorders>
              <w:bottom w:val="single" w:sz="8" w:color="auto"/>
            </w:tcBorders>
          </w:tcPr>
          <w:p>
            <w:pPr>
              <w:spacing w:after="0"/>
              <w:rPr>
                <w:sz w:val="20"/>
                <w:szCs w:val="20"/>
                <w:color w:val="auto"/>
              </w:rPr>
            </w:pPr>
          </w:p>
        </w:tc>
      </w:tr>
      <w:tr>
        <w:trPr>
          <w:trHeight w:val="205"/>
        </w:trPr>
        <w:tc>
          <w:tcPr>
            <w:tcW w:w="340" w:type="dxa"/>
            <w:vAlign w:val="bottom"/>
          </w:tcPr>
          <w:p>
            <w:pPr>
              <w:spacing w:after="0"/>
              <w:rPr>
                <w:sz w:val="17"/>
                <w:szCs w:val="17"/>
                <w:color w:val="auto"/>
              </w:rPr>
            </w:pPr>
          </w:p>
        </w:tc>
        <w:tc>
          <w:tcPr>
            <w:tcW w:w="80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21"/>
        </w:trPr>
        <w:tc>
          <w:tcPr>
            <w:tcW w:w="8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920" w:type="dxa"/>
            <w:vAlign w:val="bottom"/>
            <w:tcBorders>
              <w:bottom w:val="single" w:sz="8" w:color="CCEEFF"/>
            </w:tcBorders>
            <w:shd w:val="clear" w:color="auto" w:fill="CCEEFF"/>
          </w:tcPr>
          <w:p>
            <w:pPr>
              <w:jc w:val="right"/>
              <w:ind w:right="754"/>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6,133</w:t>
            </w: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732"/>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3,243</w:t>
            </w:r>
          </w:p>
        </w:tc>
      </w:tr>
      <w:tr>
        <w:trPr>
          <w:trHeight w:val="199"/>
        </w:trPr>
        <w:tc>
          <w:tcPr>
            <w:tcW w:w="8360" w:type="dxa"/>
            <w:vAlign w:val="bottom"/>
            <w:gridSpan w:val="2"/>
          </w:tcPr>
          <w:p>
            <w:pPr>
              <w:ind w:left="140"/>
              <w:spacing w:after="0"/>
              <w:rPr>
                <w:sz w:val="20"/>
                <w:szCs w:val="20"/>
                <w:color w:val="auto"/>
              </w:rPr>
            </w:pPr>
            <w:r>
              <w:rPr>
                <w:rFonts w:ascii="Arial" w:cs="Arial" w:eastAsia="Arial" w:hAnsi="Arial"/>
                <w:sz w:val="14"/>
                <w:szCs w:val="14"/>
                <w:color w:val="auto"/>
              </w:rPr>
              <w:t>Add:</w:t>
            </w:r>
          </w:p>
        </w:tc>
        <w:tc>
          <w:tcPr>
            <w:tcW w:w="9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42"/>
        </w:trPr>
        <w:tc>
          <w:tcPr>
            <w:tcW w:w="340" w:type="dxa"/>
            <w:vAlign w:val="bottom"/>
          </w:tcPr>
          <w:p>
            <w:pPr>
              <w:spacing w:after="0"/>
              <w:rPr>
                <w:sz w:val="3"/>
                <w:szCs w:val="3"/>
                <w:color w:val="auto"/>
              </w:rPr>
            </w:pPr>
          </w:p>
        </w:tc>
        <w:tc>
          <w:tcPr>
            <w:tcW w:w="8020" w:type="dxa"/>
            <w:vAlign w:val="bottom"/>
          </w:tcPr>
          <w:p>
            <w:pPr>
              <w:spacing w:after="0"/>
              <w:rPr>
                <w:sz w:val="3"/>
                <w:szCs w:val="3"/>
                <w:color w:val="auto"/>
              </w:rPr>
            </w:pPr>
          </w:p>
        </w:tc>
        <w:tc>
          <w:tcPr>
            <w:tcW w:w="9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580" w:type="dxa"/>
            <w:vAlign w:val="bottom"/>
          </w:tcPr>
          <w:p>
            <w:pPr>
              <w:spacing w:after="0"/>
              <w:rPr>
                <w:sz w:val="3"/>
                <w:szCs w:val="3"/>
                <w:color w:val="auto"/>
              </w:rPr>
            </w:pPr>
          </w:p>
        </w:tc>
      </w:tr>
      <w:tr>
        <w:trPr>
          <w:trHeight w:val="221"/>
        </w:trPr>
        <w:tc>
          <w:tcPr>
            <w:tcW w:w="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(a)</w:t>
            </w:r>
          </w:p>
        </w:tc>
        <w:tc>
          <w:tcPr>
            <w:tcW w:w="8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Depreciation and amortization</w:t>
            </w:r>
          </w:p>
        </w:tc>
        <w:tc>
          <w:tcPr>
            <w:tcW w:w="9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4,184</w:t>
            </w: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2,995</w:t>
            </w:r>
          </w:p>
        </w:tc>
      </w:tr>
      <w:tr>
        <w:trPr>
          <w:trHeight w:val="233"/>
        </w:trPr>
        <w:tc>
          <w:tcPr>
            <w:tcW w:w="8360" w:type="dxa"/>
            <w:vAlign w:val="bottom"/>
            <w:gridSpan w:val="2"/>
          </w:tcPr>
          <w:p>
            <w:pPr>
              <w:ind w:left="140"/>
              <w:spacing w:after="0"/>
              <w:rPr>
                <w:sz w:val="20"/>
                <w:szCs w:val="20"/>
                <w:color w:val="auto"/>
              </w:rPr>
            </w:pPr>
            <w:r>
              <w:rPr>
                <w:rFonts w:ascii="Arial" w:cs="Arial" w:eastAsia="Arial" w:hAnsi="Arial"/>
                <w:sz w:val="14"/>
                <w:szCs w:val="14"/>
                <w:color w:val="auto"/>
              </w:rPr>
              <w:t>(b) Write-off of property and equipment</w:t>
            </w:r>
          </w:p>
        </w:tc>
        <w:tc>
          <w:tcPr>
            <w:tcW w:w="920" w:type="dxa"/>
            <w:vAlign w:val="bottom"/>
          </w:tcPr>
          <w:p>
            <w:pPr>
              <w:spacing w:after="0"/>
              <w:rPr>
                <w:sz w:val="20"/>
                <w:szCs w:val="20"/>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900" w:type="dxa"/>
            <w:vAlign w:val="bottom"/>
          </w:tcPr>
          <w:p>
            <w:pPr>
              <w:spacing w:after="0"/>
              <w:rPr>
                <w:sz w:val="20"/>
                <w:szCs w:val="20"/>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29"/>
        </w:trPr>
        <w:tc>
          <w:tcPr>
            <w:tcW w:w="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(c)</w:t>
            </w:r>
          </w:p>
        </w:tc>
        <w:tc>
          <w:tcPr>
            <w:tcW w:w="8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Non-cash equity-based compensation</w:t>
            </w:r>
          </w:p>
        </w:tc>
        <w:tc>
          <w:tcPr>
            <w:tcW w:w="9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7,353</w:t>
            </w: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7,508</w:t>
            </w:r>
          </w:p>
        </w:tc>
      </w:tr>
      <w:tr>
        <w:trPr>
          <w:trHeight w:val="211"/>
        </w:trPr>
        <w:tc>
          <w:tcPr>
            <w:tcW w:w="340" w:type="dxa"/>
            <w:vAlign w:val="bottom"/>
          </w:tcPr>
          <w:p>
            <w:pPr>
              <w:ind w:left="140"/>
              <w:spacing w:after="0"/>
              <w:rPr>
                <w:sz w:val="20"/>
                <w:szCs w:val="20"/>
                <w:color w:val="auto"/>
              </w:rPr>
            </w:pPr>
            <w:r>
              <w:rPr>
                <w:rFonts w:ascii="Arial" w:cs="Arial" w:eastAsia="Arial" w:hAnsi="Arial"/>
                <w:sz w:val="14"/>
                <w:szCs w:val="14"/>
                <w:color w:val="auto"/>
              </w:rPr>
              <w:t>(d)</w:t>
            </w:r>
          </w:p>
        </w:tc>
        <w:tc>
          <w:tcPr>
            <w:tcW w:w="8020" w:type="dxa"/>
            <w:vAlign w:val="bottom"/>
          </w:tcPr>
          <w:p>
            <w:pPr>
              <w:ind w:left="40"/>
              <w:spacing w:after="0"/>
              <w:rPr>
                <w:sz w:val="20"/>
                <w:szCs w:val="20"/>
                <w:color w:val="auto"/>
              </w:rPr>
            </w:pPr>
            <w:r>
              <w:rPr>
                <w:rFonts w:ascii="Arial" w:cs="Arial" w:eastAsia="Arial" w:hAnsi="Arial"/>
                <w:sz w:val="14"/>
                <w:szCs w:val="14"/>
                <w:color w:val="auto"/>
              </w:rPr>
              <w:t>Provision for income taxes</w:t>
            </w:r>
          </w:p>
        </w:tc>
        <w:tc>
          <w:tcPr>
            <w:tcW w:w="920" w:type="dxa"/>
            <w:vAlign w:val="bottom"/>
          </w:tcPr>
          <w:p>
            <w:pPr>
              <w:spacing w:after="0"/>
              <w:rPr>
                <w:sz w:val="18"/>
                <w:szCs w:val="18"/>
                <w:color w:val="auto"/>
              </w:rPr>
            </w:pPr>
          </w:p>
        </w:tc>
        <w:tc>
          <w:tcPr>
            <w:tcW w:w="580" w:type="dxa"/>
            <w:vAlign w:val="bottom"/>
          </w:tcPr>
          <w:p>
            <w:pPr>
              <w:jc w:val="right"/>
              <w:ind w:right="49"/>
              <w:spacing w:after="0"/>
              <w:rPr>
                <w:sz w:val="20"/>
                <w:szCs w:val="20"/>
                <w:color w:val="auto"/>
              </w:rPr>
            </w:pPr>
            <w:r>
              <w:rPr>
                <w:rFonts w:ascii="Arial" w:cs="Arial" w:eastAsia="Arial" w:hAnsi="Arial"/>
                <w:sz w:val="14"/>
                <w:szCs w:val="14"/>
                <w:color w:val="auto"/>
              </w:rPr>
              <w:t>4,677</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2,431</w:t>
            </w:r>
          </w:p>
        </w:tc>
      </w:tr>
      <w:tr>
        <w:trPr>
          <w:trHeight w:val="30"/>
        </w:trPr>
        <w:tc>
          <w:tcPr>
            <w:tcW w:w="340" w:type="dxa"/>
            <w:vAlign w:val="bottom"/>
          </w:tcPr>
          <w:p>
            <w:pPr>
              <w:spacing w:after="0"/>
              <w:rPr>
                <w:sz w:val="2"/>
                <w:szCs w:val="2"/>
                <w:color w:val="auto"/>
              </w:rPr>
            </w:pPr>
          </w:p>
        </w:tc>
        <w:tc>
          <w:tcPr>
            <w:tcW w:w="80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41"/>
        </w:trPr>
        <w:tc>
          <w:tcPr>
            <w:tcW w:w="3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w:t>
            </w:r>
          </w:p>
        </w:tc>
        <w:tc>
          <w:tcPr>
            <w:tcW w:w="802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Other adjustments, net </w:t>
            </w:r>
            <w:r>
              <w:rPr>
                <w:rFonts w:ascii="Arial" w:cs="Arial" w:eastAsia="Arial" w:hAnsi="Arial"/>
                <w:sz w:val="19"/>
                <w:szCs w:val="19"/>
                <w:color w:val="auto"/>
                <w:vertAlign w:val="superscript"/>
              </w:rPr>
              <w:t>(1)</w:t>
            </w:r>
          </w:p>
        </w:tc>
        <w:tc>
          <w:tcPr>
            <w:tcW w:w="92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1,663</w:t>
            </w:r>
          </w:p>
        </w:tc>
        <w:tc>
          <w:tcPr>
            <w:tcW w:w="100" w:type="dxa"/>
            <w:vAlign w:val="bottom"/>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2,562</w:t>
            </w:r>
          </w:p>
        </w:tc>
      </w:tr>
      <w:tr>
        <w:trPr>
          <w:trHeight w:val="261"/>
        </w:trPr>
        <w:tc>
          <w:tcPr>
            <w:tcW w:w="83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 xml:space="preserve">Adjusted EBITDA </w:t>
            </w:r>
            <w:r>
              <w:rPr>
                <w:rFonts w:ascii="Arial" w:cs="Arial" w:eastAsia="Arial" w:hAnsi="Arial"/>
                <w:sz w:val="19"/>
                <w:szCs w:val="19"/>
                <w:color w:val="auto"/>
                <w:vertAlign w:val="superscript"/>
              </w:rPr>
              <w:t>(2)</w:t>
            </w:r>
          </w:p>
        </w:tc>
        <w:tc>
          <w:tcPr>
            <w:tcW w:w="920" w:type="dxa"/>
            <w:vAlign w:val="bottom"/>
            <w:tcBorders>
              <w:bottom w:val="single" w:sz="8" w:color="auto"/>
            </w:tcBorders>
          </w:tcPr>
          <w:p>
            <w:pPr>
              <w:jc w:val="right"/>
              <w:ind w:right="754"/>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24,010</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ind w:right="732"/>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18,739</w:t>
            </w:r>
          </w:p>
        </w:tc>
      </w:tr>
      <w:tr>
        <w:trPr>
          <w:trHeight w:val="210"/>
        </w:trPr>
        <w:tc>
          <w:tcPr>
            <w:tcW w:w="8360" w:type="dxa"/>
            <w:vAlign w:val="bottom"/>
            <w:tcBorders>
              <w:bottom w:val="single" w:sz="8" w:color="CCEEFF"/>
            </w:tcBorders>
            <w:gridSpan w:val="2"/>
            <w:shd w:val="clear" w:color="auto" w:fill="CCEEFF"/>
          </w:tcPr>
          <w:p>
            <w:pPr>
              <w:ind w:left="20"/>
              <w:spacing w:after="0" w:line="151" w:lineRule="exact"/>
              <w:rPr>
                <w:sz w:val="20"/>
                <w:szCs w:val="20"/>
                <w:color w:val="auto"/>
              </w:rPr>
            </w:pPr>
            <w:r>
              <w:rPr>
                <w:rFonts w:ascii="Arial" w:cs="Arial" w:eastAsia="Arial" w:hAnsi="Arial"/>
                <w:sz w:val="14"/>
                <w:szCs w:val="14"/>
                <w:color w:val="auto"/>
              </w:rPr>
              <w:t>Adjusted EBITDA per diluted common share</w:t>
            </w:r>
          </w:p>
        </w:tc>
        <w:tc>
          <w:tcPr>
            <w:tcW w:w="920" w:type="dxa"/>
            <w:vAlign w:val="bottom"/>
            <w:tcBorders>
              <w:bottom w:val="single" w:sz="8" w:color="CCEEFF"/>
            </w:tcBorders>
            <w:shd w:val="clear" w:color="auto" w:fill="CCEEFF"/>
          </w:tcPr>
          <w:p>
            <w:pPr>
              <w:jc w:val="right"/>
              <w:ind w:right="754"/>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0.67</w:t>
            </w: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ind w:right="732"/>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0.52</w:t>
            </w:r>
          </w:p>
        </w:tc>
      </w:tr>
      <w:tr>
        <w:trPr>
          <w:trHeight w:val="20"/>
        </w:trPr>
        <w:tc>
          <w:tcPr>
            <w:tcW w:w="8360" w:type="dxa"/>
            <w:vAlign w:val="bottom"/>
            <w:tcBorders>
              <w:top w:val="single" w:sz="8" w:color="CCEEFF"/>
            </w:tcBorders>
            <w:gridSpan w:val="2"/>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r>
        <w:trPr>
          <w:trHeight w:val="85"/>
        </w:trPr>
        <w:tc>
          <w:tcPr>
            <w:tcW w:w="340" w:type="dxa"/>
            <w:vAlign w:val="bottom"/>
          </w:tcPr>
          <w:p>
            <w:pPr>
              <w:spacing w:after="0"/>
              <w:rPr>
                <w:sz w:val="7"/>
                <w:szCs w:val="7"/>
                <w:color w:val="auto"/>
              </w:rPr>
            </w:pPr>
          </w:p>
        </w:tc>
        <w:tc>
          <w:tcPr>
            <w:tcW w:w="8020" w:type="dxa"/>
            <w:vAlign w:val="bottom"/>
          </w:tcPr>
          <w:p>
            <w:pPr>
              <w:spacing w:after="0"/>
              <w:rPr>
                <w:sz w:val="7"/>
                <w:szCs w:val="7"/>
                <w:color w:val="auto"/>
              </w:rPr>
            </w:pPr>
          </w:p>
        </w:tc>
        <w:tc>
          <w:tcPr>
            <w:tcW w:w="9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580" w:type="dxa"/>
            <w:vAlign w:val="bottom"/>
          </w:tcPr>
          <w:p>
            <w:pPr>
              <w:spacing w:after="0"/>
              <w:rPr>
                <w:sz w:val="7"/>
                <w:szCs w:val="7"/>
                <w:color w:val="auto"/>
              </w:rPr>
            </w:pPr>
          </w:p>
        </w:tc>
      </w:tr>
      <w:tr>
        <w:trPr>
          <w:trHeight w:val="234"/>
        </w:trPr>
        <w:tc>
          <w:tcPr>
            <w:tcW w:w="8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Weighted average diluted shares</w:t>
            </w:r>
          </w:p>
        </w:tc>
        <w:tc>
          <w:tcPr>
            <w:tcW w:w="9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36,099</w:t>
            </w: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36,193</w:t>
            </w: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80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bl>
    <w:p>
      <w:pPr>
        <w:spacing w:after="0" w:line="201" w:lineRule="exact"/>
        <w:rPr>
          <w:sz w:val="20"/>
          <w:szCs w:val="20"/>
          <w:color w:val="auto"/>
        </w:rPr>
      </w:pPr>
    </w:p>
    <w:p>
      <w:pPr>
        <w:ind w:left="9144"/>
        <w:spacing w:after="0"/>
        <w:rPr>
          <w:sz w:val="20"/>
          <w:szCs w:val="20"/>
          <w:color w:val="auto"/>
        </w:rPr>
      </w:pPr>
      <w:r>
        <w:rPr>
          <w:rFonts w:ascii="Arial" w:cs="Arial" w:eastAsia="Arial" w:hAnsi="Arial"/>
          <w:sz w:val="11"/>
          <w:szCs w:val="11"/>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5307965</wp:posOffset>
            </wp:positionH>
            <wp:positionV relativeFrom="paragraph">
              <wp:posOffset>21590</wp:posOffset>
            </wp:positionV>
            <wp:extent cx="195326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953260" cy="7620"/>
                    </a:xfrm>
                    <a:prstGeom prst="rect">
                      <a:avLst/>
                    </a:prstGeom>
                    <a:noFill/>
                  </pic:spPr>
                </pic:pic>
              </a:graphicData>
            </a:graphic>
          </wp:anchor>
        </w:drawing>
      </w:r>
    </w:p>
    <w:p>
      <w:pPr>
        <w:sectPr>
          <w:pgSz w:w="11900" w:h="16838" w:orient="portrait"/>
          <w:cols w:equalWidth="0" w:num="1">
            <w:col w:w="11444"/>
          </w:cols>
          <w:pgMar w:left="236" w:top="533" w:right="219" w:bottom="1440" w:gutter="0" w:footer="0" w:header="0"/>
        </w:sectPr>
      </w:pPr>
    </w:p>
    <w:p>
      <w:pPr>
        <w:spacing w:after="0" w:line="303" w:lineRule="exact"/>
        <w:rPr>
          <w:sz w:val="20"/>
          <w:szCs w:val="20"/>
          <w:color w:val="auto"/>
        </w:rPr>
      </w:pPr>
    </w:p>
    <w:p>
      <w:pPr>
        <w:ind w:left="24"/>
        <w:spacing w:after="0"/>
        <w:rPr>
          <w:sz w:val="20"/>
          <w:szCs w:val="20"/>
          <w:color w:val="auto"/>
        </w:rPr>
      </w:pPr>
      <w:r>
        <w:rPr>
          <w:rFonts w:ascii="Arial" w:cs="Arial" w:eastAsia="Arial" w:hAnsi="Arial"/>
          <w:sz w:val="14"/>
          <w:szCs w:val="14"/>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-111760</wp:posOffset>
            </wp:positionV>
            <wp:extent cx="7261225" cy="153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1225" cy="153035"/>
                    </a:xfrm>
                    <a:prstGeom prst="rect">
                      <a:avLst/>
                    </a:prstGeom>
                    <a:noFill/>
                  </pic:spPr>
                </pic:pic>
              </a:graphicData>
            </a:graphic>
          </wp:anchor>
        </w:drawing>
      </w:r>
    </w:p>
    <w:p>
      <w:pPr>
        <w:spacing w:after="0" w:line="60" w:lineRule="exact"/>
        <w:rPr>
          <w:sz w:val="20"/>
          <w:szCs w:val="20"/>
          <w:color w:val="auto"/>
        </w:rPr>
      </w:pPr>
    </w:p>
    <w:p>
      <w:pPr>
        <w:ind w:left="144"/>
        <w:spacing w:after="0"/>
        <w:rPr>
          <w:sz w:val="20"/>
          <w:szCs w:val="20"/>
          <w:color w:val="auto"/>
        </w:rPr>
      </w:pPr>
      <w:r>
        <w:rPr>
          <w:rFonts w:ascii="Arial" w:cs="Arial" w:eastAsia="Arial" w:hAnsi="Arial"/>
          <w:sz w:val="14"/>
          <w:szCs w:val="14"/>
          <w:color w:val="auto"/>
        </w:rPr>
        <w:t>Add (net of tax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7261225" cy="153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1225" cy="153035"/>
                    </a:xfrm>
                    <a:prstGeom prst="rect">
                      <a:avLst/>
                    </a:prstGeom>
                    <a:noFill/>
                  </pic:spPr>
                </pic:pic>
              </a:graphicData>
            </a:graphic>
          </wp:anchor>
        </w:drawing>
      </w:r>
    </w:p>
    <w:p>
      <w:pPr>
        <w:spacing w:after="0" w:line="60" w:lineRule="exact"/>
        <w:rPr>
          <w:sz w:val="20"/>
          <w:szCs w:val="20"/>
          <w:color w:val="auto"/>
        </w:rPr>
      </w:pPr>
    </w:p>
    <w:p>
      <w:pPr>
        <w:ind w:left="384" w:hanging="239"/>
        <w:spacing w:after="0"/>
        <w:tabs>
          <w:tab w:leader="none" w:pos="384" w:val="left"/>
        </w:tabs>
        <w:numPr>
          <w:ilvl w:val="0"/>
          <w:numId w:val="6"/>
        </w:numPr>
        <w:rPr>
          <w:rFonts w:ascii="Arial" w:cs="Arial" w:eastAsia="Arial" w:hAnsi="Arial"/>
          <w:sz w:val="14"/>
          <w:szCs w:val="14"/>
          <w:color w:val="auto"/>
        </w:rPr>
      </w:pPr>
      <w:r>
        <w:rPr>
          <w:rFonts w:ascii="Arial" w:cs="Arial" w:eastAsia="Arial" w:hAnsi="Arial"/>
          <w:sz w:val="14"/>
          <w:szCs w:val="14"/>
          <w:color w:val="auto"/>
        </w:rPr>
        <w:t>Non-cash equity-based compensation</w:t>
      </w:r>
    </w:p>
    <w:p>
      <w:pPr>
        <w:spacing w:after="0" w:line="80" w:lineRule="exact"/>
        <w:rPr>
          <w:rFonts w:ascii="Arial" w:cs="Arial" w:eastAsia="Arial" w:hAnsi="Arial"/>
          <w:sz w:val="14"/>
          <w:szCs w:val="14"/>
          <w:color w:val="auto"/>
        </w:rPr>
      </w:pPr>
    </w:p>
    <w:p>
      <w:pPr>
        <w:ind w:left="384" w:hanging="239"/>
        <w:spacing w:after="0"/>
        <w:tabs>
          <w:tab w:leader="none" w:pos="384" w:val="left"/>
        </w:tabs>
        <w:numPr>
          <w:ilvl w:val="0"/>
          <w:numId w:val="6"/>
        </w:numPr>
        <w:rPr>
          <w:rFonts w:ascii="Arial" w:cs="Arial" w:eastAsia="Arial" w:hAnsi="Arial"/>
          <w:sz w:val="14"/>
          <w:szCs w:val="14"/>
          <w:color w:val="auto"/>
        </w:rPr>
      </w:pPr>
      <w:r>
        <w:rPr>
          <w:rFonts w:ascii="Arial" w:cs="Arial" w:eastAsia="Arial" w:hAnsi="Arial"/>
          <w:sz w:val="14"/>
          <w:szCs w:val="14"/>
          <w:color w:val="auto"/>
        </w:rPr>
        <w:t>Acquisition related amortization expense</w:t>
      </w:r>
    </w:p>
    <w:p>
      <w:pPr>
        <w:spacing w:after="0" w:line="80" w:lineRule="exact"/>
        <w:rPr>
          <w:rFonts w:ascii="Arial" w:cs="Arial" w:eastAsia="Arial" w:hAnsi="Arial"/>
          <w:sz w:val="14"/>
          <w:szCs w:val="14"/>
          <w:color w:val="auto"/>
        </w:rPr>
      </w:pPr>
    </w:p>
    <w:p>
      <w:pPr>
        <w:ind w:left="384" w:hanging="239"/>
        <w:spacing w:after="0"/>
        <w:tabs>
          <w:tab w:leader="none" w:pos="384" w:val="left"/>
        </w:tabs>
        <w:numPr>
          <w:ilvl w:val="0"/>
          <w:numId w:val="6"/>
        </w:numPr>
        <w:rPr>
          <w:rFonts w:ascii="Arial" w:cs="Arial" w:eastAsia="Arial" w:hAnsi="Arial"/>
          <w:sz w:val="13"/>
          <w:szCs w:val="13"/>
          <w:color w:val="auto"/>
        </w:rPr>
      </w:pPr>
      <w:r>
        <w:rPr>
          <w:rFonts w:ascii="Arial" w:cs="Arial" w:eastAsia="Arial" w:hAnsi="Arial"/>
          <w:sz w:val="13"/>
          <w:szCs w:val="13"/>
          <w:color w:val="auto"/>
        </w:rPr>
        <w:t>Change in fair value of contingent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-104140</wp:posOffset>
            </wp:positionV>
            <wp:extent cx="7261225" cy="153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1225" cy="153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ind w:left="620"/>
        <w:spacing w:after="0"/>
        <w:tabs>
          <w:tab w:leader="none" w:pos="2180" w:val="left"/>
        </w:tabs>
        <w:rPr>
          <w:sz w:val="20"/>
          <w:szCs w:val="20"/>
          <w:color w:val="auto"/>
        </w:rPr>
      </w:pPr>
      <w:r>
        <w:rPr>
          <w:rFonts w:ascii="Arial" w:cs="Arial" w:eastAsia="Arial" w:hAnsi="Arial"/>
          <w:sz w:val="11"/>
          <w:szCs w:val="11"/>
          <w:b w:val="1"/>
          <w:bCs w:val="1"/>
          <w:color w:val="auto"/>
        </w:rPr>
        <w:t>2016</w:t>
      </w:r>
      <w:r>
        <w:rPr>
          <w:sz w:val="20"/>
          <w:szCs w:val="20"/>
          <w:color w:val="auto"/>
        </w:rPr>
        <w:tab/>
      </w:r>
      <w:r>
        <w:rPr>
          <w:rFonts w:ascii="Arial" w:cs="Arial" w:eastAsia="Arial" w:hAnsi="Arial"/>
          <w:sz w:val="11"/>
          <w:szCs w:val="11"/>
          <w:b w:val="1"/>
          <w:bCs w:val="1"/>
          <w:color w:val="auto"/>
        </w:rPr>
        <w:t>2015</w:t>
      </w:r>
    </w:p>
    <w:p>
      <w:pPr>
        <w:spacing w:after="0" w:line="62" w:lineRule="exact"/>
        <w:rPr>
          <w:sz w:val="20"/>
          <w:szCs w:val="20"/>
          <w:color w:val="auto"/>
        </w:rPr>
      </w:pPr>
    </w:p>
    <w:p>
      <w:pPr>
        <w:spacing w:after="0"/>
        <w:tabs>
          <w:tab w:leader="none" w:pos="1020" w:val="left"/>
          <w:tab w:leader="none" w:pos="1580" w:val="left"/>
          <w:tab w:leader="none" w:pos="260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6,133</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2"/>
          <w:szCs w:val="12"/>
          <w:color w:val="auto"/>
        </w:rPr>
        <w:t>3,243</w:t>
      </w:r>
    </w:p>
    <w:p>
      <w:pPr>
        <w:spacing w:after="0" w:line="321" w:lineRule="exact"/>
        <w:rPr>
          <w:sz w:val="20"/>
          <w:szCs w:val="20"/>
          <w:color w:val="auto"/>
        </w:rPr>
      </w:pPr>
    </w:p>
    <w:p>
      <w:pPr>
        <w:jc w:val="both"/>
        <w:ind w:left="1040"/>
        <w:spacing w:after="0"/>
        <w:tabs>
          <w:tab w:leader="none" w:pos="2600" w:val="left"/>
        </w:tabs>
        <w:rPr>
          <w:sz w:val="20"/>
          <w:szCs w:val="20"/>
          <w:color w:val="auto"/>
        </w:rPr>
      </w:pPr>
      <w:r>
        <w:rPr>
          <w:rFonts w:ascii="Arial" w:cs="Arial" w:eastAsia="Arial" w:hAnsi="Arial"/>
          <w:sz w:val="14"/>
          <w:szCs w:val="14"/>
          <w:color w:val="auto"/>
        </w:rPr>
        <w:t>4,766</w:t>
      </w:r>
      <w:r>
        <w:rPr>
          <w:sz w:val="20"/>
          <w:szCs w:val="20"/>
          <w:color w:val="auto"/>
        </w:rPr>
        <w:tab/>
      </w:r>
      <w:r>
        <w:rPr>
          <w:rFonts w:ascii="Arial" w:cs="Arial" w:eastAsia="Arial" w:hAnsi="Arial"/>
          <w:sz w:val="14"/>
          <w:szCs w:val="14"/>
          <w:color w:val="auto"/>
        </w:rPr>
        <w:t>4,846</w:t>
      </w:r>
    </w:p>
    <w:p>
      <w:pPr>
        <w:spacing w:after="0" w:line="80" w:lineRule="exact"/>
        <w:rPr>
          <w:sz w:val="20"/>
          <w:szCs w:val="20"/>
          <w:color w:val="auto"/>
        </w:rPr>
      </w:pPr>
    </w:p>
    <w:p>
      <w:pPr>
        <w:jc w:val="both"/>
        <w:ind w:left="1140"/>
        <w:spacing w:after="0"/>
        <w:tabs>
          <w:tab w:leader="none" w:pos="2700" w:val="left"/>
        </w:tabs>
        <w:rPr>
          <w:sz w:val="20"/>
          <w:szCs w:val="20"/>
          <w:color w:val="auto"/>
        </w:rPr>
      </w:pPr>
      <w:r>
        <w:rPr>
          <w:rFonts w:ascii="Arial" w:cs="Arial" w:eastAsia="Arial" w:hAnsi="Arial"/>
          <w:sz w:val="14"/>
          <w:szCs w:val="14"/>
          <w:color w:val="auto"/>
        </w:rPr>
        <w:t>740</w:t>
      </w:r>
      <w:r>
        <w:rPr>
          <w:sz w:val="20"/>
          <w:szCs w:val="20"/>
          <w:color w:val="auto"/>
        </w:rPr>
        <w:tab/>
      </w:r>
      <w:r>
        <w:rPr>
          <w:rFonts w:ascii="Arial" w:cs="Arial" w:eastAsia="Arial" w:hAnsi="Arial"/>
          <w:sz w:val="14"/>
          <w:szCs w:val="14"/>
          <w:color w:val="auto"/>
        </w:rPr>
        <w:t>580</w:t>
      </w:r>
    </w:p>
    <w:p>
      <w:pPr>
        <w:spacing w:after="0" w:line="80" w:lineRule="exact"/>
        <w:rPr>
          <w:sz w:val="20"/>
          <w:szCs w:val="20"/>
          <w:color w:val="auto"/>
        </w:rPr>
      </w:pPr>
    </w:p>
    <w:p>
      <w:pPr>
        <w:jc w:val="both"/>
        <w:ind w:left="1040"/>
        <w:spacing w:after="0"/>
        <w:tabs>
          <w:tab w:leader="none" w:pos="2700" w:val="left"/>
        </w:tabs>
        <w:rPr>
          <w:sz w:val="20"/>
          <w:szCs w:val="20"/>
          <w:color w:val="auto"/>
        </w:rPr>
      </w:pPr>
      <w:r>
        <w:rPr>
          <w:rFonts w:ascii="Arial" w:cs="Arial" w:eastAsia="Arial" w:hAnsi="Arial"/>
          <w:sz w:val="14"/>
          <w:szCs w:val="14"/>
          <w:color w:val="auto"/>
        </w:rPr>
        <w:t>1,496</w:t>
      </w:r>
      <w:r>
        <w:rPr>
          <w:sz w:val="20"/>
          <w:szCs w:val="20"/>
          <w:color w:val="auto"/>
        </w:rPr>
        <w:tab/>
      </w:r>
      <w:r>
        <w:rPr>
          <w:rFonts w:ascii="Arial" w:cs="Arial" w:eastAsia="Arial" w:hAnsi="Arial"/>
          <w:sz w:val="14"/>
          <w:szCs w:val="14"/>
          <w:color w:val="auto"/>
        </w:rPr>
        <w:t>328</w:t>
      </w:r>
    </w:p>
    <w:p>
      <w:pPr>
        <w:spacing w:after="0" w:line="32" w:lineRule="exact"/>
        <w:rPr>
          <w:sz w:val="20"/>
          <w:szCs w:val="20"/>
          <w:color w:val="auto"/>
        </w:rPr>
      </w:pPr>
    </w:p>
    <w:p>
      <w:pPr>
        <w:sectPr>
          <w:pgSz w:w="11900" w:h="16838" w:orient="portrait"/>
          <w:cols w:equalWidth="0" w:num="2">
            <w:col w:w="7664" w:space="720"/>
            <w:col w:w="3060"/>
          </w:cols>
          <w:pgMar w:left="236" w:top="533" w:right="219" w:bottom="1440" w:gutter="0" w:footer="0" w:header="0"/>
          <w:type w:val="continuous"/>
        </w:sectPr>
      </w:pPr>
    </w:p>
    <w:tbl>
      <w:tblPr>
        <w:tblLayout w:type="fixed"/>
        <w:tblInd w:w="4" w:type="dxa"/>
        <w:tblCellMar>
          <w:top w:w="0" w:type="dxa"/>
          <w:left w:w="0" w:type="dxa"/>
          <w:bottom w:w="0" w:type="dxa"/>
          <w:right w:w="0" w:type="dxa"/>
        </w:tblCellMar>
      </w:tblPr>
      <w:tr>
        <w:trPr>
          <w:trHeight w:val="211"/>
        </w:trPr>
        <w:tc>
          <w:tcPr>
            <w:tcW w:w="8360" w:type="dxa"/>
            <w:vAlign w:val="bottom"/>
            <w:gridSpan w:val="2"/>
          </w:tcPr>
          <w:p>
            <w:pPr>
              <w:ind w:left="20"/>
              <w:spacing w:after="0"/>
              <w:rPr>
                <w:sz w:val="20"/>
                <w:szCs w:val="20"/>
                <w:color w:val="auto"/>
              </w:rPr>
            </w:pPr>
            <w:r>
              <w:rPr>
                <w:rFonts w:ascii="Arial" w:cs="Arial" w:eastAsia="Arial" w:hAnsi="Arial"/>
                <w:sz w:val="14"/>
                <w:szCs w:val="14"/>
                <w:color w:val="auto"/>
              </w:rPr>
              <w:t>Non-GAAP net income</w:t>
            </w:r>
          </w:p>
        </w:tc>
        <w:tc>
          <w:tcPr>
            <w:tcW w:w="920" w:type="dxa"/>
            <w:vAlign w:val="bottom"/>
            <w:tcBorders>
              <w:top w:val="single" w:sz="8" w:color="auto"/>
            </w:tcBorders>
          </w:tcPr>
          <w:p>
            <w:pPr>
              <w:jc w:val="right"/>
              <w:ind w:right="752"/>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13,135</w:t>
            </w:r>
          </w:p>
        </w:tc>
        <w:tc>
          <w:tcPr>
            <w:tcW w:w="100" w:type="dxa"/>
            <w:vAlign w:val="bottom"/>
          </w:tcPr>
          <w:p>
            <w:pPr>
              <w:spacing w:after="0"/>
              <w:rPr>
                <w:sz w:val="18"/>
                <w:szCs w:val="18"/>
                <w:color w:val="auto"/>
              </w:rPr>
            </w:pPr>
          </w:p>
        </w:tc>
        <w:tc>
          <w:tcPr>
            <w:tcW w:w="900" w:type="dxa"/>
            <w:vAlign w:val="bottom"/>
            <w:tcBorders>
              <w:top w:val="single" w:sz="8" w:color="auto"/>
            </w:tcBorders>
          </w:tcPr>
          <w:p>
            <w:pPr>
              <w:jc w:val="right"/>
              <w:ind w:right="730"/>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8,997</w:t>
            </w:r>
          </w:p>
        </w:tc>
      </w:tr>
      <w:tr>
        <w:trPr>
          <w:trHeight w:val="70"/>
        </w:trPr>
        <w:tc>
          <w:tcPr>
            <w:tcW w:w="8360" w:type="dxa"/>
            <w:vAlign w:val="bottom"/>
            <w:tcBorders>
              <w:bottom w:val="single" w:sz="8" w:color="CCEEFF"/>
            </w:tcBorders>
            <w:gridSpan w:val="2"/>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r>
      <w:tr>
        <w:trPr>
          <w:trHeight w:val="210"/>
        </w:trPr>
        <w:tc>
          <w:tcPr>
            <w:tcW w:w="8360" w:type="dxa"/>
            <w:vAlign w:val="bottom"/>
            <w:tcBorders>
              <w:bottom w:val="single" w:sz="8" w:color="CCEEFF"/>
            </w:tcBorders>
            <w:gridSpan w:val="2"/>
            <w:shd w:val="clear" w:color="auto" w:fill="CCEEFF"/>
          </w:tcPr>
          <w:p>
            <w:pPr>
              <w:ind w:left="20"/>
              <w:spacing w:after="0" w:line="151" w:lineRule="exact"/>
              <w:rPr>
                <w:sz w:val="20"/>
                <w:szCs w:val="20"/>
                <w:color w:val="auto"/>
              </w:rPr>
            </w:pPr>
            <w:r>
              <w:rPr>
                <w:rFonts w:ascii="Arial" w:cs="Arial" w:eastAsia="Arial" w:hAnsi="Arial"/>
                <w:sz w:val="14"/>
                <w:szCs w:val="14"/>
                <w:color w:val="auto"/>
              </w:rPr>
              <w:t>Non-GAAP net income per diluted common share</w:t>
            </w:r>
          </w:p>
        </w:tc>
        <w:tc>
          <w:tcPr>
            <w:tcW w:w="920" w:type="dxa"/>
            <w:vAlign w:val="bottom"/>
            <w:tcBorders>
              <w:bottom w:val="single" w:sz="8" w:color="CCEEFF"/>
            </w:tcBorders>
            <w:shd w:val="clear" w:color="auto" w:fill="CCEEFF"/>
          </w:tcPr>
          <w:p>
            <w:pPr>
              <w:jc w:val="right"/>
              <w:ind w:right="752"/>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0.36</w:t>
            </w: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0.25</w:t>
            </w:r>
          </w:p>
        </w:tc>
      </w:tr>
      <w:tr>
        <w:trPr>
          <w:trHeight w:val="20"/>
        </w:trPr>
        <w:tc>
          <w:tcPr>
            <w:tcW w:w="8360" w:type="dxa"/>
            <w:vAlign w:val="bottom"/>
            <w:tcBorders>
              <w:top w:val="single" w:sz="8" w:color="CCEEFF"/>
            </w:tcBorders>
            <w:gridSpan w:val="2"/>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r>
        <w:trPr>
          <w:trHeight w:val="85"/>
        </w:trPr>
        <w:tc>
          <w:tcPr>
            <w:tcW w:w="340" w:type="dxa"/>
            <w:vAlign w:val="bottom"/>
          </w:tcPr>
          <w:p>
            <w:pPr>
              <w:spacing w:after="0"/>
              <w:rPr>
                <w:sz w:val="7"/>
                <w:szCs w:val="7"/>
                <w:color w:val="auto"/>
              </w:rPr>
            </w:pPr>
          </w:p>
        </w:tc>
        <w:tc>
          <w:tcPr>
            <w:tcW w:w="8020" w:type="dxa"/>
            <w:vAlign w:val="bottom"/>
          </w:tcPr>
          <w:p>
            <w:pPr>
              <w:spacing w:after="0"/>
              <w:rPr>
                <w:sz w:val="7"/>
                <w:szCs w:val="7"/>
                <w:color w:val="auto"/>
              </w:rPr>
            </w:pPr>
          </w:p>
        </w:tc>
        <w:tc>
          <w:tcPr>
            <w:tcW w:w="9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580" w:type="dxa"/>
            <w:vAlign w:val="bottom"/>
          </w:tcPr>
          <w:p>
            <w:pPr>
              <w:spacing w:after="0"/>
              <w:rPr>
                <w:sz w:val="7"/>
                <w:szCs w:val="7"/>
                <w:color w:val="auto"/>
              </w:rPr>
            </w:pPr>
          </w:p>
        </w:tc>
      </w:tr>
      <w:tr>
        <w:trPr>
          <w:trHeight w:val="234"/>
        </w:trPr>
        <w:tc>
          <w:tcPr>
            <w:tcW w:w="8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Weighted average diluted shares</w:t>
            </w:r>
          </w:p>
        </w:tc>
        <w:tc>
          <w:tcPr>
            <w:tcW w:w="9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36,099</w:t>
            </w: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36,193</w:t>
            </w: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80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r>
        <w:trPr>
          <w:trHeight w:val="330"/>
        </w:trPr>
        <w:tc>
          <w:tcPr>
            <w:tcW w:w="340" w:type="dxa"/>
            <w:vAlign w:val="bottom"/>
          </w:tcPr>
          <w:p>
            <w:pPr>
              <w:spacing w:after="0"/>
              <w:rPr>
                <w:sz w:val="24"/>
                <w:szCs w:val="24"/>
                <w:color w:val="auto"/>
              </w:rPr>
            </w:pPr>
          </w:p>
        </w:tc>
        <w:tc>
          <w:tcPr>
            <w:tcW w:w="8020" w:type="dxa"/>
            <w:vAlign w:val="bottom"/>
          </w:tcPr>
          <w:p>
            <w:pPr>
              <w:spacing w:after="0"/>
              <w:rPr>
                <w:sz w:val="24"/>
                <w:szCs w:val="24"/>
                <w:color w:val="auto"/>
              </w:rPr>
            </w:pPr>
          </w:p>
        </w:tc>
        <w:tc>
          <w:tcPr>
            <w:tcW w:w="2500" w:type="dxa"/>
            <w:vAlign w:val="bottom"/>
            <w:tcBorders>
              <w:bottom w:val="single" w:sz="8" w:color="auto"/>
            </w:tcBorders>
            <w:gridSpan w:val="4"/>
          </w:tcPr>
          <w:p>
            <w:pPr>
              <w:jc w:val="right"/>
              <w:ind w:right="110"/>
              <w:spacing w:after="0"/>
              <w:rPr>
                <w:sz w:val="20"/>
                <w:szCs w:val="20"/>
                <w:color w:val="auto"/>
              </w:rPr>
            </w:pPr>
            <w:r>
              <w:rPr>
                <w:rFonts w:ascii="Arial" w:cs="Arial" w:eastAsia="Arial" w:hAnsi="Arial"/>
                <w:sz w:val="11"/>
                <w:szCs w:val="11"/>
                <w:b w:val="1"/>
                <w:bCs w:val="1"/>
                <w:color w:val="auto"/>
              </w:rPr>
              <w:t>Three Months Ended March 31,</w:t>
            </w:r>
          </w:p>
        </w:tc>
        <w:tc>
          <w:tcPr>
            <w:tcW w:w="580" w:type="dxa"/>
            <w:vAlign w:val="bottom"/>
            <w:tcBorders>
              <w:bottom w:val="single" w:sz="8" w:color="auto"/>
            </w:tcBorders>
          </w:tcPr>
          <w:p>
            <w:pPr>
              <w:spacing w:after="0"/>
              <w:rPr>
                <w:sz w:val="24"/>
                <w:szCs w:val="24"/>
                <w:color w:val="auto"/>
              </w:rPr>
            </w:pPr>
          </w:p>
        </w:tc>
      </w:tr>
      <w:tr>
        <w:trPr>
          <w:trHeight w:val="233"/>
        </w:trPr>
        <w:tc>
          <w:tcPr>
            <w:tcW w:w="340" w:type="dxa"/>
            <w:vAlign w:val="bottom"/>
            <w:tcBorders>
              <w:bottom w:val="single" w:sz="8" w:color="CCEEFF"/>
            </w:tcBorders>
          </w:tcPr>
          <w:p>
            <w:pPr>
              <w:spacing w:after="0"/>
              <w:rPr>
                <w:sz w:val="20"/>
                <w:szCs w:val="20"/>
                <w:color w:val="auto"/>
              </w:rPr>
            </w:pPr>
          </w:p>
        </w:tc>
        <w:tc>
          <w:tcPr>
            <w:tcW w:w="802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2016</w:t>
            </w:r>
          </w:p>
        </w:tc>
        <w:tc>
          <w:tcPr>
            <w:tcW w:w="5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2015</w:t>
            </w:r>
          </w:p>
        </w:tc>
        <w:tc>
          <w:tcPr>
            <w:tcW w:w="580" w:type="dxa"/>
            <w:vAlign w:val="bottom"/>
            <w:tcBorders>
              <w:bottom w:val="single" w:sz="8" w:color="auto"/>
            </w:tcBorders>
          </w:tcPr>
          <w:p>
            <w:pPr>
              <w:spacing w:after="0"/>
              <w:rPr>
                <w:sz w:val="20"/>
                <w:szCs w:val="20"/>
                <w:color w:val="auto"/>
              </w:rPr>
            </w:pPr>
          </w:p>
        </w:tc>
      </w:tr>
      <w:tr>
        <w:trPr>
          <w:trHeight w:val="209"/>
        </w:trPr>
        <w:tc>
          <w:tcPr>
            <w:tcW w:w="8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920" w:type="dxa"/>
            <w:vAlign w:val="bottom"/>
            <w:tcBorders>
              <w:bottom w:val="single" w:sz="8" w:color="CCEEFF"/>
            </w:tcBorders>
            <w:shd w:val="clear" w:color="auto" w:fill="CCEEFF"/>
          </w:tcPr>
          <w:p>
            <w:pPr>
              <w:jc w:val="right"/>
              <w:ind w:right="752"/>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22,961</w:t>
            </w: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21,470</w:t>
            </w:r>
          </w:p>
        </w:tc>
      </w:tr>
      <w:tr>
        <w:trPr>
          <w:trHeight w:val="211"/>
        </w:trPr>
        <w:tc>
          <w:tcPr>
            <w:tcW w:w="8360" w:type="dxa"/>
            <w:vAlign w:val="bottom"/>
            <w:gridSpan w:val="2"/>
          </w:tcPr>
          <w:p>
            <w:pPr>
              <w:ind w:left="140"/>
              <w:spacing w:after="0"/>
              <w:rPr>
                <w:sz w:val="20"/>
                <w:szCs w:val="20"/>
                <w:color w:val="auto"/>
              </w:rPr>
            </w:pPr>
            <w:r>
              <w:rPr>
                <w:rFonts w:ascii="Arial" w:cs="Arial" w:eastAsia="Arial" w:hAnsi="Arial"/>
                <w:sz w:val="14"/>
                <w:szCs w:val="14"/>
                <w:color w:val="auto"/>
              </w:rPr>
              <w:t>Capital expenditures and content acquisition</w:t>
            </w:r>
          </w:p>
        </w:tc>
        <w:tc>
          <w:tcPr>
            <w:tcW w:w="9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(8,398)</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(3,031)</w:t>
            </w:r>
          </w:p>
        </w:tc>
      </w:tr>
      <w:tr>
        <w:trPr>
          <w:trHeight w:val="30"/>
        </w:trPr>
        <w:tc>
          <w:tcPr>
            <w:tcW w:w="8360" w:type="dxa"/>
            <w:vAlign w:val="bottom"/>
            <w:tcBorders>
              <w:bottom w:val="single" w:sz="8" w:color="CCEEFF"/>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26"/>
        </w:trPr>
        <w:tc>
          <w:tcPr>
            <w:tcW w:w="8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Free cash flow</w:t>
            </w:r>
          </w:p>
        </w:tc>
        <w:tc>
          <w:tcPr>
            <w:tcW w:w="920" w:type="dxa"/>
            <w:vAlign w:val="bottom"/>
            <w:tcBorders>
              <w:bottom w:val="single" w:sz="8" w:color="CCEEFF"/>
            </w:tcBorders>
            <w:shd w:val="clear" w:color="auto" w:fill="CCEEFF"/>
          </w:tcPr>
          <w:p>
            <w:pPr>
              <w:jc w:val="right"/>
              <w:ind w:right="752"/>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14,563</w:t>
            </w: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18,439</w:t>
            </w:r>
          </w:p>
        </w:tc>
      </w:tr>
      <w:tr>
        <w:trPr>
          <w:trHeight w:val="20"/>
        </w:trPr>
        <w:tc>
          <w:tcPr>
            <w:tcW w:w="8360" w:type="dxa"/>
            <w:vAlign w:val="bottom"/>
            <w:tcBorders>
              <w:top w:val="single" w:sz="8" w:color="CCEEFF"/>
            </w:tcBorders>
            <w:gridSpan w:val="2"/>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r>
        <w:trPr>
          <w:trHeight w:val="85"/>
        </w:trPr>
        <w:tc>
          <w:tcPr>
            <w:tcW w:w="340" w:type="dxa"/>
            <w:vAlign w:val="bottom"/>
          </w:tcPr>
          <w:p>
            <w:pPr>
              <w:spacing w:after="0"/>
              <w:rPr>
                <w:sz w:val="7"/>
                <w:szCs w:val="7"/>
                <w:color w:val="auto"/>
              </w:rPr>
            </w:pPr>
          </w:p>
        </w:tc>
        <w:tc>
          <w:tcPr>
            <w:tcW w:w="8020" w:type="dxa"/>
            <w:vAlign w:val="bottom"/>
          </w:tcPr>
          <w:p>
            <w:pPr>
              <w:spacing w:after="0"/>
              <w:rPr>
                <w:sz w:val="7"/>
                <w:szCs w:val="7"/>
                <w:color w:val="auto"/>
              </w:rPr>
            </w:pPr>
          </w:p>
        </w:tc>
        <w:tc>
          <w:tcPr>
            <w:tcW w:w="9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580" w:type="dxa"/>
            <w:vAlign w:val="bottom"/>
          </w:tcPr>
          <w:p>
            <w:pPr>
              <w:spacing w:after="0"/>
              <w:rPr>
                <w:sz w:val="7"/>
                <w:szCs w:val="7"/>
                <w:color w:val="auto"/>
              </w:rPr>
            </w:pPr>
          </w:p>
        </w:tc>
      </w:tr>
      <w:tr>
        <w:trPr>
          <w:trHeight w:val="241"/>
        </w:trPr>
        <w:tc>
          <w:tcPr>
            <w:tcW w:w="8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 xml:space="preserve">Adjusted EBITDA </w:t>
            </w:r>
            <w:r>
              <w:rPr>
                <w:rFonts w:ascii="Arial" w:cs="Arial" w:eastAsia="Arial" w:hAnsi="Arial"/>
                <w:sz w:val="19"/>
                <w:szCs w:val="19"/>
                <w:color w:val="auto"/>
                <w:vertAlign w:val="superscript"/>
              </w:rPr>
              <w:t>(2)</w:t>
            </w:r>
          </w:p>
        </w:tc>
        <w:tc>
          <w:tcPr>
            <w:tcW w:w="920" w:type="dxa"/>
            <w:vAlign w:val="bottom"/>
            <w:shd w:val="clear" w:color="auto" w:fill="CCEEFF"/>
          </w:tcPr>
          <w:p>
            <w:pPr>
              <w:jc w:val="right"/>
              <w:ind w:right="752"/>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24,010</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73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18,739</w:t>
            </w:r>
          </w:p>
        </w:tc>
      </w:tr>
      <w:tr>
        <w:trPr>
          <w:trHeight w:val="199"/>
        </w:trPr>
        <w:tc>
          <w:tcPr>
            <w:tcW w:w="8360" w:type="dxa"/>
            <w:vAlign w:val="bottom"/>
            <w:gridSpan w:val="2"/>
          </w:tcPr>
          <w:p>
            <w:pPr>
              <w:ind w:left="140"/>
              <w:spacing w:after="0"/>
              <w:rPr>
                <w:sz w:val="20"/>
                <w:szCs w:val="20"/>
                <w:color w:val="auto"/>
              </w:rPr>
            </w:pPr>
            <w:r>
              <w:rPr>
                <w:rFonts w:ascii="Arial" w:cs="Arial" w:eastAsia="Arial" w:hAnsi="Arial"/>
                <w:sz w:val="14"/>
                <w:szCs w:val="14"/>
                <w:color w:val="auto"/>
              </w:rPr>
              <w:t>Add/(less):</w:t>
            </w:r>
          </w:p>
        </w:tc>
        <w:tc>
          <w:tcPr>
            <w:tcW w:w="9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42"/>
        </w:trPr>
        <w:tc>
          <w:tcPr>
            <w:tcW w:w="340" w:type="dxa"/>
            <w:vAlign w:val="bottom"/>
          </w:tcPr>
          <w:p>
            <w:pPr>
              <w:spacing w:after="0"/>
              <w:rPr>
                <w:sz w:val="3"/>
                <w:szCs w:val="3"/>
                <w:color w:val="auto"/>
              </w:rPr>
            </w:pPr>
          </w:p>
        </w:tc>
        <w:tc>
          <w:tcPr>
            <w:tcW w:w="8020" w:type="dxa"/>
            <w:vAlign w:val="bottom"/>
          </w:tcPr>
          <w:p>
            <w:pPr>
              <w:spacing w:after="0"/>
              <w:rPr>
                <w:sz w:val="3"/>
                <w:szCs w:val="3"/>
                <w:color w:val="auto"/>
              </w:rPr>
            </w:pPr>
          </w:p>
        </w:tc>
        <w:tc>
          <w:tcPr>
            <w:tcW w:w="9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580" w:type="dxa"/>
            <w:vAlign w:val="bottom"/>
          </w:tcPr>
          <w:p>
            <w:pPr>
              <w:spacing w:after="0"/>
              <w:rPr>
                <w:sz w:val="3"/>
                <w:szCs w:val="3"/>
                <w:color w:val="auto"/>
              </w:rPr>
            </w:pPr>
          </w:p>
        </w:tc>
      </w:tr>
      <w:tr>
        <w:trPr>
          <w:trHeight w:val="221"/>
        </w:trPr>
        <w:tc>
          <w:tcPr>
            <w:tcW w:w="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(a)</w:t>
            </w:r>
          </w:p>
        </w:tc>
        <w:tc>
          <w:tcPr>
            <w:tcW w:w="8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Changes in operating assets and liabilities</w:t>
            </w:r>
          </w:p>
        </w:tc>
        <w:tc>
          <w:tcPr>
            <w:tcW w:w="9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(1,056)</w:t>
            </w: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6,827</w:t>
            </w:r>
          </w:p>
        </w:tc>
      </w:tr>
      <w:tr>
        <w:trPr>
          <w:trHeight w:val="211"/>
        </w:trPr>
        <w:tc>
          <w:tcPr>
            <w:tcW w:w="340" w:type="dxa"/>
            <w:vAlign w:val="bottom"/>
          </w:tcPr>
          <w:p>
            <w:pPr>
              <w:ind w:left="140"/>
              <w:spacing w:after="0"/>
              <w:rPr>
                <w:sz w:val="20"/>
                <w:szCs w:val="20"/>
                <w:color w:val="auto"/>
              </w:rPr>
            </w:pPr>
            <w:r>
              <w:rPr>
                <w:rFonts w:ascii="Arial" w:cs="Arial" w:eastAsia="Arial" w:hAnsi="Arial"/>
                <w:sz w:val="14"/>
                <w:szCs w:val="14"/>
                <w:color w:val="auto"/>
              </w:rPr>
              <w:t>(b)</w:t>
            </w:r>
          </w:p>
        </w:tc>
        <w:tc>
          <w:tcPr>
            <w:tcW w:w="8020" w:type="dxa"/>
            <w:vAlign w:val="bottom"/>
          </w:tcPr>
          <w:p>
            <w:pPr>
              <w:ind w:left="40"/>
              <w:spacing w:after="0"/>
              <w:rPr>
                <w:sz w:val="20"/>
                <w:szCs w:val="20"/>
                <w:color w:val="auto"/>
              </w:rPr>
            </w:pPr>
            <w:r>
              <w:rPr>
                <w:rFonts w:ascii="Arial" w:cs="Arial" w:eastAsia="Arial" w:hAnsi="Arial"/>
                <w:sz w:val="14"/>
                <w:szCs w:val="14"/>
                <w:color w:val="auto"/>
              </w:rPr>
              <w:t>Provision for income taxes</w:t>
            </w:r>
          </w:p>
        </w:tc>
        <w:tc>
          <w:tcPr>
            <w:tcW w:w="9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(4,677)</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(2,431)</w:t>
            </w:r>
          </w:p>
        </w:tc>
      </w:tr>
      <w:tr>
        <w:trPr>
          <w:trHeight w:val="30"/>
        </w:trPr>
        <w:tc>
          <w:tcPr>
            <w:tcW w:w="340" w:type="dxa"/>
            <w:vAlign w:val="bottom"/>
          </w:tcPr>
          <w:p>
            <w:pPr>
              <w:spacing w:after="0"/>
              <w:rPr>
                <w:sz w:val="2"/>
                <w:szCs w:val="2"/>
                <w:color w:val="auto"/>
              </w:rPr>
            </w:pPr>
          </w:p>
        </w:tc>
        <w:tc>
          <w:tcPr>
            <w:tcW w:w="80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21"/>
        </w:trPr>
        <w:tc>
          <w:tcPr>
            <w:tcW w:w="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(c)</w:t>
            </w:r>
          </w:p>
        </w:tc>
        <w:tc>
          <w:tcPr>
            <w:tcW w:w="8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Deferred income taxes</w:t>
            </w:r>
          </w:p>
        </w:tc>
        <w:tc>
          <w:tcPr>
            <w:tcW w:w="9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1,285</w:t>
            </w: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(85)</w:t>
            </w:r>
          </w:p>
        </w:tc>
      </w:tr>
      <w:tr>
        <w:trPr>
          <w:trHeight w:val="211"/>
        </w:trPr>
        <w:tc>
          <w:tcPr>
            <w:tcW w:w="340" w:type="dxa"/>
            <w:vAlign w:val="bottom"/>
          </w:tcPr>
          <w:p>
            <w:pPr>
              <w:ind w:left="140"/>
              <w:spacing w:after="0"/>
              <w:rPr>
                <w:sz w:val="20"/>
                <w:szCs w:val="20"/>
                <w:color w:val="auto"/>
              </w:rPr>
            </w:pPr>
            <w:r>
              <w:rPr>
                <w:rFonts w:ascii="Arial" w:cs="Arial" w:eastAsia="Arial" w:hAnsi="Arial"/>
                <w:sz w:val="14"/>
                <w:szCs w:val="14"/>
                <w:color w:val="auto"/>
              </w:rPr>
              <w:t>(d)</w:t>
            </w:r>
          </w:p>
        </w:tc>
        <w:tc>
          <w:tcPr>
            <w:tcW w:w="8020" w:type="dxa"/>
            <w:vAlign w:val="bottom"/>
          </w:tcPr>
          <w:p>
            <w:pPr>
              <w:ind w:left="40"/>
              <w:spacing w:after="0"/>
              <w:rPr>
                <w:sz w:val="20"/>
                <w:szCs w:val="20"/>
                <w:color w:val="auto"/>
              </w:rPr>
            </w:pPr>
            <w:r>
              <w:rPr>
                <w:rFonts w:ascii="Arial" w:cs="Arial" w:eastAsia="Arial" w:hAnsi="Arial"/>
                <w:sz w:val="14"/>
                <w:szCs w:val="14"/>
                <w:color w:val="auto"/>
              </w:rPr>
              <w:t>Tax benefit from exercise/vesting of equity awards</w:t>
            </w:r>
          </w:p>
        </w:tc>
        <w:tc>
          <w:tcPr>
            <w:tcW w:w="920" w:type="dxa"/>
            <w:vAlign w:val="bottom"/>
          </w:tcPr>
          <w:p>
            <w:pPr>
              <w:spacing w:after="0"/>
              <w:rPr>
                <w:sz w:val="18"/>
                <w:szCs w:val="18"/>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1,514</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99</w:t>
            </w:r>
          </w:p>
        </w:tc>
      </w:tr>
      <w:tr>
        <w:trPr>
          <w:trHeight w:val="30"/>
        </w:trPr>
        <w:tc>
          <w:tcPr>
            <w:tcW w:w="340" w:type="dxa"/>
            <w:vAlign w:val="bottom"/>
          </w:tcPr>
          <w:p>
            <w:pPr>
              <w:spacing w:after="0"/>
              <w:rPr>
                <w:sz w:val="2"/>
                <w:szCs w:val="2"/>
                <w:color w:val="auto"/>
              </w:rPr>
            </w:pPr>
          </w:p>
        </w:tc>
        <w:tc>
          <w:tcPr>
            <w:tcW w:w="80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21"/>
        </w:trPr>
        <w:tc>
          <w:tcPr>
            <w:tcW w:w="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(e)</w:t>
            </w:r>
          </w:p>
        </w:tc>
        <w:tc>
          <w:tcPr>
            <w:tcW w:w="8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Provision for doubtful accounts/chargeback/sales refund reserves</w:t>
            </w:r>
          </w:p>
        </w:tc>
        <w:tc>
          <w:tcPr>
            <w:tcW w:w="9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1,183</w:t>
            </w: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366</w:t>
            </w:r>
          </w:p>
        </w:tc>
      </w:tr>
      <w:tr>
        <w:trPr>
          <w:trHeight w:val="241"/>
        </w:trPr>
        <w:tc>
          <w:tcPr>
            <w:tcW w:w="8360" w:type="dxa"/>
            <w:vAlign w:val="bottom"/>
            <w:gridSpan w:val="2"/>
          </w:tcPr>
          <w:p>
            <w:pPr>
              <w:ind w:left="140"/>
              <w:spacing w:after="0"/>
              <w:rPr>
                <w:sz w:val="20"/>
                <w:szCs w:val="20"/>
                <w:color w:val="auto"/>
              </w:rPr>
            </w:pPr>
            <w:r>
              <w:rPr>
                <w:rFonts w:ascii="Arial" w:cs="Arial" w:eastAsia="Arial" w:hAnsi="Arial"/>
                <w:sz w:val="14"/>
                <w:szCs w:val="14"/>
                <w:color w:val="auto"/>
              </w:rPr>
              <w:t xml:space="preserve">(f)  Other adjustments, net </w:t>
            </w:r>
            <w:r>
              <w:rPr>
                <w:rFonts w:ascii="Arial" w:cs="Arial" w:eastAsia="Arial" w:hAnsi="Arial"/>
                <w:sz w:val="19"/>
                <w:szCs w:val="19"/>
                <w:color w:val="auto"/>
                <w:vertAlign w:val="superscript"/>
              </w:rPr>
              <w:t>(1)</w:t>
            </w:r>
          </w:p>
        </w:tc>
        <w:tc>
          <w:tcPr>
            <w:tcW w:w="9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(1,663)</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(2,562)</w:t>
            </w:r>
          </w:p>
        </w:tc>
      </w:tr>
      <w:tr>
        <w:trPr>
          <w:trHeight w:val="241"/>
        </w:trPr>
        <w:tc>
          <w:tcPr>
            <w:tcW w:w="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(g)</w:t>
            </w:r>
          </w:p>
        </w:tc>
        <w:tc>
          <w:tcPr>
            <w:tcW w:w="8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Change in fair value of contingent consideration</w:t>
            </w:r>
          </w:p>
        </w:tc>
        <w:tc>
          <w:tcPr>
            <w:tcW w:w="9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2,365</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517</w:t>
            </w:r>
          </w:p>
        </w:tc>
      </w:tr>
      <w:tr>
        <w:trPr>
          <w:trHeight w:val="191"/>
        </w:trPr>
        <w:tc>
          <w:tcPr>
            <w:tcW w:w="8360" w:type="dxa"/>
            <w:vAlign w:val="bottom"/>
            <w:gridSpan w:val="2"/>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920" w:type="dxa"/>
            <w:vAlign w:val="bottom"/>
            <w:tcBorders>
              <w:top w:val="single" w:sz="8" w:color="auto"/>
            </w:tcBorders>
          </w:tcPr>
          <w:p>
            <w:pPr>
              <w:jc w:val="right"/>
              <w:ind w:right="752"/>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22,961</w:t>
            </w:r>
          </w:p>
        </w:tc>
        <w:tc>
          <w:tcPr>
            <w:tcW w:w="100" w:type="dxa"/>
            <w:vAlign w:val="bottom"/>
          </w:tcPr>
          <w:p>
            <w:pPr>
              <w:spacing w:after="0"/>
              <w:rPr>
                <w:sz w:val="16"/>
                <w:szCs w:val="16"/>
                <w:color w:val="auto"/>
              </w:rPr>
            </w:pPr>
          </w:p>
        </w:tc>
        <w:tc>
          <w:tcPr>
            <w:tcW w:w="900" w:type="dxa"/>
            <w:vAlign w:val="bottom"/>
            <w:tcBorders>
              <w:top w:val="single" w:sz="8" w:color="auto"/>
            </w:tcBorders>
          </w:tcPr>
          <w:p>
            <w:pPr>
              <w:jc w:val="right"/>
              <w:ind w:right="730"/>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21,470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5307965</wp:posOffset>
            </wp:positionH>
            <wp:positionV relativeFrom="paragraph">
              <wp:posOffset>19050</wp:posOffset>
            </wp:positionV>
            <wp:extent cx="1953260" cy="228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953260" cy="22860"/>
                    </a:xfrm>
                    <a:prstGeom prst="rect">
                      <a:avLst/>
                    </a:prstGeom>
                    <a:noFill/>
                  </pic:spPr>
                </pic:pic>
              </a:graphicData>
            </a:graphic>
          </wp:anchor>
        </w:drawing>
      </w:r>
    </w:p>
    <w:p>
      <w:pPr>
        <w:spacing w:after="0" w:line="73" w:lineRule="exact"/>
        <w:rPr>
          <w:sz w:val="20"/>
          <w:szCs w:val="20"/>
          <w:color w:val="auto"/>
        </w:rPr>
      </w:pPr>
    </w:p>
    <w:p>
      <w:pPr>
        <w:ind w:left="4"/>
        <w:spacing w:after="0"/>
        <w:rPr>
          <w:sz w:val="20"/>
          <w:szCs w:val="20"/>
          <w:color w:val="auto"/>
        </w:rPr>
      </w:pPr>
      <w:r>
        <w:rPr>
          <w:rFonts w:ascii="Arial" w:cs="Arial" w:eastAsia="Arial" w:hAnsi="Arial"/>
          <w:sz w:val="10"/>
          <w:szCs w:val="10"/>
          <w:color w:val="auto"/>
        </w:rPr>
        <w:t>_______________________________________________________________________________________________________________________</w:t>
      </w:r>
    </w:p>
    <w:p>
      <w:pPr>
        <w:spacing w:after="0" w:line="38" w:lineRule="exact"/>
        <w:rPr>
          <w:sz w:val="20"/>
          <w:szCs w:val="20"/>
          <w:color w:val="auto"/>
        </w:rPr>
      </w:pPr>
    </w:p>
    <w:p>
      <w:pPr>
        <w:ind w:left="184" w:hanging="184"/>
        <w:spacing w:after="0"/>
        <w:tabs>
          <w:tab w:leader="none" w:pos="184" w:val="left"/>
        </w:tabs>
        <w:numPr>
          <w:ilvl w:val="0"/>
          <w:numId w:val="7"/>
        </w:numPr>
        <w:rPr>
          <w:rFonts w:ascii="Arial" w:cs="Arial" w:eastAsia="Arial" w:hAnsi="Arial"/>
          <w:sz w:val="11"/>
          <w:szCs w:val="11"/>
          <w:color w:val="auto"/>
        </w:rPr>
      </w:pPr>
      <w:r>
        <w:rPr>
          <w:rFonts w:ascii="Arial" w:cs="Arial" w:eastAsia="Arial" w:hAnsi="Arial"/>
          <w:sz w:val="11"/>
          <w:szCs w:val="11"/>
          <w:color w:val="auto"/>
        </w:rPr>
        <w:t>Included in other adjustments, net is foreign currency transaction gains and losses, changes in fair value of contingent consideration related to acquisitions, and interest income and expense.</w:t>
      </w:r>
    </w:p>
    <w:p>
      <w:pPr>
        <w:spacing w:after="0" w:line="15" w:lineRule="exact"/>
        <w:rPr>
          <w:rFonts w:ascii="Arial" w:cs="Arial" w:eastAsia="Arial" w:hAnsi="Arial"/>
          <w:sz w:val="11"/>
          <w:szCs w:val="11"/>
          <w:color w:val="auto"/>
        </w:rPr>
      </w:pPr>
    </w:p>
    <w:p>
      <w:pPr>
        <w:ind w:left="4" w:right="40" w:hanging="4"/>
        <w:spacing w:after="0" w:line="263" w:lineRule="auto"/>
        <w:tabs>
          <w:tab w:leader="none" w:pos="191" w:val="left"/>
        </w:tabs>
        <w:numPr>
          <w:ilvl w:val="0"/>
          <w:numId w:val="7"/>
        </w:numPr>
        <w:rPr>
          <w:rFonts w:ascii="Arial" w:cs="Arial" w:eastAsia="Arial" w:hAnsi="Arial"/>
          <w:sz w:val="11"/>
          <w:szCs w:val="11"/>
          <w:color w:val="auto"/>
        </w:rPr>
      </w:pPr>
      <w:r>
        <w:rPr>
          <w:rFonts w:ascii="Arial" w:cs="Arial" w:eastAsia="Arial" w:hAnsi="Arial"/>
          <w:sz w:val="11"/>
          <w:szCs w:val="11"/>
          <w:color w:val="auto"/>
        </w:rPr>
        <w:t>Earnings/(loss) before foreign currency transaction gains and losses, changes in fair value of contingent consideration related to acquisitions, interest income and expense, income taxes, depreciation, amortization, disposals and non-cash equity-based compensation.</w:t>
      </w:r>
    </w:p>
    <w:p>
      <w:pPr>
        <w:sectPr>
          <w:pgSz w:w="11900" w:h="16838" w:orient="portrait"/>
          <w:cols w:equalWidth="0" w:num="1">
            <w:col w:w="11444"/>
          </w:cols>
          <w:pgMar w:left="236" w:top="533" w:right="219" w:bottom="1440" w:gutter="0" w:footer="0" w:header="0"/>
          <w:type w:val="continuous"/>
        </w:sectPr>
      </w:pPr>
    </w:p>
    <w:bookmarkStart w:id="13" w:name="page14"/>
    <w:bookmarkEnd w:id="13"/>
    <w:p>
      <w:pPr>
        <w:jc w:val="center"/>
        <w:ind w:right="-3"/>
        <w:spacing w:after="0"/>
        <w:rPr>
          <w:sz w:val="20"/>
          <w:szCs w:val="20"/>
          <w:color w:val="auto"/>
        </w:rPr>
      </w:pPr>
      <w:r>
        <w:rPr>
          <w:rFonts w:ascii="Arial" w:cs="Arial" w:eastAsia="Arial" w:hAnsi="Arial"/>
          <w:sz w:val="16"/>
          <w:szCs w:val="16"/>
          <w:b w:val="1"/>
          <w:bCs w:val="1"/>
          <w:color w:val="auto"/>
        </w:rPr>
        <w:t>SHUTTERSTOCK, INC.</w:t>
      </w:r>
    </w:p>
    <w:p>
      <w:pPr>
        <w:spacing w:after="0" w:line="25"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SUPPLEMENTAL FINANCIAL DATA</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(unaudited; in thousands)</w:t>
      </w:r>
    </w:p>
    <w:p>
      <w:pPr>
        <w:spacing w:after="0" w:line="379"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Non-Cash Equity-Based Compensation</w:t>
      </w:r>
    </w:p>
    <w:p>
      <w:pPr>
        <w:spacing w:after="0" w:line="206" w:lineRule="exact"/>
        <w:rPr>
          <w:sz w:val="20"/>
          <w:szCs w:val="20"/>
          <w:color w:val="auto"/>
        </w:rPr>
      </w:pPr>
    </w:p>
    <w:p>
      <w:pPr>
        <w:ind w:left="4"/>
        <w:spacing w:after="0"/>
        <w:rPr>
          <w:sz w:val="20"/>
          <w:szCs w:val="20"/>
          <w:color w:val="auto"/>
        </w:rPr>
      </w:pPr>
      <w:r>
        <w:rPr>
          <w:rFonts w:ascii="Arial" w:cs="Arial" w:eastAsia="Arial" w:hAnsi="Arial"/>
          <w:sz w:val="16"/>
          <w:szCs w:val="16"/>
          <w:color w:val="auto"/>
        </w:rPr>
        <w:t>Included in the accompanying financial results are expenses related to non-cash equity-based compensation, as follows:</w:t>
      </w:r>
    </w:p>
    <w:p>
      <w:pPr>
        <w:spacing w:after="0" w:line="223" w:lineRule="exact"/>
        <w:rPr>
          <w:sz w:val="20"/>
          <w:szCs w:val="20"/>
          <w:color w:val="auto"/>
        </w:rPr>
      </w:pPr>
    </w:p>
    <w:tbl>
      <w:tblPr>
        <w:tblLayout w:type="fixed"/>
        <w:tblInd w:w="4" w:type="dxa"/>
        <w:tblCellMar>
          <w:top w:w="0" w:type="dxa"/>
          <w:left w:w="0" w:type="dxa"/>
          <w:bottom w:w="0" w:type="dxa"/>
          <w:right w:w="0" w:type="dxa"/>
        </w:tblCellMar>
      </w:tblPr>
      <w:tr>
        <w:trPr>
          <w:trHeight w:val="153"/>
        </w:trPr>
        <w:tc>
          <w:tcPr>
            <w:tcW w:w="8360" w:type="dxa"/>
            <w:vAlign w:val="bottom"/>
          </w:tcPr>
          <w:p>
            <w:pPr>
              <w:spacing w:after="0"/>
              <w:rPr>
                <w:sz w:val="13"/>
                <w:szCs w:val="13"/>
                <w:color w:val="auto"/>
              </w:rPr>
            </w:pPr>
          </w:p>
        </w:tc>
        <w:tc>
          <w:tcPr>
            <w:tcW w:w="2540" w:type="dxa"/>
            <w:vAlign w:val="bottom"/>
            <w:tcBorders>
              <w:bottom w:val="single" w:sz="8" w:color="auto"/>
            </w:tcBorders>
            <w:gridSpan w:val="4"/>
          </w:tcPr>
          <w:p>
            <w:pPr>
              <w:jc w:val="right"/>
              <w:ind w:right="153"/>
              <w:spacing w:after="0"/>
              <w:rPr>
                <w:sz w:val="20"/>
                <w:szCs w:val="20"/>
                <w:color w:val="auto"/>
              </w:rPr>
            </w:pPr>
            <w:r>
              <w:rPr>
                <w:rFonts w:ascii="Arial" w:cs="Arial" w:eastAsia="Arial" w:hAnsi="Arial"/>
                <w:sz w:val="11"/>
                <w:szCs w:val="11"/>
                <w:b w:val="1"/>
                <w:bCs w:val="1"/>
                <w:color w:val="auto"/>
              </w:rPr>
              <w:t>Three Months Ended March 31,</w:t>
            </w:r>
          </w:p>
        </w:tc>
        <w:tc>
          <w:tcPr>
            <w:tcW w:w="540" w:type="dxa"/>
            <w:vAlign w:val="bottom"/>
            <w:tcBorders>
              <w:bottom w:val="single" w:sz="8" w:color="auto"/>
            </w:tcBorders>
          </w:tcPr>
          <w:p>
            <w:pPr>
              <w:spacing w:after="0"/>
              <w:rPr>
                <w:sz w:val="13"/>
                <w:szCs w:val="13"/>
                <w:color w:val="auto"/>
              </w:rPr>
            </w:pPr>
          </w:p>
        </w:tc>
      </w:tr>
      <w:tr>
        <w:trPr>
          <w:trHeight w:val="233"/>
        </w:trPr>
        <w:tc>
          <w:tcPr>
            <w:tcW w:w="836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jc w:val="right"/>
              <w:ind w:right="36"/>
              <w:spacing w:after="0"/>
              <w:rPr>
                <w:sz w:val="20"/>
                <w:szCs w:val="20"/>
                <w:color w:val="auto"/>
              </w:rPr>
            </w:pPr>
            <w:r>
              <w:rPr>
                <w:rFonts w:ascii="Arial" w:cs="Arial" w:eastAsia="Arial" w:hAnsi="Arial"/>
                <w:sz w:val="11"/>
                <w:szCs w:val="11"/>
                <w:b w:val="1"/>
                <w:bCs w:val="1"/>
                <w:color w:val="auto"/>
              </w:rPr>
              <w:t>2016</w:t>
            </w:r>
          </w:p>
        </w:tc>
        <w:tc>
          <w:tcPr>
            <w:tcW w:w="5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tcPr>
          <w:p>
            <w:pPr>
              <w:jc w:val="right"/>
              <w:ind w:right="33"/>
              <w:spacing w:after="0"/>
              <w:rPr>
                <w:sz w:val="20"/>
                <w:szCs w:val="20"/>
                <w:color w:val="auto"/>
              </w:rPr>
            </w:pPr>
            <w:r>
              <w:rPr>
                <w:rFonts w:ascii="Arial" w:cs="Arial" w:eastAsia="Arial" w:hAnsi="Arial"/>
                <w:sz w:val="11"/>
                <w:szCs w:val="11"/>
                <w:b w:val="1"/>
                <w:bCs w:val="1"/>
                <w:color w:val="auto"/>
              </w:rPr>
              <w:t>2015</w:t>
            </w:r>
          </w:p>
        </w:tc>
        <w:tc>
          <w:tcPr>
            <w:tcW w:w="540" w:type="dxa"/>
            <w:vAlign w:val="bottom"/>
            <w:tcBorders>
              <w:bottom w:val="single" w:sz="8" w:color="auto"/>
            </w:tcBorders>
          </w:tcPr>
          <w:p>
            <w:pPr>
              <w:spacing w:after="0"/>
              <w:rPr>
                <w:sz w:val="20"/>
                <w:szCs w:val="20"/>
                <w:color w:val="auto"/>
              </w:rPr>
            </w:pPr>
          </w:p>
        </w:tc>
      </w:tr>
      <w:tr>
        <w:trPr>
          <w:trHeight w:val="209"/>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Cost of revenue</w:t>
            </w:r>
          </w:p>
        </w:tc>
        <w:tc>
          <w:tcPr>
            <w:tcW w:w="960" w:type="dxa"/>
            <w:vAlign w:val="bottom"/>
            <w:tcBorders>
              <w:bottom w:val="single" w:sz="8" w:color="CCEEFF"/>
            </w:tcBorders>
            <w:shd w:val="clear" w:color="auto" w:fill="CCEEFF"/>
          </w:tcPr>
          <w:p>
            <w:pPr>
              <w:jc w:val="right"/>
              <w:ind w:right="796"/>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533</w:t>
            </w: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773"/>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482</w:t>
            </w:r>
          </w:p>
        </w:tc>
      </w:tr>
      <w:tr>
        <w:trPr>
          <w:trHeight w:val="211"/>
        </w:trPr>
        <w:tc>
          <w:tcPr>
            <w:tcW w:w="8360" w:type="dxa"/>
            <w:vAlign w:val="bottom"/>
          </w:tcPr>
          <w:p>
            <w:pPr>
              <w:ind w:left="20"/>
              <w:spacing w:after="0"/>
              <w:rPr>
                <w:sz w:val="20"/>
                <w:szCs w:val="20"/>
                <w:color w:val="auto"/>
              </w:rPr>
            </w:pPr>
            <w:r>
              <w:rPr>
                <w:rFonts w:ascii="Arial" w:cs="Arial" w:eastAsia="Arial" w:hAnsi="Arial"/>
                <w:sz w:val="14"/>
                <w:szCs w:val="14"/>
                <w:color w:val="auto"/>
              </w:rPr>
              <w:t>Sales and marketing</w:t>
            </w:r>
          </w:p>
        </w:tc>
        <w:tc>
          <w:tcPr>
            <w:tcW w:w="960" w:type="dxa"/>
            <w:vAlign w:val="bottom"/>
          </w:tcPr>
          <w:p>
            <w:pPr>
              <w:spacing w:after="0"/>
              <w:rPr>
                <w:sz w:val="18"/>
                <w:szCs w:val="18"/>
                <w:color w:val="auto"/>
              </w:rPr>
            </w:pP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1,191</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1,318</w:t>
            </w:r>
          </w:p>
        </w:tc>
      </w:tr>
      <w:tr>
        <w:trPr>
          <w:trHeight w:val="30"/>
        </w:trPr>
        <w:tc>
          <w:tcPr>
            <w:tcW w:w="8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21"/>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Product development</w:t>
            </w:r>
          </w:p>
        </w:tc>
        <w:tc>
          <w:tcPr>
            <w:tcW w:w="96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2,149</w:t>
            </w: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2,369</w:t>
            </w:r>
          </w:p>
        </w:tc>
      </w:tr>
      <w:tr>
        <w:trPr>
          <w:trHeight w:val="211"/>
        </w:trPr>
        <w:tc>
          <w:tcPr>
            <w:tcW w:w="836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960" w:type="dxa"/>
            <w:vAlign w:val="bottom"/>
          </w:tcPr>
          <w:p>
            <w:pPr>
              <w:spacing w:after="0"/>
              <w:rPr>
                <w:sz w:val="18"/>
                <w:szCs w:val="18"/>
                <w:color w:val="auto"/>
              </w:rPr>
            </w:pP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3,480</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3,339</w:t>
            </w:r>
          </w:p>
        </w:tc>
      </w:tr>
      <w:tr>
        <w:trPr>
          <w:trHeight w:val="30"/>
        </w:trPr>
        <w:tc>
          <w:tcPr>
            <w:tcW w:w="83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26"/>
        </w:trPr>
        <w:tc>
          <w:tcPr>
            <w:tcW w:w="8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Total</w:t>
            </w:r>
          </w:p>
        </w:tc>
        <w:tc>
          <w:tcPr>
            <w:tcW w:w="960" w:type="dxa"/>
            <w:vAlign w:val="bottom"/>
            <w:tcBorders>
              <w:bottom w:val="single" w:sz="8" w:color="CCEEFF"/>
            </w:tcBorders>
            <w:shd w:val="clear" w:color="auto" w:fill="CCEEFF"/>
          </w:tcPr>
          <w:p>
            <w:pPr>
              <w:jc w:val="right"/>
              <w:ind w:right="796"/>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7,353</w:t>
            </w: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773"/>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7,508</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Amortization of Intangible Assets and Depreciation of Property and Equipment</w:t>
      </w:r>
    </w:p>
    <w:p>
      <w:pPr>
        <w:spacing w:after="0" w:line="206" w:lineRule="exact"/>
        <w:rPr>
          <w:sz w:val="20"/>
          <w:szCs w:val="20"/>
          <w:color w:val="auto"/>
        </w:rPr>
      </w:pPr>
    </w:p>
    <w:p>
      <w:pPr>
        <w:ind w:left="4"/>
        <w:spacing w:after="0"/>
        <w:rPr>
          <w:sz w:val="20"/>
          <w:szCs w:val="20"/>
          <w:color w:val="auto"/>
        </w:rPr>
      </w:pPr>
      <w:r>
        <w:rPr>
          <w:rFonts w:ascii="Arial" w:cs="Arial" w:eastAsia="Arial" w:hAnsi="Arial"/>
          <w:sz w:val="16"/>
          <w:szCs w:val="16"/>
          <w:color w:val="auto"/>
        </w:rPr>
        <w:t>Included in the accompanying financial results are expenses related to the amortization of intangible assets, as follows:</w:t>
      </w:r>
    </w:p>
    <w:p>
      <w:pPr>
        <w:spacing w:after="0" w:line="223" w:lineRule="exact"/>
        <w:rPr>
          <w:sz w:val="20"/>
          <w:szCs w:val="20"/>
          <w:color w:val="auto"/>
        </w:rPr>
      </w:pPr>
    </w:p>
    <w:tbl>
      <w:tblPr>
        <w:tblLayout w:type="fixed"/>
        <w:tblInd w:w="4" w:type="dxa"/>
        <w:tblCellMar>
          <w:top w:w="0" w:type="dxa"/>
          <w:left w:w="0" w:type="dxa"/>
          <w:bottom w:w="0" w:type="dxa"/>
          <w:right w:w="0" w:type="dxa"/>
        </w:tblCellMar>
      </w:tblPr>
      <w:tr>
        <w:trPr>
          <w:trHeight w:val="153"/>
        </w:trPr>
        <w:tc>
          <w:tcPr>
            <w:tcW w:w="2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100" w:type="dxa"/>
            <w:vAlign w:val="bottom"/>
            <w:tcBorders>
              <w:bottom w:val="single" w:sz="8" w:color="auto"/>
            </w:tcBorders>
            <w:gridSpan w:val="6"/>
          </w:tcPr>
          <w:p>
            <w:pPr>
              <w:jc w:val="right"/>
              <w:ind w:right="78"/>
              <w:spacing w:after="0"/>
              <w:rPr>
                <w:sz w:val="20"/>
                <w:szCs w:val="20"/>
                <w:color w:val="auto"/>
              </w:rPr>
            </w:pPr>
            <w:r>
              <w:rPr>
                <w:rFonts w:ascii="Arial" w:cs="Arial" w:eastAsia="Arial" w:hAnsi="Arial"/>
                <w:sz w:val="11"/>
                <w:szCs w:val="11"/>
                <w:b w:val="1"/>
                <w:bCs w:val="1"/>
                <w:color w:val="auto"/>
              </w:rPr>
              <w:t>Three Months Ended March 31,</w:t>
            </w:r>
          </w:p>
        </w:tc>
        <w:tc>
          <w:tcPr>
            <w:tcW w:w="6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3"/>
        </w:trPr>
        <w:tc>
          <w:tcPr>
            <w:tcW w:w="230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74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76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74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760" w:type="dxa"/>
            <w:vAlign w:val="bottom"/>
            <w:tcBorders>
              <w:bottom w:val="single" w:sz="8" w:color="CCEEFF"/>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74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64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78"/>
              <w:spacing w:after="0"/>
              <w:rPr>
                <w:sz w:val="20"/>
                <w:szCs w:val="20"/>
                <w:color w:val="auto"/>
              </w:rPr>
            </w:pPr>
            <w:r>
              <w:rPr>
                <w:rFonts w:ascii="Arial" w:cs="Arial" w:eastAsia="Arial" w:hAnsi="Arial"/>
                <w:sz w:val="11"/>
                <w:szCs w:val="11"/>
                <w:b w:val="1"/>
                <w:bCs w:val="1"/>
                <w:color w:val="auto"/>
              </w:rPr>
              <w:t>2016</w:t>
            </w: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2015</w:t>
            </w:r>
          </w:p>
        </w:tc>
        <w:tc>
          <w:tcPr>
            <w:tcW w:w="6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Cost of revenue</w:t>
            </w:r>
          </w:p>
        </w:tc>
        <w:tc>
          <w:tcPr>
            <w:tcW w:w="2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418</w:t>
            </w:r>
          </w:p>
        </w:tc>
        <w:tc>
          <w:tcPr>
            <w:tcW w:w="680" w:type="dxa"/>
            <w:vAlign w:val="bottom"/>
            <w:tcBorders>
              <w:bottom w:val="single" w:sz="8" w:color="CCEEFF"/>
            </w:tcBorders>
            <w:gridSpan w:val="3"/>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275</w:t>
            </w:r>
          </w:p>
        </w:tc>
        <w:tc>
          <w:tcPr>
            <w:tcW w:w="0" w:type="dxa"/>
            <w:vAlign w:val="bottom"/>
          </w:tcPr>
          <w:p>
            <w:pPr>
              <w:spacing w:after="0"/>
              <w:rPr>
                <w:sz w:val="1"/>
                <w:szCs w:val="1"/>
                <w:color w:val="auto"/>
              </w:rPr>
            </w:pPr>
          </w:p>
        </w:tc>
      </w:tr>
      <w:tr>
        <w:trPr>
          <w:trHeight w:val="211"/>
        </w:trPr>
        <w:tc>
          <w:tcPr>
            <w:tcW w:w="230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823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667</w:t>
            </w:r>
          </w:p>
        </w:tc>
        <w:tc>
          <w:tcPr>
            <w:tcW w:w="0" w:type="dxa"/>
            <w:vAlign w:val="bottom"/>
          </w:tcPr>
          <w:p>
            <w:pPr>
              <w:spacing w:after="0"/>
              <w:rPr>
                <w:sz w:val="1"/>
                <w:szCs w:val="1"/>
                <w:color w:val="auto"/>
              </w:rPr>
            </w:pPr>
          </w:p>
        </w:tc>
      </w:tr>
      <w:tr>
        <w:trPr>
          <w:trHeight w:val="30"/>
        </w:trPr>
        <w:tc>
          <w:tcPr>
            <w:tcW w:w="23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23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Total</w:t>
            </w:r>
          </w:p>
        </w:tc>
        <w:tc>
          <w:tcPr>
            <w:tcW w:w="2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1,241</w:t>
            </w:r>
          </w:p>
        </w:tc>
        <w:tc>
          <w:tcPr>
            <w:tcW w:w="680" w:type="dxa"/>
            <w:vAlign w:val="bottom"/>
            <w:tcBorders>
              <w:bottom w:val="single" w:sz="8" w:color="CCEEFF"/>
            </w:tcBorders>
            <w:gridSpan w:val="3"/>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942</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bottom w:val="single" w:sz="8" w:color="CCEEFF"/>
            </w:tcBorders>
            <w:gridSpan w:val="13"/>
            <w:vMerge w:val="restart"/>
          </w:tcPr>
          <w:p>
            <w:pPr>
              <w:spacing w:after="0"/>
              <w:rPr>
                <w:sz w:val="20"/>
                <w:szCs w:val="20"/>
                <w:color w:val="auto"/>
              </w:rPr>
            </w:pPr>
            <w:r>
              <w:rPr>
                <w:rFonts w:ascii="Arial" w:cs="Arial" w:eastAsia="Arial" w:hAnsi="Arial"/>
                <w:sz w:val="16"/>
                <w:szCs w:val="16"/>
                <w:color w:val="auto"/>
                <w:w w:val="93"/>
              </w:rPr>
              <w:t>Included in the accompanying financial results are expenses related to the depreciation of property and equipment, as follows: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2"/>
        </w:trPr>
        <w:tc>
          <w:tcPr>
            <w:tcW w:w="8360" w:type="dxa"/>
            <w:vAlign w:val="bottom"/>
            <w:gridSpan w:val="13"/>
            <w:vMerge w:val="continue"/>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6"/>
          </w:tcPr>
          <w:p>
            <w:pPr>
              <w:jc w:val="right"/>
              <w:ind w:right="78"/>
              <w:spacing w:after="0"/>
              <w:rPr>
                <w:sz w:val="20"/>
                <w:szCs w:val="20"/>
                <w:color w:val="auto"/>
              </w:rPr>
            </w:pPr>
            <w:r>
              <w:rPr>
                <w:rFonts w:ascii="Arial" w:cs="Arial" w:eastAsia="Arial" w:hAnsi="Arial"/>
                <w:sz w:val="11"/>
                <w:szCs w:val="11"/>
                <w:b w:val="1"/>
                <w:bCs w:val="1"/>
                <w:color w:val="auto"/>
              </w:rPr>
              <w:t>Three Months Ended March 31,</w:t>
            </w:r>
          </w:p>
        </w:tc>
        <w:tc>
          <w:tcPr>
            <w:tcW w:w="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230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74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76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74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760" w:type="dxa"/>
            <w:vAlign w:val="bottom"/>
            <w:tcBorders>
              <w:bottom w:val="single" w:sz="8" w:color="CCEEFF"/>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74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64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78"/>
              <w:spacing w:after="0"/>
              <w:rPr>
                <w:sz w:val="20"/>
                <w:szCs w:val="20"/>
                <w:color w:val="auto"/>
              </w:rPr>
            </w:pPr>
            <w:r>
              <w:rPr>
                <w:rFonts w:ascii="Arial" w:cs="Arial" w:eastAsia="Arial" w:hAnsi="Arial"/>
                <w:sz w:val="11"/>
                <w:szCs w:val="11"/>
                <w:b w:val="1"/>
                <w:bCs w:val="1"/>
                <w:color w:val="auto"/>
              </w:rPr>
              <w:t>2016</w:t>
            </w: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2015</w:t>
            </w:r>
          </w:p>
        </w:tc>
        <w:tc>
          <w:tcPr>
            <w:tcW w:w="6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Cost of revenue</w:t>
            </w:r>
          </w:p>
        </w:tc>
        <w:tc>
          <w:tcPr>
            <w:tcW w:w="2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1,365</w:t>
            </w:r>
          </w:p>
        </w:tc>
        <w:tc>
          <w:tcPr>
            <w:tcW w:w="680" w:type="dxa"/>
            <w:vAlign w:val="bottom"/>
            <w:tcBorders>
              <w:bottom w:val="single" w:sz="8" w:color="CCEEFF"/>
            </w:tcBorders>
            <w:gridSpan w:val="3"/>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1,147</w:t>
            </w:r>
          </w:p>
        </w:tc>
        <w:tc>
          <w:tcPr>
            <w:tcW w:w="0" w:type="dxa"/>
            <w:vAlign w:val="bottom"/>
          </w:tcPr>
          <w:p>
            <w:pPr>
              <w:spacing w:after="0"/>
              <w:rPr>
                <w:sz w:val="1"/>
                <w:szCs w:val="1"/>
                <w:color w:val="auto"/>
              </w:rPr>
            </w:pPr>
          </w:p>
        </w:tc>
      </w:tr>
      <w:tr>
        <w:trPr>
          <w:trHeight w:val="211"/>
        </w:trPr>
        <w:tc>
          <w:tcPr>
            <w:tcW w:w="230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1,578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906</w:t>
            </w:r>
          </w:p>
        </w:tc>
        <w:tc>
          <w:tcPr>
            <w:tcW w:w="0" w:type="dxa"/>
            <w:vAlign w:val="bottom"/>
          </w:tcPr>
          <w:p>
            <w:pPr>
              <w:spacing w:after="0"/>
              <w:rPr>
                <w:sz w:val="1"/>
                <w:szCs w:val="1"/>
                <w:color w:val="auto"/>
              </w:rPr>
            </w:pPr>
          </w:p>
        </w:tc>
      </w:tr>
      <w:tr>
        <w:trPr>
          <w:trHeight w:val="30"/>
        </w:trPr>
        <w:tc>
          <w:tcPr>
            <w:tcW w:w="23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23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Total</w:t>
            </w:r>
          </w:p>
        </w:tc>
        <w:tc>
          <w:tcPr>
            <w:tcW w:w="2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2,943</w:t>
            </w:r>
          </w:p>
        </w:tc>
        <w:tc>
          <w:tcPr>
            <w:tcW w:w="680" w:type="dxa"/>
            <w:vAlign w:val="bottom"/>
            <w:tcBorders>
              <w:bottom w:val="single" w:sz="8" w:color="CCEEFF"/>
            </w:tcBorders>
            <w:gridSpan w:val="3"/>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2,053</w:t>
            </w: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b w:val="1"/>
                <w:bCs w:val="1"/>
                <w:color w:val="auto"/>
              </w:rPr>
              <w:t>Historical Operating Metrics</w:t>
            </w:r>
          </w:p>
        </w:tc>
        <w:tc>
          <w:tcPr>
            <w:tcW w:w="2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2"/>
        </w:trPr>
        <w:tc>
          <w:tcPr>
            <w:tcW w:w="23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3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32"/>
              <w:spacing w:after="0"/>
              <w:rPr>
                <w:sz w:val="20"/>
                <w:szCs w:val="20"/>
                <w:color w:val="auto"/>
              </w:rPr>
            </w:pPr>
            <w:r>
              <w:rPr>
                <w:rFonts w:ascii="Arial" w:cs="Arial" w:eastAsia="Arial" w:hAnsi="Arial"/>
                <w:sz w:val="11"/>
                <w:szCs w:val="11"/>
                <w:b w:val="1"/>
                <w:bCs w:val="1"/>
                <w:color w:val="auto"/>
              </w:rPr>
              <w:t>3/31/14</w:t>
            </w:r>
          </w:p>
        </w:tc>
        <w:tc>
          <w:tcPr>
            <w:tcW w:w="3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52"/>
              <w:spacing w:after="0"/>
              <w:rPr>
                <w:sz w:val="20"/>
                <w:szCs w:val="20"/>
                <w:color w:val="auto"/>
              </w:rPr>
            </w:pPr>
            <w:r>
              <w:rPr>
                <w:rFonts w:ascii="Arial" w:cs="Arial" w:eastAsia="Arial" w:hAnsi="Arial"/>
                <w:sz w:val="11"/>
                <w:szCs w:val="11"/>
                <w:b w:val="1"/>
                <w:bCs w:val="1"/>
                <w:color w:val="auto"/>
              </w:rPr>
              <w:t>6/30/14</w:t>
            </w:r>
          </w:p>
        </w:tc>
        <w:tc>
          <w:tcPr>
            <w:tcW w:w="3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32"/>
              <w:spacing w:after="0"/>
              <w:rPr>
                <w:sz w:val="20"/>
                <w:szCs w:val="20"/>
                <w:color w:val="auto"/>
              </w:rPr>
            </w:pPr>
            <w:r>
              <w:rPr>
                <w:rFonts w:ascii="Arial" w:cs="Arial" w:eastAsia="Arial" w:hAnsi="Arial"/>
                <w:sz w:val="11"/>
                <w:szCs w:val="11"/>
                <w:b w:val="1"/>
                <w:bCs w:val="1"/>
                <w:color w:val="auto"/>
              </w:rPr>
              <w:t>9/30/14</w:t>
            </w: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11"/>
                <w:szCs w:val="11"/>
                <w:b w:val="1"/>
                <w:bCs w:val="1"/>
                <w:color w:val="auto"/>
              </w:rPr>
              <w:t>12/31/14</w:t>
            </w:r>
          </w:p>
        </w:tc>
        <w:tc>
          <w:tcPr>
            <w:tcW w:w="3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32"/>
              <w:spacing w:after="0"/>
              <w:rPr>
                <w:sz w:val="20"/>
                <w:szCs w:val="20"/>
                <w:color w:val="auto"/>
              </w:rPr>
            </w:pPr>
            <w:r>
              <w:rPr>
                <w:rFonts w:ascii="Arial" w:cs="Arial" w:eastAsia="Arial" w:hAnsi="Arial"/>
                <w:sz w:val="11"/>
                <w:szCs w:val="11"/>
                <w:b w:val="1"/>
                <w:bCs w:val="1"/>
                <w:color w:val="auto"/>
              </w:rPr>
              <w:t>3/31/15</w:t>
            </w:r>
          </w:p>
        </w:tc>
        <w:tc>
          <w:tcPr>
            <w:tcW w:w="2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132"/>
              <w:spacing w:after="0"/>
              <w:rPr>
                <w:sz w:val="20"/>
                <w:szCs w:val="20"/>
                <w:color w:val="auto"/>
              </w:rPr>
            </w:pPr>
            <w:r>
              <w:rPr>
                <w:rFonts w:ascii="Arial" w:cs="Arial" w:eastAsia="Arial" w:hAnsi="Arial"/>
                <w:sz w:val="11"/>
                <w:szCs w:val="11"/>
                <w:b w:val="1"/>
                <w:bCs w:val="1"/>
                <w:color w:val="auto"/>
              </w:rPr>
              <w:t>6/30/15</w:t>
            </w:r>
          </w:p>
        </w:tc>
        <w:tc>
          <w:tcPr>
            <w:tcW w:w="3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138"/>
              <w:spacing w:after="0"/>
              <w:rPr>
                <w:sz w:val="20"/>
                <w:szCs w:val="20"/>
                <w:color w:val="auto"/>
              </w:rPr>
            </w:pPr>
            <w:r>
              <w:rPr>
                <w:rFonts w:ascii="Arial" w:cs="Arial" w:eastAsia="Arial" w:hAnsi="Arial"/>
                <w:sz w:val="11"/>
                <w:szCs w:val="11"/>
                <w:b w:val="1"/>
                <w:bCs w:val="1"/>
                <w:color w:val="auto"/>
              </w:rPr>
              <w:t>9/30/15</w:t>
            </w:r>
          </w:p>
        </w:tc>
        <w:tc>
          <w:tcPr>
            <w:tcW w:w="4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1"/>
                <w:szCs w:val="11"/>
                <w:b w:val="1"/>
                <w:bCs w:val="1"/>
                <w:color w:val="auto"/>
                <w:w w:val="93"/>
              </w:rPr>
              <w:t>12/31/15</w:t>
            </w:r>
          </w:p>
        </w:tc>
        <w:tc>
          <w:tcPr>
            <w:tcW w:w="3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209"/>
              <w:spacing w:after="0"/>
              <w:rPr>
                <w:sz w:val="20"/>
                <w:szCs w:val="20"/>
                <w:color w:val="auto"/>
              </w:rPr>
            </w:pPr>
            <w:r>
              <w:rPr>
                <w:rFonts w:ascii="Arial" w:cs="Arial" w:eastAsia="Arial" w:hAnsi="Arial"/>
                <w:sz w:val="11"/>
                <w:szCs w:val="11"/>
                <w:b w:val="1"/>
                <w:bCs w:val="1"/>
                <w:color w:val="auto"/>
                <w:w w:val="87"/>
              </w:rPr>
              <w:t>3/31/16</w:t>
            </w:r>
          </w:p>
        </w:tc>
        <w:tc>
          <w:tcPr>
            <w:tcW w:w="0" w:type="dxa"/>
            <w:vAlign w:val="bottom"/>
          </w:tcPr>
          <w:p>
            <w:pPr>
              <w:spacing w:after="0"/>
              <w:rPr>
                <w:sz w:val="1"/>
                <w:szCs w:val="1"/>
                <w:color w:val="auto"/>
              </w:rPr>
            </w:pPr>
          </w:p>
        </w:tc>
      </w:tr>
      <w:tr>
        <w:trPr>
          <w:trHeight w:val="224"/>
        </w:trPr>
        <w:tc>
          <w:tcPr>
            <w:tcW w:w="2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740" w:type="dxa"/>
            <w:vAlign w:val="bottom"/>
            <w:gridSpan w:val="5"/>
          </w:tcPr>
          <w:p>
            <w:pPr>
              <w:ind w:left="100"/>
              <w:spacing w:after="0"/>
              <w:rPr>
                <w:sz w:val="20"/>
                <w:szCs w:val="20"/>
                <w:color w:val="auto"/>
              </w:rPr>
            </w:pPr>
            <w:r>
              <w:rPr>
                <w:rFonts w:ascii="Arial" w:cs="Arial" w:eastAsia="Arial" w:hAnsi="Arial"/>
                <w:sz w:val="13"/>
                <w:szCs w:val="13"/>
                <w:b w:val="1"/>
                <w:bCs w:val="1"/>
                <w:color w:val="auto"/>
                <w:w w:val="99"/>
              </w:rPr>
              <w:t>(in millions, except revenue per download)</w:t>
            </w:r>
          </w:p>
        </w:tc>
        <w:tc>
          <w:tcPr>
            <w:tcW w:w="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Number of paid downloads</w:t>
            </w:r>
          </w:p>
        </w:tc>
        <w:tc>
          <w:tcPr>
            <w:tcW w:w="2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4"/>
                <w:szCs w:val="14"/>
                <w:color w:val="auto"/>
              </w:rPr>
              <w:t>29.7</w:t>
            </w:r>
          </w:p>
        </w:tc>
        <w:tc>
          <w:tcPr>
            <w:tcW w:w="3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4"/>
                <w:szCs w:val="14"/>
                <w:color w:val="auto"/>
              </w:rPr>
              <w:t>31.5</w:t>
            </w:r>
          </w:p>
        </w:tc>
        <w:tc>
          <w:tcPr>
            <w:tcW w:w="3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4"/>
                <w:szCs w:val="14"/>
                <w:color w:val="auto"/>
              </w:rPr>
              <w:t>31.2</w:t>
            </w:r>
          </w:p>
        </w:tc>
        <w:tc>
          <w:tcPr>
            <w:tcW w:w="2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33.5</w:t>
            </w:r>
          </w:p>
        </w:tc>
        <w:tc>
          <w:tcPr>
            <w:tcW w:w="3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4"/>
                <w:szCs w:val="14"/>
                <w:color w:val="auto"/>
              </w:rPr>
              <w:t>33.4</w:t>
            </w:r>
          </w:p>
        </w:tc>
        <w:tc>
          <w:tcPr>
            <w:tcW w:w="2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35.9</w:t>
            </w:r>
          </w:p>
        </w:tc>
        <w:tc>
          <w:tcPr>
            <w:tcW w:w="36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38.1</w:t>
            </w:r>
          </w:p>
        </w:tc>
        <w:tc>
          <w:tcPr>
            <w:tcW w:w="4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39.8</w:t>
            </w:r>
          </w:p>
        </w:tc>
        <w:tc>
          <w:tcPr>
            <w:tcW w:w="3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41.2</w:t>
            </w:r>
          </w:p>
        </w:tc>
        <w:tc>
          <w:tcPr>
            <w:tcW w:w="0" w:type="dxa"/>
            <w:vAlign w:val="bottom"/>
          </w:tcPr>
          <w:p>
            <w:pPr>
              <w:spacing w:after="0"/>
              <w:rPr>
                <w:sz w:val="1"/>
                <w:szCs w:val="1"/>
                <w:color w:val="auto"/>
              </w:rPr>
            </w:pPr>
          </w:p>
        </w:tc>
      </w:tr>
      <w:tr>
        <w:trPr>
          <w:trHeight w:val="257"/>
        </w:trPr>
        <w:tc>
          <w:tcPr>
            <w:tcW w:w="2300" w:type="dxa"/>
            <w:vAlign w:val="bottom"/>
          </w:tcPr>
          <w:p>
            <w:pPr>
              <w:ind w:left="20"/>
              <w:spacing w:after="0"/>
              <w:rPr>
                <w:sz w:val="20"/>
                <w:szCs w:val="20"/>
                <w:color w:val="auto"/>
              </w:rPr>
            </w:pPr>
            <w:r>
              <w:rPr>
                <w:rFonts w:ascii="Arial" w:cs="Arial" w:eastAsia="Arial" w:hAnsi="Arial"/>
                <w:sz w:val="14"/>
                <w:szCs w:val="14"/>
                <w:color w:val="auto"/>
              </w:rPr>
              <w:t xml:space="preserve">Revenue per download </w:t>
            </w:r>
            <w:r>
              <w:rPr>
                <w:rFonts w:ascii="Arial" w:cs="Arial" w:eastAsia="Arial" w:hAnsi="Arial"/>
                <w:sz w:val="19"/>
                <w:szCs w:val="19"/>
                <w:b w:val="1"/>
                <w:bCs w:val="1"/>
                <w:color w:val="auto"/>
                <w:vertAlign w:val="superscript"/>
              </w:rPr>
              <w:t>(1)</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72"/>
              <w:spacing w:after="0"/>
              <w:rPr>
                <w:sz w:val="20"/>
                <w:szCs w:val="20"/>
                <w:color w:val="auto"/>
              </w:rPr>
            </w:pPr>
            <w:r>
              <w:rPr>
                <w:rFonts w:ascii="Arial" w:cs="Arial" w:eastAsia="Arial" w:hAnsi="Arial"/>
                <w:sz w:val="14"/>
                <w:szCs w:val="14"/>
                <w:color w:val="auto"/>
              </w:rPr>
              <w:t>2.45</w:t>
            </w: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72"/>
              <w:spacing w:after="0"/>
              <w:rPr>
                <w:sz w:val="20"/>
                <w:szCs w:val="20"/>
                <w:color w:val="auto"/>
              </w:rPr>
            </w:pPr>
            <w:r>
              <w:rPr>
                <w:rFonts w:ascii="Arial" w:cs="Arial" w:eastAsia="Arial" w:hAnsi="Arial"/>
                <w:sz w:val="14"/>
                <w:szCs w:val="14"/>
                <w:color w:val="auto"/>
              </w:rPr>
              <w:t>2.52</w:t>
            </w: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72"/>
              <w:spacing w:after="0"/>
              <w:rPr>
                <w:sz w:val="20"/>
                <w:szCs w:val="20"/>
                <w:color w:val="auto"/>
              </w:rPr>
            </w:pPr>
            <w:r>
              <w:rPr>
                <w:rFonts w:ascii="Arial" w:cs="Arial" w:eastAsia="Arial" w:hAnsi="Arial"/>
                <w:sz w:val="14"/>
                <w:szCs w:val="14"/>
                <w:color w:val="auto"/>
              </w:rPr>
              <w:t>2.65</w:t>
            </w: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52"/>
              <w:spacing w:after="0"/>
              <w:rPr>
                <w:sz w:val="20"/>
                <w:szCs w:val="20"/>
                <w:color w:val="auto"/>
              </w:rPr>
            </w:pPr>
            <w:r>
              <w:rPr>
                <w:rFonts w:ascii="Arial" w:cs="Arial" w:eastAsia="Arial" w:hAnsi="Arial"/>
                <w:sz w:val="14"/>
                <w:szCs w:val="14"/>
                <w:color w:val="auto"/>
              </w:rPr>
              <w:t>2.68</w:t>
            </w:r>
          </w:p>
        </w:tc>
        <w:tc>
          <w:tcPr>
            <w:tcW w:w="3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72"/>
              <w:spacing w:after="0"/>
              <w:rPr>
                <w:sz w:val="20"/>
                <w:szCs w:val="20"/>
                <w:color w:val="auto"/>
              </w:rPr>
            </w:pPr>
            <w:r>
              <w:rPr>
                <w:rFonts w:ascii="Arial" w:cs="Arial" w:eastAsia="Arial" w:hAnsi="Arial"/>
                <w:sz w:val="14"/>
                <w:szCs w:val="14"/>
                <w:color w:val="auto"/>
              </w:rPr>
              <w:t>2.87</w:t>
            </w: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2.85</w:t>
            </w:r>
          </w:p>
        </w:tc>
        <w:tc>
          <w:tcPr>
            <w:tcW w:w="3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2.76</w:t>
            </w:r>
          </w:p>
        </w:tc>
        <w:tc>
          <w:tcPr>
            <w:tcW w:w="4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80" w:type="dxa"/>
            <w:vAlign w:val="bottom"/>
            <w:gridSpan w:val="3"/>
          </w:tcPr>
          <w:p>
            <w:pPr>
              <w:jc w:val="right"/>
              <w:ind w:right="120"/>
              <w:spacing w:after="0"/>
              <w:rPr>
                <w:sz w:val="20"/>
                <w:szCs w:val="20"/>
                <w:color w:val="auto"/>
              </w:rPr>
            </w:pPr>
            <w:r>
              <w:rPr>
                <w:rFonts w:ascii="Arial" w:cs="Arial" w:eastAsia="Arial" w:hAnsi="Arial"/>
                <w:sz w:val="14"/>
                <w:szCs w:val="14"/>
                <w:color w:val="auto"/>
              </w:rPr>
              <w:t>2.86</w:t>
            </w:r>
          </w:p>
        </w:tc>
        <w:tc>
          <w:tcPr>
            <w:tcW w:w="380" w:type="dxa"/>
            <w:vAlign w:val="bottom"/>
          </w:tcPr>
          <w:p>
            <w:pPr>
              <w:jc w:val="right"/>
              <w:ind w:right="11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2.77</w:t>
            </w:r>
          </w:p>
        </w:tc>
        <w:tc>
          <w:tcPr>
            <w:tcW w:w="0" w:type="dxa"/>
            <w:vAlign w:val="bottom"/>
          </w:tcPr>
          <w:p>
            <w:pPr>
              <w:spacing w:after="0"/>
              <w:rPr>
                <w:sz w:val="1"/>
                <w:szCs w:val="1"/>
                <w:color w:val="auto"/>
              </w:rPr>
            </w:pPr>
          </w:p>
        </w:tc>
      </w:tr>
      <w:tr>
        <w:trPr>
          <w:trHeight w:val="180"/>
        </w:trPr>
        <w:tc>
          <w:tcPr>
            <w:tcW w:w="2300" w:type="dxa"/>
            <w:vAlign w:val="bottom"/>
          </w:tcPr>
          <w:p>
            <w:pPr>
              <w:ind w:left="20"/>
              <w:spacing w:after="0"/>
              <w:rPr>
                <w:sz w:val="20"/>
                <w:szCs w:val="20"/>
                <w:color w:val="auto"/>
              </w:rPr>
            </w:pPr>
            <w:r>
              <w:rPr>
                <w:rFonts w:ascii="Arial" w:cs="Arial" w:eastAsia="Arial" w:hAnsi="Arial"/>
                <w:sz w:val="14"/>
                <w:szCs w:val="14"/>
                <w:color w:val="auto"/>
              </w:rPr>
              <w:t>Images in collection (end of period)</w:t>
            </w:r>
          </w:p>
        </w:tc>
        <w:tc>
          <w:tcPr>
            <w:tcW w:w="200" w:type="dxa"/>
            <w:vAlign w:val="bottom"/>
          </w:tcPr>
          <w:p>
            <w:pPr>
              <w:spacing w:after="0"/>
              <w:rPr>
                <w:sz w:val="15"/>
                <w:szCs w:val="15"/>
                <w:color w:val="auto"/>
              </w:rPr>
            </w:pPr>
          </w:p>
        </w:tc>
        <w:tc>
          <w:tcPr>
            <w:tcW w:w="740" w:type="dxa"/>
            <w:vAlign w:val="bottom"/>
            <w:vMerge w:val="restart"/>
          </w:tcPr>
          <w:p>
            <w:pPr>
              <w:jc w:val="right"/>
              <w:ind w:right="72"/>
              <w:spacing w:after="0"/>
              <w:rPr>
                <w:sz w:val="20"/>
                <w:szCs w:val="20"/>
                <w:color w:val="auto"/>
              </w:rPr>
            </w:pPr>
            <w:r>
              <w:rPr>
                <w:rFonts w:ascii="Arial" w:cs="Arial" w:eastAsia="Arial" w:hAnsi="Arial"/>
                <w:sz w:val="14"/>
                <w:szCs w:val="14"/>
                <w:color w:val="auto"/>
              </w:rPr>
              <w:t>35.4</w:t>
            </w:r>
          </w:p>
        </w:tc>
        <w:tc>
          <w:tcPr>
            <w:tcW w:w="300" w:type="dxa"/>
            <w:vAlign w:val="bottom"/>
          </w:tcPr>
          <w:p>
            <w:pPr>
              <w:spacing w:after="0"/>
              <w:rPr>
                <w:sz w:val="15"/>
                <w:szCs w:val="15"/>
                <w:color w:val="auto"/>
              </w:rPr>
            </w:pPr>
          </w:p>
        </w:tc>
        <w:tc>
          <w:tcPr>
            <w:tcW w:w="760" w:type="dxa"/>
            <w:vAlign w:val="bottom"/>
            <w:vMerge w:val="restart"/>
          </w:tcPr>
          <w:p>
            <w:pPr>
              <w:jc w:val="right"/>
              <w:ind w:right="72"/>
              <w:spacing w:after="0"/>
              <w:rPr>
                <w:sz w:val="20"/>
                <w:szCs w:val="20"/>
                <w:color w:val="auto"/>
              </w:rPr>
            </w:pPr>
            <w:r>
              <w:rPr>
                <w:rFonts w:ascii="Arial" w:cs="Arial" w:eastAsia="Arial" w:hAnsi="Arial"/>
                <w:sz w:val="14"/>
                <w:szCs w:val="14"/>
                <w:color w:val="auto"/>
              </w:rPr>
              <w:t>38.8</w:t>
            </w:r>
          </w:p>
        </w:tc>
        <w:tc>
          <w:tcPr>
            <w:tcW w:w="300" w:type="dxa"/>
            <w:vAlign w:val="bottom"/>
          </w:tcPr>
          <w:p>
            <w:pPr>
              <w:spacing w:after="0"/>
              <w:rPr>
                <w:sz w:val="15"/>
                <w:szCs w:val="15"/>
                <w:color w:val="auto"/>
              </w:rPr>
            </w:pPr>
          </w:p>
        </w:tc>
        <w:tc>
          <w:tcPr>
            <w:tcW w:w="740" w:type="dxa"/>
            <w:vAlign w:val="bottom"/>
            <w:vMerge w:val="restart"/>
          </w:tcPr>
          <w:p>
            <w:pPr>
              <w:jc w:val="right"/>
              <w:ind w:right="72"/>
              <w:spacing w:after="0"/>
              <w:rPr>
                <w:sz w:val="20"/>
                <w:szCs w:val="20"/>
                <w:color w:val="auto"/>
              </w:rPr>
            </w:pPr>
            <w:r>
              <w:rPr>
                <w:rFonts w:ascii="Arial" w:cs="Arial" w:eastAsia="Arial" w:hAnsi="Arial"/>
                <w:sz w:val="14"/>
                <w:szCs w:val="14"/>
                <w:color w:val="auto"/>
              </w:rPr>
              <w:t>42.7</w:t>
            </w:r>
          </w:p>
        </w:tc>
        <w:tc>
          <w:tcPr>
            <w:tcW w:w="280" w:type="dxa"/>
            <w:vAlign w:val="bottom"/>
          </w:tcPr>
          <w:p>
            <w:pPr>
              <w:spacing w:after="0"/>
              <w:rPr>
                <w:sz w:val="15"/>
                <w:szCs w:val="15"/>
                <w:color w:val="auto"/>
              </w:rPr>
            </w:pPr>
          </w:p>
        </w:tc>
        <w:tc>
          <w:tcPr>
            <w:tcW w:w="760" w:type="dxa"/>
            <w:vAlign w:val="bottom"/>
            <w:vMerge w:val="restart"/>
          </w:tcPr>
          <w:p>
            <w:pPr>
              <w:jc w:val="right"/>
              <w:ind w:right="52"/>
              <w:spacing w:after="0"/>
              <w:rPr>
                <w:sz w:val="20"/>
                <w:szCs w:val="20"/>
                <w:color w:val="auto"/>
              </w:rPr>
            </w:pPr>
            <w:r>
              <w:rPr>
                <w:rFonts w:ascii="Arial" w:cs="Arial" w:eastAsia="Arial" w:hAnsi="Arial"/>
                <w:sz w:val="14"/>
                <w:szCs w:val="14"/>
                <w:color w:val="auto"/>
              </w:rPr>
              <w:t>46.8</w:t>
            </w:r>
          </w:p>
        </w:tc>
        <w:tc>
          <w:tcPr>
            <w:tcW w:w="320" w:type="dxa"/>
            <w:vAlign w:val="bottom"/>
          </w:tcPr>
          <w:p>
            <w:pPr>
              <w:spacing w:after="0"/>
              <w:rPr>
                <w:sz w:val="15"/>
                <w:szCs w:val="15"/>
                <w:color w:val="auto"/>
              </w:rPr>
            </w:pPr>
          </w:p>
        </w:tc>
        <w:tc>
          <w:tcPr>
            <w:tcW w:w="740" w:type="dxa"/>
            <w:vAlign w:val="bottom"/>
            <w:vMerge w:val="restart"/>
          </w:tcPr>
          <w:p>
            <w:pPr>
              <w:jc w:val="right"/>
              <w:ind w:right="72"/>
              <w:spacing w:after="0"/>
              <w:rPr>
                <w:sz w:val="20"/>
                <w:szCs w:val="20"/>
                <w:color w:val="auto"/>
              </w:rPr>
            </w:pPr>
            <w:r>
              <w:rPr>
                <w:rFonts w:ascii="Arial" w:cs="Arial" w:eastAsia="Arial" w:hAnsi="Arial"/>
                <w:sz w:val="14"/>
                <w:szCs w:val="14"/>
                <w:color w:val="auto"/>
              </w:rPr>
              <w:t>51.6</w:t>
            </w:r>
          </w:p>
        </w:tc>
        <w:tc>
          <w:tcPr>
            <w:tcW w:w="28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57.2</w:t>
            </w:r>
          </w:p>
        </w:tc>
        <w:tc>
          <w:tcPr>
            <w:tcW w:w="36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63.7</w:t>
            </w:r>
          </w:p>
        </w:tc>
        <w:tc>
          <w:tcPr>
            <w:tcW w:w="400" w:type="dxa"/>
            <w:vAlign w:val="bottom"/>
          </w:tcPr>
          <w:p>
            <w:pPr>
              <w:spacing w:after="0"/>
              <w:rPr>
                <w:sz w:val="15"/>
                <w:szCs w:val="15"/>
                <w:color w:val="auto"/>
              </w:rPr>
            </w:pPr>
          </w:p>
        </w:tc>
        <w:tc>
          <w:tcPr>
            <w:tcW w:w="680" w:type="dxa"/>
            <w:vAlign w:val="bottom"/>
            <w:gridSpan w:val="3"/>
            <w:vMerge w:val="restart"/>
          </w:tcPr>
          <w:p>
            <w:pPr>
              <w:jc w:val="right"/>
              <w:ind w:right="120"/>
              <w:spacing w:after="0"/>
              <w:rPr>
                <w:sz w:val="20"/>
                <w:szCs w:val="20"/>
                <w:color w:val="auto"/>
              </w:rPr>
            </w:pPr>
            <w:r>
              <w:rPr>
                <w:rFonts w:ascii="Arial" w:cs="Arial" w:eastAsia="Arial" w:hAnsi="Arial"/>
                <w:sz w:val="14"/>
                <w:szCs w:val="14"/>
                <w:color w:val="auto"/>
              </w:rPr>
              <w:t>71.4</w:t>
            </w:r>
          </w:p>
        </w:tc>
        <w:tc>
          <w:tcPr>
            <w:tcW w:w="380" w:type="dxa"/>
            <w:vAlign w:val="bottom"/>
          </w:tcPr>
          <w:p>
            <w:pPr>
              <w:spacing w:after="0"/>
              <w:rPr>
                <w:sz w:val="15"/>
                <w:szCs w:val="15"/>
                <w:color w:val="auto"/>
              </w:rPr>
            </w:pPr>
          </w:p>
        </w:tc>
        <w:tc>
          <w:tcPr>
            <w:tcW w:w="620" w:type="dxa"/>
            <w:vAlign w:val="bottom"/>
            <w:vMerge w:val="restart"/>
          </w:tcPr>
          <w:p>
            <w:pPr>
              <w:jc w:val="right"/>
              <w:ind w:right="49"/>
              <w:spacing w:after="0"/>
              <w:rPr>
                <w:sz w:val="20"/>
                <w:szCs w:val="20"/>
                <w:color w:val="auto"/>
              </w:rPr>
            </w:pPr>
            <w:r>
              <w:rPr>
                <w:rFonts w:ascii="Arial" w:cs="Arial" w:eastAsia="Arial" w:hAnsi="Arial"/>
                <w:sz w:val="14"/>
                <w:szCs w:val="14"/>
                <w:color w:val="auto"/>
              </w:rPr>
              <w:t>81.0</w:t>
            </w:r>
          </w:p>
        </w:tc>
        <w:tc>
          <w:tcPr>
            <w:tcW w:w="0" w:type="dxa"/>
            <w:vAlign w:val="bottom"/>
          </w:tcPr>
          <w:p>
            <w:pPr>
              <w:spacing w:after="0"/>
              <w:rPr>
                <w:sz w:val="1"/>
                <w:szCs w:val="1"/>
                <w:color w:val="auto"/>
              </w:rPr>
            </w:pPr>
          </w:p>
        </w:tc>
      </w:tr>
      <w:tr>
        <w:trPr>
          <w:trHeight w:val="122"/>
        </w:trPr>
        <w:tc>
          <w:tcPr>
            <w:tcW w:w="2300" w:type="dxa"/>
            <w:vAlign w:val="bottom"/>
          </w:tcPr>
          <w:p>
            <w:pPr>
              <w:ind w:left="20"/>
              <w:spacing w:after="0"/>
              <w:rPr>
                <w:sz w:val="20"/>
                <w:szCs w:val="20"/>
                <w:color w:val="auto"/>
              </w:rPr>
            </w:pPr>
            <w:r>
              <w:rPr>
                <w:rFonts w:ascii="Arial" w:cs="Arial" w:eastAsia="Arial" w:hAnsi="Arial"/>
                <w:sz w:val="10"/>
                <w:szCs w:val="10"/>
                <w:color w:val="auto"/>
              </w:rPr>
              <w:t>(2)</w:t>
            </w:r>
          </w:p>
        </w:tc>
        <w:tc>
          <w:tcPr>
            <w:tcW w:w="20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680" w:type="dxa"/>
            <w:vAlign w:val="bottom"/>
            <w:gridSpan w:val="3"/>
            <w:vMerge w:val="continue"/>
          </w:tcPr>
          <w:p>
            <w:pPr>
              <w:spacing w:after="0"/>
              <w:rPr>
                <w:sz w:val="10"/>
                <w:szCs w:val="10"/>
                <w:color w:val="auto"/>
              </w:rPr>
            </w:pPr>
          </w:p>
        </w:tc>
        <w:tc>
          <w:tcPr>
            <w:tcW w:w="38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-200660</wp:posOffset>
            </wp:positionV>
            <wp:extent cx="7261225" cy="2146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1225" cy="214630"/>
                    </a:xfrm>
                    <a:prstGeom prst="rect">
                      <a:avLst/>
                    </a:prstGeom>
                    <a:noFill/>
                  </pic:spPr>
                </pic:pic>
              </a:graphicData>
            </a:graphic>
          </wp:anchor>
        </w:drawing>
      </w:r>
    </w:p>
    <w:p>
      <w:pPr>
        <w:ind w:left="4"/>
        <w:spacing w:after="0"/>
        <w:rPr>
          <w:sz w:val="20"/>
          <w:szCs w:val="20"/>
          <w:color w:val="auto"/>
        </w:rPr>
      </w:pPr>
      <w:r>
        <w:rPr>
          <w:rFonts w:ascii="Arial" w:cs="Arial" w:eastAsia="Arial" w:hAnsi="Arial"/>
          <w:sz w:val="10"/>
          <w:szCs w:val="10"/>
          <w:color w:val="auto"/>
        </w:rPr>
        <w:t>_______________________________________________________________________________________________________________________</w:t>
      </w:r>
    </w:p>
    <w:p>
      <w:pPr>
        <w:ind w:left="224" w:hanging="224"/>
        <w:spacing w:after="0" w:line="232" w:lineRule="auto"/>
        <w:tabs>
          <w:tab w:leader="none" w:pos="224" w:val="left"/>
        </w:tabs>
        <w:numPr>
          <w:ilvl w:val="0"/>
          <w:numId w:val="8"/>
        </w:numPr>
        <w:rPr>
          <w:rFonts w:ascii="Arial" w:cs="Arial" w:eastAsia="Arial" w:hAnsi="Arial"/>
          <w:sz w:val="13"/>
          <w:szCs w:val="13"/>
          <w:color w:val="auto"/>
        </w:rPr>
      </w:pPr>
      <w:r>
        <w:rPr>
          <w:rFonts w:ascii="Arial" w:cs="Arial" w:eastAsia="Arial" w:hAnsi="Arial"/>
          <w:sz w:val="13"/>
          <w:szCs w:val="13"/>
          <w:color w:val="auto"/>
        </w:rPr>
        <w:t>Revenue per download metric excludes the impact of revenue not associated with content downloads.</w:t>
      </w:r>
    </w:p>
    <w:p>
      <w:pPr>
        <w:ind w:left="4" w:right="580" w:hanging="4"/>
        <w:spacing w:after="0" w:line="238" w:lineRule="auto"/>
        <w:tabs>
          <w:tab w:leader="none" w:pos="186" w:val="left"/>
        </w:tabs>
        <w:numPr>
          <w:ilvl w:val="0"/>
          <w:numId w:val="8"/>
        </w:numPr>
        <w:rPr>
          <w:rFonts w:ascii="Arial" w:cs="Arial" w:eastAsia="Arial" w:hAnsi="Arial"/>
          <w:sz w:val="13"/>
          <w:szCs w:val="13"/>
          <w:color w:val="auto"/>
        </w:rPr>
      </w:pPr>
      <w:r>
        <w:rPr>
          <w:rFonts w:ascii="Arial" w:cs="Arial" w:eastAsia="Arial" w:hAnsi="Arial"/>
          <w:sz w:val="13"/>
          <w:szCs w:val="13"/>
          <w:color w:val="auto"/>
        </w:rPr>
        <w:t>Images are photographs, vectors and illustrations available on shutterstock.com at the end of the period. We exclude content that is not uploaded directly to our site but is available to our customers through an application program interface and certain images that may be licensed for editorial use only.</w:t>
      </w:r>
    </w:p>
    <w:p>
      <w:pPr>
        <w:sectPr>
          <w:pgSz w:w="11900" w:h="16838" w:orient="portrait"/>
          <w:cols w:equalWidth="0" w:num="1">
            <w:col w:w="11444"/>
          </w:cols>
          <w:pgMar w:left="236" w:top="533" w:right="219" w:bottom="1440" w:gutter="0" w:footer="0" w:header="0"/>
        </w:sectPr>
      </w:pPr>
    </w:p>
    <w:bookmarkStart w:id="14" w:name="page15"/>
    <w:bookmarkEnd w:id="14"/>
    <w:p>
      <w:pPr>
        <w:spacing w:after="0" w:line="238" w:lineRule="auto"/>
        <w:tabs>
          <w:tab w:leader="none" w:pos="186"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334010</wp:posOffset>
            </wp:positionV>
            <wp:extent cx="7197090" cy="41922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97090" cy="4192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38" w:lineRule="auto"/>
        <w:tabs>
          <w:tab w:leader="none" w:pos="186"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4199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97090" cy="4199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38" w:lineRule="auto"/>
        <w:tabs>
          <w:tab w:leader="none" w:pos="186"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41922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97090" cy="4192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38" w:lineRule="auto"/>
        <w:tabs>
          <w:tab w:leader="none" w:pos="186"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4192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97090" cy="4192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38" w:lineRule="auto"/>
        <w:tabs>
          <w:tab w:leader="none" w:pos="186"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41922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97090" cy="4192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38" w:lineRule="auto"/>
        <w:tabs>
          <w:tab w:leader="none" w:pos="186"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4192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97090" cy="4192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38" w:lineRule="auto"/>
        <w:tabs>
          <w:tab w:leader="none" w:pos="186"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4192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97090" cy="4192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38" w:lineRule="auto"/>
        <w:tabs>
          <w:tab w:leader="none" w:pos="186"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41922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97090" cy="4192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38" w:lineRule="auto"/>
        <w:tabs>
          <w:tab w:leader="none" w:pos="186"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41922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97090" cy="4192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38" w:lineRule="auto"/>
        <w:tabs>
          <w:tab w:leader="none" w:pos="186"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41922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97090" cy="4192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38" w:lineRule="auto"/>
        <w:tabs>
          <w:tab w:leader="none" w:pos="186"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41922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97090" cy="4192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o"/>
      <w:numFmt w:val="bullet"/>
      <w:start w:val="1"/>
    </w:lvl>
  </w:abstractNum>
  <w:abstractNum w:abstractNumId="1">
    <w:nsid w:val="46E87CCD"/>
    <w:multiLevelType w:val="hybridMultilevel"/>
    <w:lvl w:ilvl="0">
      <w:lvlJc w:val="left"/>
      <w:lvlText w:val="(%1)"/>
      <w:numFmt w:val="lowerLetter"/>
      <w:start w:val="4"/>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2019-12-08T22:53:57Z</dcterms:created>
  <dcterms:modified xsi:type="dcterms:W3CDTF">2019-12-08T22:53:57Z</dcterms:modified>
</cp:coreProperties>
</file>