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HorizontalLine"/>
        <w:bidi w:val="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HorizontalLine"/>
        <w:bidi w:val="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August 4, 2026</w:t>
      </w:r>
    </w:p>
    <w:p>
      <w:pPr>
        <w:pStyle w:val="HorizontalLine"/>
        <w:bidi w:val="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Shutterstock, Inc.</w:t>
      </w:r>
    </w:p>
    <w:p>
      <w:pPr>
        <w:pStyle w:val="HorizontalLine"/>
        <w:bidi w:val="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HorizontalLine"/>
        <w:bidi w:val="0"/>
        <w:jc w:val="left"/>
        <w:rPr/>
      </w:pPr>
      <w:r>
        <w:rPr/>
      </w:r>
    </w:p>
    <w:tbl>
      <w:tblPr>
        <w:tblW w:w="4890" w:type="dxa"/>
        <w:jc w:val="left"/>
        <w:tblInd w:w="0" w:type="dxa"/>
        <w:tblLayout w:type="fixed"/>
        <w:tblCellMar>
          <w:top w:w="0" w:type="dxa"/>
          <w:left w:w="0" w:type="dxa"/>
          <w:bottom w:w="0" w:type="dxa"/>
          <w:right w:w="0" w:type="dxa"/>
        </w:tblCellMar>
      </w:tblPr>
      <w:tblGrid>
        <w:gridCol w:w="2150"/>
        <w:gridCol w:w="60"/>
        <w:gridCol w:w="1100"/>
        <w:gridCol w:w="60"/>
        <w:gridCol w:w="1520"/>
      </w:tblGrid>
      <w:tr>
        <w:trPr/>
        <w:tc>
          <w:tcPr>
            <w:tcW w:w="215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001-35669</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80-0812659</w:t>
            </w:r>
          </w:p>
        </w:tc>
      </w:tr>
      <w:tr>
        <w:trPr/>
        <w:tc>
          <w:tcPr>
            <w:tcW w:w="215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350 Fifth Avenue, 20th Floor</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New York, NY 10118</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including zip code)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(646) 710-3417</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former address and former fiscal year, if changed since last report)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pPr>
      <w:r>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pPr>
      <w:r>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ind w:left="25" w:right="0" w:firstLine="45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HorizontalLine"/>
        <w:bidi w:val="0"/>
        <w:jc w:val="left"/>
        <w:rPr/>
      </w:pPr>
      <w:r>
        <w:rPr/>
      </w:r>
    </w:p>
    <w:tbl>
      <w:tblPr>
        <w:tblW w:w="8808" w:type="dxa"/>
        <w:jc w:val="left"/>
        <w:tblInd w:w="0" w:type="dxa"/>
        <w:tblLayout w:type="fixed"/>
        <w:tblCellMar>
          <w:top w:w="0" w:type="dxa"/>
          <w:left w:w="0" w:type="dxa"/>
          <w:bottom w:w="28" w:type="dxa"/>
          <w:right w:w="0" w:type="dxa"/>
        </w:tblCellMar>
      </w:tblPr>
      <w:tblGrid>
        <w:gridCol w:w="3616"/>
        <w:gridCol w:w="1441"/>
        <w:gridCol w:w="3751"/>
      </w:tblGrid>
      <w:tr>
        <w:trPr/>
        <w:tc>
          <w:tcPr>
            <w:tcW w:w="3616"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1441"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w:t>
            </w:r>
          </w:p>
        </w:tc>
        <w:tc>
          <w:tcPr>
            <w:tcW w:w="3751"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16" w:type="dxa"/>
            <w:tcBorders/>
            <w:tcMar>
              <w:top w:w="28" w:type="dxa"/>
              <w:left w:w="28" w:type="dxa"/>
              <w:right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$0.01 par value per share</w:t>
            </w:r>
          </w:p>
        </w:tc>
        <w:tc>
          <w:tcPr>
            <w:tcW w:w="1441" w:type="dxa"/>
            <w:tcBorders/>
            <w:tcMar>
              <w:top w:w="28" w:type="dxa"/>
              <w:left w:w="28" w:type="dxa"/>
              <w:right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SSTK</w:t>
            </w:r>
          </w:p>
        </w:tc>
        <w:tc>
          <w:tcPr>
            <w:tcW w:w="3751" w:type="dxa"/>
            <w:tcBorders/>
            <w:tcMar>
              <w:top w:w="28" w:type="dxa"/>
              <w:left w:w="28" w:type="dxa"/>
              <w:right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NYSE</w:t>
            </w:r>
          </w:p>
        </w:tc>
      </w:tr>
    </w:tbl>
    <w:p>
      <w:pPr>
        <w:pStyle w:val="TextBody"/>
        <w:bidi w:val="0"/>
        <w:spacing w:before="0" w:after="0"/>
        <w:ind w:left="25" w:right="0" w:hanging="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25" w:right="0" w:hanging="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before="0" w:after="283"/>
              <w:jc w:val="left"/>
              <w:rPr>
                <w:color w:val="000000"/>
              </w:rPr>
            </w:pPr>
            <w:r>
              <w:rPr>
                <w:color w:val="000000"/>
              </w:rPr>
              <w:t>☐</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Emerging growth company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tbl>
      <w:tblPr>
        <w:tblW w:w="4833" w:type="dxa"/>
        <w:jc w:val="left"/>
        <w:tblInd w:w="0" w:type="dxa"/>
        <w:tblLayout w:type="fixed"/>
        <w:tblCellMar>
          <w:top w:w="0" w:type="dxa"/>
          <w:left w:w="0" w:type="dxa"/>
          <w:bottom w:w="0" w:type="dxa"/>
          <w:right w:w="0" w:type="dxa"/>
        </w:tblCellMar>
      </w:tblPr>
      <w:tblGrid>
        <w:gridCol w:w="38"/>
        <w:gridCol w:w="815"/>
        <w:gridCol w:w="3980"/>
      </w:tblGrid>
      <w:tr>
        <w:trPr/>
        <w:tc>
          <w:tcPr>
            <w:tcW w:w="38" w:type="dxa"/>
            <w:tcBorders/>
            <w:vAlign w:val="center"/>
          </w:tcPr>
          <w:p>
            <w:pPr>
              <w:pStyle w:val="TableContents"/>
              <w:bidi w:val="0"/>
              <w:spacing w:before="0" w:after="283"/>
              <w:jc w:val="left"/>
              <w:rPr/>
            </w:pPr>
            <w:r>
              <w:rPr/>
            </w:r>
          </w:p>
        </w:tc>
        <w:tc>
          <w:tcPr>
            <w:tcW w:w="81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398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0" w:after="0"/>
        <w:jc w:val="left"/>
        <w:rPr/>
      </w:pPr>
      <w:r>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On August 4, 2026, Shutterstock, Inc. (the “Company”) issued a press release announcing its financial results for the fiscal period ended June 30, 2026. A copy of the press release is furnished as Exhibit 99.1 to this current report and is incorporated herein by reference.</w:t>
      </w:r>
    </w:p>
    <w:p>
      <w:pPr>
        <w:pStyle w:val="TextBody"/>
        <w:bidi w:val="0"/>
        <w:spacing w:before="0" w:after="0"/>
        <w:jc w:val="left"/>
        <w:rPr/>
      </w:pPr>
      <w:r>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In accordance with General Instruction B.2 of Form 8-K, the information in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pStyle w:val="TextBody"/>
        <w:bidi w:val="0"/>
        <w:spacing w:before="0" w:after="0"/>
        <w:jc w:val="left"/>
        <w:rPr/>
      </w:pPr>
      <w:r>
        <w:rPr/>
      </w:r>
    </w:p>
    <w:tbl>
      <w:tblPr>
        <w:tblW w:w="3093" w:type="dxa"/>
        <w:jc w:val="left"/>
        <w:tblInd w:w="0" w:type="dxa"/>
        <w:tblLayout w:type="fixed"/>
        <w:tblCellMar>
          <w:top w:w="0" w:type="dxa"/>
          <w:left w:w="0" w:type="dxa"/>
          <w:bottom w:w="0" w:type="dxa"/>
          <w:right w:w="0" w:type="dxa"/>
        </w:tblCellMar>
      </w:tblPr>
      <w:tblGrid>
        <w:gridCol w:w="38"/>
        <w:gridCol w:w="815"/>
        <w:gridCol w:w="2240"/>
      </w:tblGrid>
      <w:tr>
        <w:trPr/>
        <w:tc>
          <w:tcPr>
            <w:tcW w:w="38" w:type="dxa"/>
            <w:tcBorders/>
            <w:vAlign w:val="center"/>
          </w:tcPr>
          <w:p>
            <w:pPr>
              <w:pStyle w:val="TableContents"/>
              <w:bidi w:val="0"/>
              <w:spacing w:before="0" w:after="283"/>
              <w:jc w:val="left"/>
              <w:rPr/>
            </w:pPr>
            <w:r>
              <w:rPr/>
            </w:r>
          </w:p>
        </w:tc>
        <w:tc>
          <w:tcPr>
            <w:tcW w:w="81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2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pPr>
      <w:r>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The information provided above in “Item 2.02 Results of Operations and Financial Condition” is incorporated by reference in this Item 7.01.</w:t>
      </w:r>
    </w:p>
    <w:p>
      <w:pPr>
        <w:pStyle w:val="TextBody"/>
        <w:bidi w:val="0"/>
        <w:spacing w:before="0" w:after="0"/>
        <w:jc w:val="left"/>
        <w:rPr/>
      </w:pPr>
      <w:r>
        <w:rPr/>
      </w:r>
    </w:p>
    <w:tbl>
      <w:tblPr>
        <w:tblW w:w="3813" w:type="dxa"/>
        <w:jc w:val="left"/>
        <w:tblInd w:w="0" w:type="dxa"/>
        <w:tblLayout w:type="fixed"/>
        <w:tblCellMar>
          <w:top w:w="0" w:type="dxa"/>
          <w:left w:w="0" w:type="dxa"/>
          <w:bottom w:w="0" w:type="dxa"/>
          <w:right w:w="0" w:type="dxa"/>
        </w:tblCellMar>
      </w:tblPr>
      <w:tblGrid>
        <w:gridCol w:w="38"/>
        <w:gridCol w:w="815"/>
        <w:gridCol w:w="2960"/>
      </w:tblGrid>
      <w:tr>
        <w:trPr/>
        <w:tc>
          <w:tcPr>
            <w:tcW w:w="38" w:type="dxa"/>
            <w:tcBorders/>
            <w:vAlign w:val="center"/>
          </w:tcPr>
          <w:p>
            <w:pPr>
              <w:pStyle w:val="TableContents"/>
              <w:bidi w:val="0"/>
              <w:spacing w:before="0" w:after="283"/>
              <w:jc w:val="left"/>
              <w:rPr/>
            </w:pPr>
            <w:r>
              <w:rPr/>
            </w:r>
          </w:p>
        </w:tc>
        <w:tc>
          <w:tcPr>
            <w:tcW w:w="81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ind w:left="0" w:right="0" w:firstLine="45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 xml:space="preserve">(d) </w:t>
      </w:r>
      <w:r>
        <w:rPr>
          <w:rFonts w:ascii="Times New Roman" w:hAnsi="Times New Roman"/>
          <w:i/>
          <w:color w:val="000000"/>
          <w:sz w:val="20"/>
          <w:shd w:fill="FFFFFF" w:val="clear"/>
        </w:rPr>
        <w:t>Exhibits</w:t>
      </w:r>
      <w:r>
        <w:rPr>
          <w:rFonts w:ascii="Times New Roman" w:hAnsi="Times New Roman"/>
          <w:color w:val="000000"/>
          <w:sz w:val="20"/>
          <w:shd w:fill="FFFFFF" w:val="clear"/>
        </w:rPr>
        <w:t>.</w:t>
      </w:r>
    </w:p>
    <w:p>
      <w:pPr>
        <w:pStyle w:val="TextBody"/>
        <w:bidi w:val="0"/>
        <w:spacing w:before="0" w:after="0"/>
        <w:jc w:val="left"/>
        <w:rPr/>
      </w:pPr>
      <w:r>
        <w:rPr/>
      </w:r>
    </w:p>
    <w:tbl>
      <w:tblPr>
        <w:tblW w:w="9355" w:type="dxa"/>
        <w:jc w:val="left"/>
        <w:tblInd w:w="0" w:type="dxa"/>
        <w:tblLayout w:type="fixed"/>
        <w:tblCellMar>
          <w:top w:w="0" w:type="dxa"/>
          <w:left w:w="0" w:type="dxa"/>
          <w:bottom w:w="28" w:type="dxa"/>
          <w:right w:w="0" w:type="dxa"/>
        </w:tblCellMar>
      </w:tblPr>
      <w:tblGrid>
        <w:gridCol w:w="680"/>
        <w:gridCol w:w="60"/>
        <w:gridCol w:w="8615"/>
      </w:tblGrid>
      <w:tr>
        <w:trPr/>
        <w:tc>
          <w:tcPr>
            <w:tcW w:w="680" w:type="dxa"/>
            <w:tcBorders>
              <w:bottom w:val="single" w:sz="12" w:space="0" w:color="000000"/>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Exhibit </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w:t>
            </w:r>
          </w:p>
        </w:tc>
        <w:tc>
          <w:tcPr>
            <w:tcW w:w="60" w:type="dxa"/>
            <w:tcBorders/>
            <w:tcMar>
              <w:bottom w:w="0" w:type="dxa"/>
            </w:tcMar>
            <w:vAlign w:val="center"/>
          </w:tcPr>
          <w:p>
            <w:pPr>
              <w:pStyle w:val="TableContents"/>
              <w:bidi w:val="0"/>
              <w:spacing w:before="0" w:after="283"/>
              <w:jc w:val="left"/>
              <w:rPr/>
            </w:pPr>
            <w:r>
              <w:rPr/>
              <w:t> </w:t>
            </w:r>
          </w:p>
        </w:tc>
        <w:tc>
          <w:tcPr>
            <w:tcW w:w="8615" w:type="dxa"/>
            <w:tcBorders>
              <w:bottom w:val="single" w:sz="12" w:space="0" w:color="000000"/>
            </w:tcBorders>
            <w:vAlign w:val="center"/>
          </w:tcPr>
          <w:p>
            <w:pPr>
              <w:pStyle w:val="TableContents"/>
              <w:bidi w:val="0"/>
              <w:spacing w:before="0" w:after="0"/>
              <w:ind w:left="0" w:right="1530" w:hanging="0"/>
              <w:jc w:val="left"/>
              <w:rPr>
                <w:rFonts w:ascii="Times New Roman" w:hAnsi="Times New Roman"/>
                <w:color w:val="000000"/>
                <w:sz w:val="20"/>
              </w:rPr>
            </w:pPr>
            <w:r>
              <w:rPr>
                <w:rFonts w:ascii="Times New Roman" w:hAnsi="Times New Roman"/>
                <w:color w:val="000000"/>
                <w:sz w:val="20"/>
              </w:rPr>
              <w:t>Description</w:t>
            </w:r>
          </w:p>
        </w:tc>
      </w:tr>
      <w:tr>
        <w:trPr/>
        <w:tc>
          <w:tcPr>
            <w:tcW w:w="68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99.1</w:t>
            </w:r>
          </w:p>
        </w:tc>
        <w:tc>
          <w:tcPr>
            <w:tcW w:w="60" w:type="dxa"/>
            <w:tcBorders/>
            <w:tcMar>
              <w:bottom w:w="0" w:type="dxa"/>
            </w:tcMar>
            <w:vAlign w:val="center"/>
          </w:tcPr>
          <w:p>
            <w:pPr>
              <w:pStyle w:val="TableContents"/>
              <w:bidi w:val="0"/>
              <w:spacing w:before="0" w:after="283"/>
              <w:jc w:val="left"/>
              <w:rPr/>
            </w:pPr>
            <w:r>
              <w:rPr/>
              <w:t> </w:t>
            </w:r>
          </w:p>
        </w:tc>
        <w:tc>
          <w:tcPr>
            <w:tcW w:w="8615" w:type="dxa"/>
            <w:tcBorders/>
            <w:tcMar>
              <w:bottom w:w="0" w:type="dxa"/>
            </w:tcMar>
            <w:vAlign w:val="center"/>
          </w:tcPr>
          <w:p>
            <w:pPr>
              <w:pStyle w:val="TableContents"/>
              <w:bidi w:val="0"/>
              <w:spacing w:before="0" w:after="0"/>
              <w:jc w:val="left"/>
              <w:rPr/>
            </w:pPr>
            <w:hyperlink w:anchor="ef20079466_ex99-1.htm">
              <w:r>
                <w:rPr>
                  <w:rStyle w:val="InternetLink"/>
                  <w:rFonts w:ascii="Times New Roman" w:hAnsi="Times New Roman"/>
                  <w:sz w:val="20"/>
                </w:rPr>
                <w:t>Press release entitled “Shutterstock Reports Second Quarter 2026 Financial Results” dated August 4, 2026</w:t>
              </w:r>
            </w:hyperlink>
          </w:p>
        </w:tc>
      </w:tr>
      <w:tr>
        <w:trPr/>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15" w:type="dxa"/>
            <w:tcBorders/>
            <w:tcMar>
              <w:bottom w:w="0" w:type="dxa"/>
            </w:tcMar>
            <w:vAlign w:val="center"/>
          </w:tcPr>
          <w:p>
            <w:pPr>
              <w:pStyle w:val="TableContents"/>
              <w:bidi w:val="0"/>
              <w:spacing w:before="0" w:after="283"/>
              <w:jc w:val="left"/>
              <w:rPr/>
            </w:pPr>
            <w:r>
              <w:rPr/>
              <w:t> </w:t>
            </w:r>
          </w:p>
        </w:tc>
      </w:tr>
      <w:tr>
        <w:trPr/>
        <w:tc>
          <w:tcPr>
            <w:tcW w:w="68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283"/>
              <w:jc w:val="left"/>
              <w:rPr/>
            </w:pPr>
            <w:r>
              <w:rPr/>
              <w:t> </w:t>
            </w:r>
          </w:p>
        </w:tc>
        <w:tc>
          <w:tcPr>
            <w:tcW w:w="8615" w:type="dxa"/>
            <w:tcBorders/>
            <w:tcMar>
              <w:bottom w:w="0" w:type="dxa"/>
            </w:tcMar>
            <w:vAlign w:val="center"/>
          </w:tcPr>
          <w:p>
            <w:pPr>
              <w:pStyle w:val="TableContents"/>
              <w:bidi w:val="0"/>
              <w:spacing w:before="0" w:after="0"/>
              <w:ind w:left="0" w:right="1440" w:hanging="0"/>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840" w:type="dxa"/>
        <w:jc w:val="left"/>
        <w:tblInd w:w="0" w:type="dxa"/>
        <w:tblLayout w:type="fixed"/>
        <w:tblCellMar>
          <w:top w:w="0" w:type="dxa"/>
          <w:left w:w="0" w:type="dxa"/>
          <w:bottom w:w="0" w:type="dxa"/>
          <w:right w:w="0" w:type="dxa"/>
        </w:tblCellMar>
      </w:tblPr>
      <w:tblGrid>
        <w:gridCol w:w="1850"/>
        <w:gridCol w:w="320"/>
        <w:gridCol w:w="4670"/>
      </w:tblGrid>
      <w:tr>
        <w:trPr/>
        <w:tc>
          <w:tcPr>
            <w:tcW w:w="1850" w:type="dxa"/>
            <w:tcBorders/>
            <w:vAlign w:val="center"/>
          </w:tcPr>
          <w:p>
            <w:pPr>
              <w:pStyle w:val="TableContents"/>
              <w:bidi w:val="0"/>
              <w:spacing w:before="0" w:after="283"/>
              <w:jc w:val="left"/>
              <w:rPr/>
            </w:pPr>
            <w:r>
              <w:rPr/>
              <w:t> </w:t>
            </w:r>
          </w:p>
        </w:tc>
        <w:tc>
          <w:tcPr>
            <w:tcW w:w="4990"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SHUTTERSTOCK, INC.</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Dated: August 4, 2026</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467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Rik Powell</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Rik Powell</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 &amp; Interim 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0" w:name="ef20079466_ex99-1.htm"/>
      <w:bookmarkStart w:id="1" w:name="ksef20079466_ex991"/>
      <w:bookmarkStart w:id="2" w:name="ef20079466_ex99-1.htm"/>
      <w:bookmarkStart w:id="3" w:name="ksef20079466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center"/>
        <w:rPr>
          <w:color w:val="000000"/>
        </w:rPr>
      </w:pPr>
      <w:r>
        <w:rPr>
          <w:color w:val="000000"/>
        </w:rPr>
        <w:t> </w:t>
      </w:r>
      <w:r>
        <w:rPr>
          <w:color w:val="000000"/>
        </w:rPr>
        <w:drawing>
          <wp:inline distT="0" distB="0" distL="0" distR="0">
            <wp:extent cx="5248275"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48275" cy="8382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Shutterstock Reports Second Quarter 2026 Financial Results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New York, NY - August 4, 2026</w:t>
      </w:r>
      <w:r>
        <w:rPr>
          <w:rFonts w:ascii="Times New Roman" w:hAnsi="Times New Roman"/>
          <w:color w:val="000000"/>
          <w:sz w:val="20"/>
        </w:rPr>
        <w:t xml:space="preserve"> </w:t>
      </w:r>
      <w:r>
        <w:rPr>
          <w:rFonts w:ascii="Times New Roman" w:hAnsi="Times New Roman"/>
          <w:b/>
          <w:color w:val="000000"/>
          <w:sz w:val="20"/>
        </w:rPr>
        <w:t>-</w:t>
      </w:r>
      <w:r>
        <w:rPr>
          <w:rFonts w:ascii="Times New Roman" w:hAnsi="Times New Roman"/>
          <w:color w:val="000000"/>
          <w:sz w:val="20"/>
        </w:rPr>
        <w:t xml:space="preserve"> Shutterstock, Inc. (NYSE: SSTK) (the “Company”), a family of brands delivering scalable creative and GenAI solutions to help customers fuel great work, today announced financial results for the second quarter ended June 30,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Commenting on the Company’s performance, Rik Powell, the Company’s Interim Chief Executive Officer and Chief Financial Officer, said, “Following the termination of our proposed merger, we have moved quickly to strengthen our balance sheet, reduce our cost structure, and sharpen our focus on the areas with the greatest potential and are approaching every aspect of the business with discipline and urgency. We have taken significant cost actions over the past 18 months that equate to over $70 million of annualized run-rate operating expense reductions and are targeting an additional $60 million in annualized run-rate operating expense reductions by the end of the year. These actions will give us greater optionality in our capital allocation strategy.”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He continued, “While we recognize the challenges in front of us, Shutterstock remains a company with meaningful strategic assets, including a globally recognized brand, one of the world’s largest and most diverse commercially licensed content libraries, a differentiated Data and AI Services business, our unique GIPHY platform, and strong cash generation. Together, these strengths provide a solid foundation as we refine our long-term strategy and position the business for its next phase of growth which we look forward to discussing in the coming weeks.”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bookmarkStart w:id="4" w:name="mv64uxpd0tc8"/>
      <w:bookmarkEnd w:id="4"/>
      <w:r>
        <w:rPr>
          <w:rFonts w:ascii="Times New Roman" w:hAnsi="Times New Roman"/>
          <w:b/>
          <w:color w:val="000000"/>
          <w:sz w:val="20"/>
        </w:rPr>
        <w:t>EARNINGS TELECONFERENCE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light of the pending strategic update, the Company will no longer be hosting the conference call originally scheduled for August 6, 2026 or issuing guidance for the remainder of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Second Quarter 2026 highlights as compared to Second Quarter 2025:</w:t>
      </w:r>
    </w:p>
    <w:p>
      <w:pPr>
        <w:pStyle w:val="TextBody"/>
        <w:bidi w:val="0"/>
        <w:spacing w:before="0" w:after="0"/>
        <w:jc w:val="left"/>
        <w:rPr/>
      </w:pPr>
      <w:r>
        <w:rPr/>
      </w:r>
    </w:p>
    <w:p>
      <w:pPr>
        <w:pStyle w:val="TextBody"/>
        <w:bidi w:val="0"/>
        <w:spacing w:before="0" w:after="0"/>
        <w:ind w:left="360" w:right="0" w:hanging="0"/>
        <w:jc w:val="left"/>
        <w:rPr>
          <w:rFonts w:ascii="Times New Roman" w:hAnsi="Times New Roman"/>
          <w:color w:val="000000"/>
          <w:sz w:val="20"/>
          <w:u w:val="single"/>
        </w:rPr>
      </w:pPr>
      <w:r>
        <w:rPr>
          <w:rFonts w:ascii="Times New Roman" w:hAnsi="Times New Roman"/>
          <w:color w:val="000000"/>
          <w:sz w:val="20"/>
          <w:u w:val="single"/>
        </w:rPr>
        <w:t>Financial Highlights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 w:name="z8e7b31b4e4ff498cab1a73a45756ad81"/>
      <w:bookmarkStart w:id="6" w:name="z8e7b31b4e4ff498cab1a73a45756ad81"/>
      <w:bookmarkEnd w:id="6"/>
    </w:p>
    <w:tbl>
      <w:tblPr>
        <w:tblW w:w="5013" w:type="dxa"/>
        <w:jc w:val="left"/>
        <w:tblInd w:w="0" w:type="dxa"/>
        <w:tblLayout w:type="fixed"/>
        <w:tblCellMar>
          <w:top w:w="0" w:type="dxa"/>
          <w:left w:w="0" w:type="dxa"/>
          <w:bottom w:w="0" w:type="dxa"/>
          <w:right w:w="0" w:type="dxa"/>
        </w:tblCellMar>
      </w:tblPr>
      <w:tblGrid>
        <w:gridCol w:w="38"/>
        <w:gridCol w:w="110"/>
        <w:gridCol w:w="48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8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Revenues were $221.8 million compared to $267.0 million.</w:t>
            </w:r>
          </w:p>
        </w:tc>
      </w:tr>
    </w:tbl>
    <w:p>
      <w:pPr>
        <w:pStyle w:val="Normal"/>
        <w:bidi w:val="0"/>
        <w:spacing w:before="0" w:after="0"/>
        <w:jc w:val="left"/>
        <w:rPr>
          <w:sz w:val="4"/>
          <w:szCs w:val="4"/>
        </w:rPr>
      </w:pPr>
      <w:r>
        <w:rPr>
          <w:sz w:val="4"/>
          <w:szCs w:val="4"/>
        </w:rPr>
      </w:r>
      <w:bookmarkStart w:id="7" w:name="zf6410c23f0934a2c990f8e7216a3ce9c"/>
      <w:bookmarkStart w:id="8" w:name="zf6410c23f0934a2c990f8e7216a3ce9c"/>
      <w:bookmarkEnd w:id="8"/>
    </w:p>
    <w:tbl>
      <w:tblPr>
        <w:tblW w:w="5838" w:type="dxa"/>
        <w:jc w:val="left"/>
        <w:tblInd w:w="0" w:type="dxa"/>
        <w:tblLayout w:type="fixed"/>
        <w:tblCellMar>
          <w:top w:w="0" w:type="dxa"/>
          <w:left w:w="0" w:type="dxa"/>
          <w:bottom w:w="0" w:type="dxa"/>
          <w:right w:w="0" w:type="dxa"/>
        </w:tblCellMar>
      </w:tblPr>
      <w:tblGrid>
        <w:gridCol w:w="38"/>
        <w:gridCol w:w="110"/>
        <w:gridCol w:w="56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6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 was $155.9 million compared to net income of $29.4 million.</w:t>
            </w:r>
          </w:p>
        </w:tc>
      </w:tr>
    </w:tbl>
    <w:p>
      <w:pPr>
        <w:pStyle w:val="Normal"/>
        <w:bidi w:val="0"/>
        <w:spacing w:before="0" w:after="0"/>
        <w:jc w:val="left"/>
        <w:rPr>
          <w:sz w:val="4"/>
          <w:szCs w:val="4"/>
        </w:rPr>
      </w:pPr>
      <w:r>
        <w:rPr>
          <w:sz w:val="4"/>
          <w:szCs w:val="4"/>
        </w:rPr>
      </w:r>
      <w:bookmarkStart w:id="9" w:name="z61a3593878d3478a86866e137b32dbab"/>
      <w:bookmarkStart w:id="10" w:name="z61a3593878d3478a86866e137b32dbab"/>
      <w:bookmarkEnd w:id="10"/>
    </w:p>
    <w:tbl>
      <w:tblPr>
        <w:tblW w:w="6888" w:type="dxa"/>
        <w:jc w:val="left"/>
        <w:tblInd w:w="0" w:type="dxa"/>
        <w:tblLayout w:type="fixed"/>
        <w:tblCellMar>
          <w:top w:w="0" w:type="dxa"/>
          <w:left w:w="0" w:type="dxa"/>
          <w:bottom w:w="0" w:type="dxa"/>
          <w:right w:w="0" w:type="dxa"/>
        </w:tblCellMar>
      </w:tblPr>
      <w:tblGrid>
        <w:gridCol w:w="38"/>
        <w:gridCol w:w="110"/>
        <w:gridCol w:w="67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7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 includes a $163.4 million non-cash, after-tax goodwill impairment charge.</w:t>
            </w:r>
          </w:p>
        </w:tc>
      </w:tr>
    </w:tbl>
    <w:p>
      <w:pPr>
        <w:pStyle w:val="Normal"/>
        <w:bidi w:val="0"/>
        <w:spacing w:before="0" w:after="0"/>
        <w:jc w:val="left"/>
        <w:rPr>
          <w:sz w:val="4"/>
          <w:szCs w:val="4"/>
        </w:rPr>
      </w:pPr>
      <w:r>
        <w:rPr>
          <w:sz w:val="4"/>
          <w:szCs w:val="4"/>
        </w:rPr>
      </w:r>
      <w:bookmarkStart w:id="11" w:name="ze5dafceb531946908b51f9a19c741676"/>
      <w:bookmarkStart w:id="12" w:name="ze5dafceb531946908b51f9a19c741676"/>
      <w:bookmarkEnd w:id="12"/>
    </w:p>
    <w:tbl>
      <w:tblPr>
        <w:tblW w:w="8733" w:type="dxa"/>
        <w:jc w:val="left"/>
        <w:tblInd w:w="0" w:type="dxa"/>
        <w:tblLayout w:type="fixed"/>
        <w:tblCellMar>
          <w:top w:w="0" w:type="dxa"/>
          <w:left w:w="0" w:type="dxa"/>
          <w:bottom w:w="0" w:type="dxa"/>
          <w:right w:w="0" w:type="dxa"/>
        </w:tblCellMar>
      </w:tblPr>
      <w:tblGrid>
        <w:gridCol w:w="38"/>
        <w:gridCol w:w="110"/>
        <w:gridCol w:w="85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5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 per diluted common share was $4.25 compared to net income per diluted common share of $0.82.</w:t>
            </w:r>
          </w:p>
        </w:tc>
      </w:tr>
    </w:tbl>
    <w:p>
      <w:pPr>
        <w:pStyle w:val="Normal"/>
        <w:bidi w:val="0"/>
        <w:spacing w:before="0" w:after="0"/>
        <w:jc w:val="left"/>
        <w:rPr>
          <w:sz w:val="4"/>
          <w:szCs w:val="4"/>
        </w:rPr>
      </w:pPr>
      <w:r>
        <w:rPr>
          <w:sz w:val="4"/>
          <w:szCs w:val="4"/>
        </w:rPr>
      </w:r>
      <w:bookmarkStart w:id="13" w:name="z593c7b4b348641be8fe4316381bcf14e"/>
      <w:bookmarkStart w:id="14" w:name="z593c7b4b348641be8fe4316381bcf14e"/>
      <w:bookmarkEnd w:id="14"/>
    </w:p>
    <w:tbl>
      <w:tblPr>
        <w:tblW w:w="5613" w:type="dxa"/>
        <w:jc w:val="left"/>
        <w:tblInd w:w="0" w:type="dxa"/>
        <w:tblLayout w:type="fixed"/>
        <w:tblCellMar>
          <w:top w:w="0" w:type="dxa"/>
          <w:left w:w="0" w:type="dxa"/>
          <w:bottom w:w="0" w:type="dxa"/>
          <w:right w:w="0" w:type="dxa"/>
        </w:tblCellMar>
      </w:tblPr>
      <w:tblGrid>
        <w:gridCol w:w="38"/>
        <w:gridCol w:w="110"/>
        <w:gridCol w:w="54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4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Adjusted net income was $30.0 million compared to $42.9 million.</w:t>
            </w:r>
          </w:p>
        </w:tc>
      </w:tr>
    </w:tbl>
    <w:p>
      <w:pPr>
        <w:pStyle w:val="Normal"/>
        <w:bidi w:val="0"/>
        <w:spacing w:before="0" w:after="0"/>
        <w:jc w:val="left"/>
        <w:rPr>
          <w:sz w:val="4"/>
          <w:szCs w:val="4"/>
        </w:rPr>
      </w:pPr>
      <w:r>
        <w:rPr>
          <w:sz w:val="4"/>
          <w:szCs w:val="4"/>
        </w:rPr>
      </w:r>
      <w:bookmarkStart w:id="15" w:name="zc1bb052800204602916a46cda2a19bf0"/>
      <w:bookmarkStart w:id="16" w:name="zc1bb052800204602916a46cda2a19bf0"/>
      <w:bookmarkEnd w:id="16"/>
    </w:p>
    <w:tbl>
      <w:tblPr>
        <w:tblW w:w="6468" w:type="dxa"/>
        <w:jc w:val="left"/>
        <w:tblInd w:w="0" w:type="dxa"/>
        <w:tblLayout w:type="fixed"/>
        <w:tblCellMar>
          <w:top w:w="0" w:type="dxa"/>
          <w:left w:w="0" w:type="dxa"/>
          <w:bottom w:w="0" w:type="dxa"/>
          <w:right w:w="0" w:type="dxa"/>
        </w:tblCellMar>
      </w:tblPr>
      <w:tblGrid>
        <w:gridCol w:w="38"/>
        <w:gridCol w:w="110"/>
        <w:gridCol w:w="63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Adjusted net income per diluted common share was $0.82 compared to $1.19.</w:t>
            </w:r>
          </w:p>
        </w:tc>
      </w:tr>
    </w:tbl>
    <w:p>
      <w:pPr>
        <w:pStyle w:val="Normal"/>
        <w:bidi w:val="0"/>
        <w:spacing w:before="0" w:after="0"/>
        <w:jc w:val="left"/>
        <w:rPr>
          <w:sz w:val="4"/>
          <w:szCs w:val="4"/>
        </w:rPr>
      </w:pPr>
      <w:r>
        <w:rPr>
          <w:sz w:val="4"/>
          <w:szCs w:val="4"/>
        </w:rPr>
      </w:r>
      <w:bookmarkStart w:id="17" w:name="z4a70840eaa0f409bb118cd3798dfd554"/>
      <w:bookmarkStart w:id="18" w:name="z4a70840eaa0f409bb118cd3798dfd554"/>
      <w:bookmarkEnd w:id="18"/>
    </w:p>
    <w:tbl>
      <w:tblPr>
        <w:tblW w:w="5418" w:type="dxa"/>
        <w:jc w:val="left"/>
        <w:tblInd w:w="0" w:type="dxa"/>
        <w:tblLayout w:type="fixed"/>
        <w:tblCellMar>
          <w:top w:w="0" w:type="dxa"/>
          <w:left w:w="0" w:type="dxa"/>
          <w:bottom w:w="0" w:type="dxa"/>
          <w:right w:w="0" w:type="dxa"/>
        </w:tblCellMar>
      </w:tblPr>
      <w:tblGrid>
        <w:gridCol w:w="38"/>
        <w:gridCol w:w="110"/>
        <w:gridCol w:w="52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2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Adjusted EBITDA was $65.1 million compared to $82.2 million.</w:t>
            </w:r>
          </w:p>
        </w:tc>
      </w:tr>
    </w:tbl>
    <w:p>
      <w:pPr>
        <w:pStyle w:val="TextBody"/>
        <w:bidi w:val="0"/>
        <w:spacing w:before="0" w:after="0"/>
        <w:jc w:val="left"/>
        <w:rPr/>
      </w:pPr>
      <w:r>
        <w:rPr/>
      </w:r>
    </w:p>
    <w:p>
      <w:pPr>
        <w:pStyle w:val="TextBody"/>
        <w:bidi w:val="0"/>
        <w:spacing w:before="200" w:after="20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SECOND QUARTER RESULTS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Second quarter revenue of $221.8 million decreased by $45.2 million or 17% as compared to the second quarter of 2025.</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Revenue from our Content product offering decreased by $34.1 million, or 17%, as compared to the second quarter of 2025, to $165.7 million. The reduction in our Content revenue was driven primarily by weakness in new customer acquisition. Content revenue represented 75% of our total revenue in the second quarter of 2026.</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Revenue generated from our Data, Distribution, and Services product offering decreased by $11.1 million, or 16%, as compared to the second quarter of 2025, to $56.1 million, and represented 25% of second quarter revenue in 2026. Revenue recognition in our data offering may vary from quarter-to-quarter based on the delivery timing of metadata licenses.</w:t>
      </w:r>
    </w:p>
    <w:p>
      <w:pPr>
        <w:pStyle w:val="TextBody"/>
        <w:bidi w:val="0"/>
        <w:spacing w:before="0" w:after="0"/>
        <w:jc w:val="left"/>
        <w:rPr/>
      </w:pPr>
      <w:r>
        <w:rPr/>
      </w:r>
    </w:p>
    <w:p>
      <w:pPr>
        <w:pStyle w:val="TextBody"/>
        <w:bidi w:val="0"/>
        <w:spacing w:before="200" w:after="20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Net income and net income per diluted common share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Net income decreased by $185.4 million to a net loss of $155.9 million in the second quarter of 2026, compared to net income of $29.4 million for the second quarter of 2025. Net loss per diluted common share was $4.25, as compared to net income per diluted common share of $0.82 for the same period in 2025. In the second quarter of 2026, the Company recorded a non-cash goodwill impairment charge of $173.7 million resulting from the decline in the Company’s fair value after the announcement of the terminated merger agreement. Additionally, the Company had further declines in revenue, with operating costs not declining at a similar rate, as well as $3.0 million of unrealized losses related to our investment in Meitu, Inc, $3.7 million of Merger related costs, $5.0 million of legal contingency expenses and $3.0 million of workforce optimizations expenses.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Adjusted net income and adjusted net income per diluted common share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Adjusted net income of $30.0 million in the second quarter of 2026 decreased by $12.9 million, compared to adjusted net income of $42.9 million for the second quarter of 2025, primarily due to the decline in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net income per diluted common share was $0.82, compared to $1.19 for the second quarter of 2025.</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Adjusted EBITDA</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EBITDA of $65.1 million for the second quarter of 2026 decreased by $17.1 million, or 21%, as compared to the second quarter of 2025, primarily due to the decline in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loss margin of 70.3% for the second quarter of 2026 decreased by 81.3%, as compared to net income margin of 11.0% in the second quarter of 2025. The adjusted EBITDA margin of 29.3% for the second quarter of 2026 decreased by 1.5%, as compared to 30.8% in the second quarter of 2025.</w:t>
      </w:r>
    </w:p>
    <w:p>
      <w:pPr>
        <w:pStyle w:val="TextBody"/>
        <w:bidi w:val="0"/>
        <w:spacing w:before="0" w:after="0"/>
        <w:jc w:val="left"/>
        <w:rPr/>
      </w:pPr>
      <w:r>
        <w:rPr/>
      </w:r>
    </w:p>
    <w:p>
      <w:pPr>
        <w:pStyle w:val="TextBody"/>
        <w:bidi w:val="0"/>
        <w:spacing w:before="200" w:after="20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SECOND QUARTER LIQUIDITY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cash and cash equivalents decreased by $29.3 million to $133.2 million at June 30, 2026, as compared with $162.5 million as of March 31, 2026. This was driven by $0.6 million of net cash used in operating activities, including a $35.0 million payment for the settlement of the FTC’s civil investigative demand on the Company’s subscription disclosure and enrollment and cancellation practices. In addition, the Company had $18.5 million of net cash used in financing activities and $10.1 million of net cash used in investing activities.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Net cash for operating activities was driven by the $35.0 million payment to the FTC. This was offset by cash generation from our business operations and changes in the timing of cash collections from our customers and payments pertaining to operating expenses. In addition, cash flows for the three months ended June 30, 2026 were unfavorably impacted by $3.0 million of expenses related to the Getty Images proposed merger.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Cash used in investing activities for the three months ended June 30, 2026 consisted of $10.1 million related to capital expenditures, $0.1 million of content acquisition, partially offset by $0.1 million related to the receipt of the Giphy Retention Compensation, as reimbursed by the Giphy seller.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Cash used in financing activities for the three months ended June 30, 2026 consisted of $13.2 million related to the payment of the quarterly cash dividend, $4.5 million paid in settlement of tax withholding obligations related to employee stock-based compensation awards, and $0.8 million used for the repayment of our credit facility.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free cash flow was $28.5 million for the second quarter of 2026, an increase of $11.0 million from the second quarter of 2025.</w:t>
      </w:r>
    </w:p>
    <w:p>
      <w:pPr>
        <w:pStyle w:val="TextBody"/>
        <w:bidi w:val="0"/>
        <w:spacing w:before="0" w:after="0"/>
        <w:jc w:val="left"/>
        <w:rPr/>
      </w:pPr>
      <w:r>
        <w:rPr/>
      </w:r>
    </w:p>
    <w:p>
      <w:pPr>
        <w:pStyle w:val="TextBody"/>
        <w:bidi w:val="0"/>
        <w:spacing w:before="200" w:after="20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KEY OPERATING METRICS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 w:name="z82b0f20e2754488496942a8b9c5eef15"/>
      <w:bookmarkStart w:id="20" w:name="z82b0f20e2754488496942a8b9c5eef15"/>
      <w:bookmarkEnd w:id="20"/>
    </w:p>
    <w:tbl>
      <w:tblPr>
        <w:tblW w:w="9474" w:type="dxa"/>
        <w:jc w:val="left"/>
        <w:tblInd w:w="0" w:type="dxa"/>
        <w:tblLayout w:type="fixed"/>
        <w:tblCellMar>
          <w:top w:w="0" w:type="dxa"/>
          <w:left w:w="0" w:type="dxa"/>
          <w:bottom w:w="0" w:type="dxa"/>
          <w:right w:w="0" w:type="dxa"/>
        </w:tblCellMar>
      </w:tblPr>
      <w:tblGrid>
        <w:gridCol w:w="4385"/>
        <w:gridCol w:w="60"/>
        <w:gridCol w:w="166"/>
        <w:gridCol w:w="924"/>
        <w:gridCol w:w="79"/>
        <w:gridCol w:w="79"/>
        <w:gridCol w:w="166"/>
        <w:gridCol w:w="1123"/>
        <w:gridCol w:w="60"/>
        <w:gridCol w:w="60"/>
        <w:gridCol w:w="150"/>
        <w:gridCol w:w="836"/>
        <w:gridCol w:w="72"/>
        <w:gridCol w:w="72"/>
        <w:gridCol w:w="150"/>
        <w:gridCol w:w="1017"/>
        <w:gridCol w:w="75"/>
      </w:tblGrid>
      <w:tr>
        <w:trPr/>
        <w:tc>
          <w:tcPr>
            <w:tcW w:w="43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 June 30,</w:t>
            </w:r>
          </w:p>
        </w:tc>
        <w:tc>
          <w:tcPr>
            <w:tcW w:w="75" w:type="dxa"/>
            <w:tcBorders/>
            <w:vAlign w:val="bottom"/>
          </w:tcPr>
          <w:p>
            <w:pPr>
              <w:pStyle w:val="TableContents"/>
              <w:bidi w:val="0"/>
              <w:spacing w:before="0" w:after="283"/>
              <w:jc w:val="left"/>
              <w:rPr/>
            </w:pPr>
            <w:r>
              <w:rPr/>
              <w:t> </w:t>
            </w:r>
          </w:p>
        </w:tc>
      </w:tr>
      <w:tr>
        <w:trPr/>
        <w:tc>
          <w:tcPr>
            <w:tcW w:w="43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67" w:type="dxa"/>
            <w:gridSpan w:val="2"/>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b/>
                <w:sz w:val="20"/>
              </w:rPr>
            </w:pPr>
            <w:r>
              <w:rPr>
                <w:rFonts w:ascii="Times New Roman" w:hAnsi="Times New Roman"/>
                <w:b/>
                <w:sz w:val="20"/>
              </w:rPr>
              <w:t>20255</w:t>
            </w:r>
          </w:p>
        </w:tc>
        <w:tc>
          <w:tcPr>
            <w:tcW w:w="75" w:type="dxa"/>
            <w:tcBorders/>
            <w:vAlign w:val="bottom"/>
          </w:tcPr>
          <w:p>
            <w:pPr>
              <w:pStyle w:val="TableContents"/>
              <w:bidi w:val="0"/>
              <w:spacing w:before="0" w:after="283"/>
              <w:jc w:val="left"/>
              <w:rPr/>
            </w:pPr>
            <w:r>
              <w:rPr/>
              <w:t> </w:t>
            </w:r>
          </w:p>
        </w:tc>
      </w:tr>
      <w:tr>
        <w:trPr/>
        <w:tc>
          <w:tcPr>
            <w:tcW w:w="43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7" w:type="dxa"/>
            <w:gridSpan w:val="6"/>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gridSpan w:val="2"/>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67"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385" w:type="dxa"/>
            <w:tcBorders/>
            <w:shd w:fill="CCEEFF" w:val="cle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Subscribers (end of period)(1)</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951,000</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1,073,000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951,000</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1,073,000</w:t>
            </w:r>
          </w:p>
        </w:tc>
        <w:tc>
          <w:tcPr>
            <w:tcW w:w="75" w:type="dxa"/>
            <w:tcBorders/>
            <w:shd w:fill="CCEEFF" w:val="clear"/>
            <w:vAlign w:val="bottom"/>
          </w:tcPr>
          <w:p>
            <w:pPr>
              <w:pStyle w:val="TableContents"/>
              <w:bidi w:val="0"/>
              <w:spacing w:before="0" w:after="283"/>
              <w:jc w:val="left"/>
              <w:rPr/>
            </w:pPr>
            <w:r>
              <w:rPr/>
              <w:t> </w:t>
            </w:r>
          </w:p>
        </w:tc>
      </w:tr>
      <w:tr>
        <w:trPr/>
        <w:tc>
          <w:tcPr>
            <w:tcW w:w="4385" w:type="dxa"/>
            <w:tcBorders/>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Subscriber revenue (in millions)(2)</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99.8</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203.6</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217.9</w:t>
            </w:r>
          </w:p>
        </w:tc>
        <w:tc>
          <w:tcPr>
            <w:tcW w:w="75" w:type="dxa"/>
            <w:tcBorders/>
            <w:vAlign w:val="bottom"/>
          </w:tcPr>
          <w:p>
            <w:pPr>
              <w:pStyle w:val="TableContents"/>
              <w:bidi w:val="0"/>
              <w:spacing w:before="0" w:after="283"/>
              <w:jc w:val="left"/>
              <w:rPr/>
            </w:pPr>
            <w:r>
              <w:rPr/>
              <w:t> </w:t>
            </w:r>
          </w:p>
        </w:tc>
      </w:tr>
      <w:tr>
        <w:trPr/>
        <w:tc>
          <w:tcPr>
            <w:tcW w:w="4385" w:type="dxa"/>
            <w:tcBorders/>
            <w:shd w:fill="CCEEFF" w:val="cle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Average revenue per customer (last twelve months)(3)</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292</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292</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266</w:t>
            </w:r>
          </w:p>
        </w:tc>
        <w:tc>
          <w:tcPr>
            <w:tcW w:w="75" w:type="dxa"/>
            <w:tcBorders/>
            <w:shd w:fill="CCEEFF" w:val="clear"/>
            <w:vAlign w:val="bottom"/>
          </w:tcPr>
          <w:p>
            <w:pPr>
              <w:pStyle w:val="TableContents"/>
              <w:bidi w:val="0"/>
              <w:spacing w:before="0" w:after="283"/>
              <w:jc w:val="left"/>
              <w:rPr/>
            </w:pPr>
            <w:r>
              <w:rPr/>
              <w:t> </w:t>
            </w:r>
          </w:p>
        </w:tc>
      </w:tr>
      <w:tr>
        <w:trPr/>
        <w:tc>
          <w:tcPr>
            <w:tcW w:w="4385" w:type="dxa"/>
            <w:tcBorders/>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Paid downloads (in millions)(4)</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98.7</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202.8</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233.5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_____________________________________________________</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Backgrid beginning February 2025. 2025 metrics include the counts and revenues from Envato, which was acquired in July 2024.</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Subscribers is defined as those customers who purchase one or more of our monthly recurring products for a continuous period of at least three months, measured as of the end of the reporting period.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Subscriber revenue is defined as the revenue generated from subscribers during the period.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 Average revenue per customer is calculated by dividing total revenue for the last twelve-month period by customers. Customers is defined as total active, paying customers that contributed to total revenue over the last twelve-month period.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 Paid downloads is the number of downloads that our customers make in a given period of our content. Paid downloads exclude content related to our Studios business, downloads of content that are offered to customers for no charge, including our free trials and metadata delivered through our data deal offering.</w:t>
      </w:r>
    </w:p>
    <w:p>
      <w:pPr>
        <w:pStyle w:val="TextBody"/>
        <w:bidi w:val="0"/>
        <w:spacing w:before="0" w:after="0"/>
        <w:jc w:val="left"/>
        <w:rPr/>
      </w:pPr>
      <w:r>
        <w:rPr/>
      </w:r>
    </w:p>
    <w:p>
      <w:pPr>
        <w:pStyle w:val="TextBody"/>
        <w:bidi w:val="0"/>
        <w:spacing w:before="200" w:after="20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supplement Shutterstock’s consolidated financial statements presented in accordance with the accounting principles generally accepted in the United States, or GAAP, Shutterstock’s management considers certain financial measures that are not prepared in accordance with GAAP, collectively referred to as non-GAAP financial measures, including adjusted EBITDA, adjusted EBITDA margin, adjusted net income, adjusted net income per diluted share, revenue growth (including by distribution channel) on a constant currency basis (expressed as a percentage), and adjusted free cash flow.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Shutterstock defines adjusted EBITDA as net income adjusted for depreciation and amortization, non-cash equity-based compensation, Giphy Retention Compensation Expense - non-recurring, foreign currency transaction gains and losses, severance costs associated with strategic workforce optimizations, goodwill impairment, impairment loss on long-term investment, impairment of lease assets, unrealized losses / gains on investments, legal contingencies, interest income and expense, income taxes and Merger related costs; adjusted EBITDA margin as the ratio of adjusted EBITDA to revenue; adjusted net income as net income adjusted for the impact of non-cash equity-based compensation, amortization of acquisition-related intangible assets, Giphy Retention Compensation Expense - non-recurring, severance costs associated with strategic workforce optimizations (reported in Other), unrealized losses / gains on investments (reported in Other), goodwill impairment, impairment loss on long-term investment, legal contingencies, Merger related costs and the estimated tax impact of such adjustments; adjusted net income per diluted common share as adjusted net income divided by weighted average diluted shares; revenue growth (including by product offering) on a constant currency basis (expressed as a percentage) as the increase in current period revenues over prior period revenues, utilizing fixed exchange rates for translating foreign currency revenues for all periods presented in the comparison; and adjusted free cash flow as net cash provided by operating activities, adjusted for capital expenditures, content acquisition, cash received related to Giphy Retention Compensation in connection with the acquisition of Giphy, cash paid for the settlement of the FTC investigation, and cash paid for costs related to the Getty Images merger.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United Kingdom Competition and Markets Authority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an ongoing expense necessary to operate the Company’s business. Therefore, such expenses have been included in the below adjustments for calculating adjusted EBITDA, adjusted EBITDA margin, adjusted net income and adjusted net income per diluted common share.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These figures have not been calculated in accordance with GAAP and should be considered only in addition to results prepared in accordance with GAAP and should not be considered as a substitute for, or superior to, GAAP results. Shutterstock cautions investors that non-GAAP financial measures are not based on any standardized methodology prescribed by GAAP and are not necessarily comparable to similarly-titled measures presented by other companies.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Shutterstock’s management believes that adjusted EBITDA, adjusted EBITDA margin, adjusted net income, adjusted net income per diluted common share, revenue growth (including by product offering) on a constant currency basis (expressed as a percentage) and adjusted free cash flow are useful to investors because these measures enable investors to analyze Shutterstock’s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product offering)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Shutterstock’s management believes that adjusted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w:t>
      </w:r>
    </w:p>
    <w:p>
      <w:pPr>
        <w:pStyle w:val="TextBody"/>
        <w:bidi w:val="0"/>
        <w:spacing w:before="0" w:after="0"/>
        <w:jc w:val="left"/>
        <w:rPr/>
      </w:pPr>
      <w:r>
        <w:rPr/>
      </w:r>
    </w:p>
    <w:p>
      <w:pPr>
        <w:pStyle w:val="TextBody"/>
        <w:bidi w:val="0"/>
        <w:spacing w:before="200" w:after="20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Shutterstock’s management also uses the non-GAAP financial measures adjusted EBITDA, adjusted EBITDA margin, adjusted net income, adjusted net income per diluted common share, revenue growth (including by product offering) on a constant currency basis (expressed as a percentage), and adjusted free cash flow, in conjunction with GAAP financial measures, as an integral part of managing the business and to, among other things: (i) monitor and evaluate the performance of Shutterstock’s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Shutterstock’s management team and, together with other operational objectives, as a measure in evaluating employee compensation; (v) analyze and evaluate financial and strategic planning decisions regarding future operating investments; and (vi) plan for and prepare future annual operating budgets and determine appropriate levels of operating investments.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Reconciliations of the differences between each of our non-GAAP financial measures (adjusted EBITDA, adjusted EBITDA margin, adjusted net income, adjusted net income per diluted common share, revenue growth (including by product offering) on a constant currency basis (expressed as a percentage), adjusted free cash flow), and each measure’s most directly comparable financial measure calculated and presented in accordance with GAAP, are presented under the headings “Reconciliation of Non-GAAP Financial Information to GAAP” and “Supplemental Financial Data” immediately following the Consolidated Balance Sheets.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SHUTTERSTOCK</w:t>
      </w:r>
    </w:p>
    <w:p>
      <w:pPr>
        <w:pStyle w:val="TextBody"/>
        <w:bidi w:val="0"/>
        <w:spacing w:before="0" w:after="0"/>
        <w:jc w:val="left"/>
        <w:rPr/>
      </w:pPr>
      <w:r>
        <w:rPr/>
      </w:r>
    </w:p>
    <w:p>
      <w:pPr>
        <w:pStyle w:val="TextBody"/>
        <w:bidi w:val="0"/>
        <w:spacing w:before="0" w:after="0"/>
        <w:jc w:val="left"/>
        <w:rPr>
          <w:rFonts w:ascii="Times New Roman" w:hAnsi="Times New Roman"/>
          <w:color w:val="000000"/>
          <w:sz w:val="24"/>
        </w:rPr>
      </w:pPr>
      <w:r>
        <w:rPr>
          <w:rFonts w:ascii="Times New Roman" w:hAnsi="Times New Roman"/>
          <w:color w:val="000000"/>
          <w:sz w:val="20"/>
        </w:rPr>
        <w:t>Shutterstock is in the business of turning ideas into impact. Powered by a global network of millions of creators and our cutting-edge technology, we provide businesses, creatives, and brand leaders with the essential, universal ingredients to make their work more effective. Shutterstock offers access to one of the world’s largest and most diverse collections of high-quality licensable assets, specialized training datasets, evaluation tools, and end-to-end strategic partnerships for the full model training lifecycle, as well as advertising and distribution solutions, exclusive editorial content, and full-service studio production—delivering unparalleled resources to fuel great work.</w:t>
      </w:r>
      <w:r>
        <w:rPr>
          <w:rFonts w:ascii="Times New Roman" w:hAnsi="Times New Roman"/>
          <w:color w:val="000000"/>
          <w:sz w:val="24"/>
        </w:rPr>
        <w:br/>
        <w:br/>
      </w:r>
      <w:r>
        <w:rPr>
          <w:rFonts w:ascii="Times New Roman" w:hAnsi="Times New Roman"/>
          <w:color w:val="000000"/>
          <w:sz w:val="20"/>
        </w:rPr>
        <w:t>Discover our impact at www.shutterstock.com and connect with us on LinkedIn, Instagram, X, Facebook and YouTube.</w:t>
      </w:r>
    </w:p>
    <w:p>
      <w:pPr>
        <w:pStyle w:val="TextBody"/>
        <w:bidi w:val="0"/>
        <w:spacing w:before="0" w:after="0"/>
        <w:jc w:val="left"/>
        <w:rPr/>
      </w:pPr>
      <w:r>
        <w:rPr/>
      </w:r>
    </w:p>
    <w:p>
      <w:pPr>
        <w:pStyle w:val="TextBody"/>
        <w:bidi w:val="0"/>
        <w:spacing w:before="200" w:after="20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statements in this press release, and any related oral statements, include forward-looking statements within the meaning of Section 27A of the Securities Act of 1933, as amended, and Section 21E of the Securities Exchange Act of 1934, as amended.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press release relate to, among other things, statements regarding industry prospects, future business, future results of operations or financial condition, future dividends, future stock performance, our ability to consummate acquisitions and integrate the businesses we have acquired or may acquire into our existing operations, new or planned features, products or services, management strategies, our ability to offer premier Data Licensing and AI Services, and our competitive position. Important factors that could cause actual results to differ materially from those expressed or implied by the forward-looking statements include, among others, the risks discussed under the caption “Risk Factors” in Shutterstock’s Annual Report on Form 10-K for the fiscal year ended December 31, 2025,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considered representative, no such list should be considered to be a complete statement of all potential risks and uncertainties. Unlisted factors may present significant additional obstacles to the realization of forward looking statements. Shutterstock does not assume, and hereby disclaims, any obligation to update forward-looking statements, except as may be required by law.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 w:name="ze86fbf1fe2334cd587ddbe240cbf5579"/>
      <w:bookmarkStart w:id="22" w:name="ze86fbf1fe2334cd587ddbe240cbf5579"/>
      <w:bookmarkEnd w:id="22"/>
    </w:p>
    <w:tbl>
      <w:tblPr>
        <w:tblW w:w="4285" w:type="dxa"/>
        <w:jc w:val="left"/>
        <w:tblInd w:w="0" w:type="dxa"/>
        <w:tblLayout w:type="fixed"/>
        <w:tblCellMar>
          <w:top w:w="0" w:type="dxa"/>
          <w:left w:w="0" w:type="dxa"/>
          <w:bottom w:w="0" w:type="dxa"/>
          <w:right w:w="0" w:type="dxa"/>
        </w:tblCellMar>
      </w:tblPr>
      <w:tblGrid>
        <w:gridCol w:w="2285"/>
        <w:gridCol w:w="2000"/>
      </w:tblGrid>
      <w:tr>
        <w:trPr/>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Investor Relations Contact</w:t>
            </w:r>
          </w:p>
        </w:tc>
        <w:tc>
          <w:tcPr>
            <w:tcW w:w="20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Press Contact</w:t>
            </w:r>
          </w:p>
        </w:tc>
      </w:tr>
      <w:tr>
        <w:trPr/>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Scott Grossman</w:t>
            </w:r>
          </w:p>
        </w:tc>
        <w:tc>
          <w:tcPr>
            <w:tcW w:w="20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Lori Rodney</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ir@shutterstock.com</w:t>
            </w:r>
          </w:p>
        </w:tc>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press@shutterstock.com</w:t>
            </w:r>
          </w:p>
        </w:tc>
      </w:tr>
      <w:tr>
        <w:trPr/>
        <w:tc>
          <w:tcPr>
            <w:tcW w:w="228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917-563-4991</w:t>
            </w:r>
          </w:p>
        </w:tc>
      </w:tr>
    </w:tbl>
    <w:p>
      <w:pPr>
        <w:pStyle w:val="TextBody"/>
        <w:bidi w:val="0"/>
        <w:spacing w:before="0" w:after="0"/>
        <w:jc w:val="left"/>
        <w:rPr/>
      </w:pPr>
      <w:r>
        <w:rPr/>
      </w:r>
    </w:p>
    <w:p>
      <w:pPr>
        <w:pStyle w:val="TextBody"/>
        <w:bidi w:val="0"/>
        <w:spacing w:before="200" w:after="20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Shutterstock,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for per share data)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 w:name="zad2c7629975c4df09f7a01bc79f0b6f7"/>
      <w:bookmarkStart w:id="24" w:name="zad2c7629975c4df09f7a01bc79f0b6f7"/>
      <w:bookmarkEnd w:id="24"/>
    </w:p>
    <w:tbl>
      <w:tblPr>
        <w:tblW w:w="9005" w:type="dxa"/>
        <w:jc w:val="left"/>
        <w:tblInd w:w="0" w:type="dxa"/>
        <w:tblLayout w:type="fixed"/>
        <w:tblCellMar>
          <w:top w:w="0" w:type="dxa"/>
          <w:left w:w="0" w:type="dxa"/>
          <w:bottom w:w="0" w:type="dxa"/>
          <w:right w:w="0" w:type="dxa"/>
        </w:tblCellMar>
      </w:tblPr>
      <w:tblGrid>
        <w:gridCol w:w="3875"/>
        <w:gridCol w:w="60"/>
        <w:gridCol w:w="172"/>
        <w:gridCol w:w="1042"/>
        <w:gridCol w:w="110"/>
        <w:gridCol w:w="82"/>
        <w:gridCol w:w="172"/>
        <w:gridCol w:w="959"/>
        <w:gridCol w:w="80"/>
        <w:gridCol w:w="60"/>
        <w:gridCol w:w="156"/>
        <w:gridCol w:w="943"/>
        <w:gridCol w:w="100"/>
        <w:gridCol w:w="75"/>
        <w:gridCol w:w="156"/>
        <w:gridCol w:w="868"/>
        <w:gridCol w:w="95"/>
      </w:tblGrid>
      <w:tr>
        <w:trPr/>
        <w:tc>
          <w:tcPr>
            <w:tcW w:w="38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 June 30,</w:t>
            </w:r>
          </w:p>
        </w:tc>
        <w:tc>
          <w:tcPr>
            <w:tcW w:w="95" w:type="dxa"/>
            <w:tcBorders/>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3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221,801</w:t>
            </w:r>
          </w:p>
        </w:tc>
        <w:tc>
          <w:tcPr>
            <w:tcW w:w="11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266,990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420,971</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509,610</w:t>
            </w:r>
          </w:p>
        </w:tc>
        <w:tc>
          <w:tcPr>
            <w:tcW w:w="95"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Cost of revenue</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93,787</w:t>
            </w:r>
          </w:p>
        </w:tc>
        <w:tc>
          <w:tcPr>
            <w:tcW w:w="1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105,994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188,575</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206,882</w:t>
            </w:r>
          </w:p>
        </w:tc>
        <w:tc>
          <w:tcPr>
            <w:tcW w:w="95"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Sales and marketing</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48,008</w:t>
            </w:r>
          </w:p>
        </w:tc>
        <w:tc>
          <w:tcPr>
            <w:tcW w:w="11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57,077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96,354</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110,436</w:t>
            </w:r>
          </w:p>
        </w:tc>
        <w:tc>
          <w:tcPr>
            <w:tcW w:w="95"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Product development</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17,574</w:t>
            </w:r>
          </w:p>
        </w:tc>
        <w:tc>
          <w:tcPr>
            <w:tcW w:w="1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20,754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36,979</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40,619</w:t>
            </w:r>
          </w:p>
        </w:tc>
        <w:tc>
          <w:tcPr>
            <w:tcW w:w="95"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General and administrative</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43,930</w:t>
            </w:r>
          </w:p>
        </w:tc>
        <w:tc>
          <w:tcPr>
            <w:tcW w:w="11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48,434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111,515</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106,741</w:t>
            </w:r>
          </w:p>
        </w:tc>
        <w:tc>
          <w:tcPr>
            <w:tcW w:w="95"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Goodwill impairment</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173,738</w:t>
            </w:r>
          </w:p>
        </w:tc>
        <w:tc>
          <w:tcPr>
            <w:tcW w:w="1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9"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94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173,738</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377,037</w:t>
            </w:r>
          </w:p>
        </w:tc>
        <w:tc>
          <w:tcPr>
            <w:tcW w:w="11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232,259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607,161</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464,678</w:t>
            </w:r>
          </w:p>
        </w:tc>
        <w:tc>
          <w:tcPr>
            <w:tcW w:w="95"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(Loss) / income from operations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(155,236</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34,731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(186,190</w:t>
            </w:r>
          </w:p>
        </w:tc>
        <w:tc>
          <w:tcPr>
            <w:tcW w:w="1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44,932</w:t>
            </w:r>
          </w:p>
        </w:tc>
        <w:tc>
          <w:tcPr>
            <w:tcW w:w="95"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(3,833</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(4,224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(7,593</w:t>
            </w:r>
          </w:p>
        </w:tc>
        <w:tc>
          <w:tcPr>
            <w:tcW w:w="1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(8,522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875"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Other (expense) / income, net</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(1,862</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12,624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94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(16,523</w:t>
            </w:r>
          </w:p>
        </w:tc>
        <w:tc>
          <w:tcPr>
            <w:tcW w:w="1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27,139</w:t>
            </w:r>
          </w:p>
        </w:tc>
        <w:tc>
          <w:tcPr>
            <w:tcW w:w="95"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(Loss) / income before income taxes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(160,931</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43,131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(210,306</w:t>
            </w:r>
          </w:p>
        </w:tc>
        <w:tc>
          <w:tcPr>
            <w:tcW w:w="1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63,549</w:t>
            </w:r>
          </w:p>
        </w:tc>
        <w:tc>
          <w:tcPr>
            <w:tcW w:w="95"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(Benefit) / provision for income taxes</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(4,992</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13,691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94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(6,798</w:t>
            </w:r>
          </w:p>
        </w:tc>
        <w:tc>
          <w:tcPr>
            <w:tcW w:w="1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15,421</w:t>
            </w:r>
          </w:p>
        </w:tc>
        <w:tc>
          <w:tcPr>
            <w:tcW w:w="95"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(loss) / income</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(155,939</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29,440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(203,508</w:t>
            </w:r>
          </w:p>
        </w:tc>
        <w:tc>
          <w:tcPr>
            <w:tcW w:w="1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48,128</w:t>
            </w:r>
          </w:p>
        </w:tc>
        <w:tc>
          <w:tcPr>
            <w:tcW w:w="95"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(Losses) / earnings per share:</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Basic</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(4.25</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(5.63</w:t>
            </w:r>
          </w:p>
        </w:tc>
        <w:tc>
          <w:tcPr>
            <w:tcW w:w="1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1.37</w:t>
            </w:r>
          </w:p>
        </w:tc>
        <w:tc>
          <w:tcPr>
            <w:tcW w:w="95"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Diluted</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(4.25</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0.82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(5.63</w:t>
            </w:r>
          </w:p>
        </w:tc>
        <w:tc>
          <w:tcPr>
            <w:tcW w:w="1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1.35</w:t>
            </w:r>
          </w:p>
        </w:tc>
        <w:tc>
          <w:tcPr>
            <w:tcW w:w="95"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Basic</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36,703</w:t>
            </w:r>
          </w:p>
        </w:tc>
        <w:tc>
          <w:tcPr>
            <w:tcW w:w="1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35,257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94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36,126</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35,075</w:t>
            </w:r>
          </w:p>
        </w:tc>
        <w:tc>
          <w:tcPr>
            <w:tcW w:w="95"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Diluted</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36,703</w:t>
            </w:r>
          </w:p>
        </w:tc>
        <w:tc>
          <w:tcPr>
            <w:tcW w:w="11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35,958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36,126</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35,642</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Shutterstock,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par value amount)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 w:name="zf298e06bad6744ec8181a85eac286516"/>
      <w:bookmarkStart w:id="26" w:name="zf298e06bad6744ec8181a85eac286516"/>
      <w:bookmarkEnd w:id="26"/>
    </w:p>
    <w:tbl>
      <w:tblPr>
        <w:tblW w:w="10205" w:type="dxa"/>
        <w:jc w:val="left"/>
        <w:tblInd w:w="0" w:type="dxa"/>
        <w:tblLayout w:type="fixed"/>
        <w:tblCellMar>
          <w:top w:w="0" w:type="dxa"/>
          <w:left w:w="0" w:type="dxa"/>
          <w:bottom w:w="0" w:type="dxa"/>
          <w:right w:w="0" w:type="dxa"/>
        </w:tblCellMar>
      </w:tblPr>
      <w:tblGrid>
        <w:gridCol w:w="7213"/>
        <w:gridCol w:w="60"/>
        <w:gridCol w:w="136"/>
        <w:gridCol w:w="920"/>
        <w:gridCol w:w="80"/>
        <w:gridCol w:w="60"/>
        <w:gridCol w:w="211"/>
        <w:gridCol w:w="1429"/>
        <w:gridCol w:w="96"/>
      </w:tblGrid>
      <w:tr>
        <w:trPr/>
        <w:tc>
          <w:tcPr>
            <w:tcW w:w="72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c>
          <w:tcPr>
            <w:tcW w:w="96" w:type="dxa"/>
            <w:tcBorders/>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vAlign w:val="bottom"/>
          </w:tcPr>
          <w:p>
            <w:pPr>
              <w:pStyle w:val="TableContents"/>
              <w:bidi w:val="0"/>
              <w:spacing w:before="0" w:after="283"/>
              <w:jc w:val="left"/>
              <w:rPr/>
            </w:pPr>
            <w:r>
              <w:rPr/>
              <w:t> </w:t>
            </w:r>
          </w:p>
        </w:tc>
        <w:tc>
          <w:tcPr>
            <w:tcW w:w="1056"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Current assets:</w:t>
            </w:r>
          </w:p>
        </w:tc>
        <w:tc>
          <w:tcPr>
            <w:tcW w:w="60" w:type="dxa"/>
            <w:tcBorders/>
            <w:vAlign w:val="bottom"/>
          </w:tcPr>
          <w:p>
            <w:pPr>
              <w:pStyle w:val="TableContents"/>
              <w:bidi w:val="0"/>
              <w:spacing w:before="0" w:after="283"/>
              <w:jc w:val="left"/>
              <w:rPr/>
            </w:pPr>
            <w:r>
              <w:rPr/>
              <w:t> </w:t>
            </w:r>
          </w:p>
        </w:tc>
        <w:tc>
          <w:tcPr>
            <w:tcW w:w="1056"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r>
      <w:tr>
        <w:trPr/>
        <w:tc>
          <w:tcPr>
            <w:tcW w:w="7213"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133,208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178,244</w:t>
            </w:r>
          </w:p>
        </w:tc>
        <w:tc>
          <w:tcPr>
            <w:tcW w:w="96" w:type="dxa"/>
            <w:tcBorders/>
            <w:shd w:fill="CCEEFF" w:val="clear"/>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Accounts receivable, net of allowance of $3,750 and $3,431</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102,264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112,626</w:t>
            </w:r>
          </w:p>
        </w:tc>
        <w:tc>
          <w:tcPr>
            <w:tcW w:w="96" w:type="dxa"/>
            <w:tcBorders/>
            <w:vAlign w:val="bottom"/>
          </w:tcPr>
          <w:p>
            <w:pPr>
              <w:pStyle w:val="TableContents"/>
              <w:bidi w:val="0"/>
              <w:spacing w:before="0" w:after="283"/>
              <w:jc w:val="left"/>
              <w:rPr/>
            </w:pPr>
            <w:r>
              <w:rPr/>
              <w:t> </w:t>
            </w:r>
          </w:p>
        </w:tc>
      </w:tr>
      <w:tr>
        <w:trPr/>
        <w:tc>
          <w:tcPr>
            <w:tcW w:w="7213"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Prepaid expenses and other current assets</w:t>
            </w:r>
          </w:p>
        </w:tc>
        <w:tc>
          <w:tcPr>
            <w:tcW w:w="60" w:type="dxa"/>
            <w:tcBorders/>
            <w:shd w:fill="CCEEFF" w:val="clear"/>
            <w:vAlign w:val="bottom"/>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44,025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47,769</w:t>
            </w:r>
          </w:p>
        </w:tc>
        <w:tc>
          <w:tcPr>
            <w:tcW w:w="96" w:type="dxa"/>
            <w:tcBorders/>
            <w:shd w:fill="CCEEFF" w:val="clear"/>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0"/>
              <w:ind w:left="585" w:right="0" w:hanging="0"/>
              <w:jc w:val="left"/>
              <w:rPr>
                <w:rFonts w:ascii="Times New Roman" w:hAnsi="Times New Roman"/>
                <w:sz w:val="20"/>
              </w:rPr>
            </w:pPr>
            <w:r>
              <w:rPr>
                <w:rFonts w:ascii="Times New Roman" w:hAnsi="Times New Roman"/>
                <w:sz w:val="20"/>
              </w:rPr>
              <w:t>Total current assets</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279,497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338,639</w:t>
            </w:r>
          </w:p>
        </w:tc>
        <w:tc>
          <w:tcPr>
            <w:tcW w:w="96" w:type="dxa"/>
            <w:tcBorders/>
            <w:vAlign w:val="bottom"/>
          </w:tcPr>
          <w:p>
            <w:pPr>
              <w:pStyle w:val="TableContents"/>
              <w:bidi w:val="0"/>
              <w:spacing w:before="0" w:after="283"/>
              <w:jc w:val="left"/>
              <w:rPr/>
            </w:pPr>
            <w:r>
              <w:rPr/>
              <w:t> </w:t>
            </w:r>
          </w:p>
        </w:tc>
      </w:tr>
      <w:tr>
        <w:trPr/>
        <w:tc>
          <w:tcPr>
            <w:tcW w:w="7213" w:type="dxa"/>
            <w:tcBorders/>
            <w:shd w:fill="CCEEFF" w:val="clear"/>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Property and equipment, net</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61,237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62,553</w:t>
            </w:r>
          </w:p>
        </w:tc>
        <w:tc>
          <w:tcPr>
            <w:tcW w:w="96" w:type="dxa"/>
            <w:tcBorders/>
            <w:shd w:fill="CCEEFF" w:val="clear"/>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Right-of-use assets</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8,238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9,770</w:t>
            </w:r>
          </w:p>
        </w:tc>
        <w:tc>
          <w:tcPr>
            <w:tcW w:w="96" w:type="dxa"/>
            <w:tcBorders/>
            <w:vAlign w:val="bottom"/>
          </w:tcPr>
          <w:p>
            <w:pPr>
              <w:pStyle w:val="TableContents"/>
              <w:bidi w:val="0"/>
              <w:spacing w:before="0" w:after="283"/>
              <w:jc w:val="left"/>
              <w:rPr/>
            </w:pPr>
            <w:r>
              <w:rPr/>
              <w:t> </w:t>
            </w:r>
          </w:p>
        </w:tc>
      </w:tr>
      <w:tr>
        <w:trPr/>
        <w:tc>
          <w:tcPr>
            <w:tcW w:w="7213" w:type="dxa"/>
            <w:tcBorders/>
            <w:shd w:fill="CCEEFF" w:val="clear"/>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Intangible assets, net</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192,073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215,673</w:t>
            </w:r>
          </w:p>
        </w:tc>
        <w:tc>
          <w:tcPr>
            <w:tcW w:w="96" w:type="dxa"/>
            <w:tcBorders/>
            <w:shd w:fill="CCEEFF" w:val="clear"/>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Goodwill</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400,025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574,614</w:t>
            </w:r>
          </w:p>
        </w:tc>
        <w:tc>
          <w:tcPr>
            <w:tcW w:w="96" w:type="dxa"/>
            <w:tcBorders/>
            <w:vAlign w:val="bottom"/>
          </w:tcPr>
          <w:p>
            <w:pPr>
              <w:pStyle w:val="TableContents"/>
              <w:bidi w:val="0"/>
              <w:spacing w:before="0" w:after="283"/>
              <w:jc w:val="left"/>
              <w:rPr/>
            </w:pPr>
            <w:r>
              <w:rPr/>
              <w:t> </w:t>
            </w:r>
          </w:p>
        </w:tc>
      </w:tr>
      <w:tr>
        <w:trPr/>
        <w:tc>
          <w:tcPr>
            <w:tcW w:w="7213" w:type="dxa"/>
            <w:tcBorders/>
            <w:shd w:fill="CCEEFF" w:val="clear"/>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Deferred tax assets, net</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77,221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61,289</w:t>
            </w:r>
          </w:p>
        </w:tc>
        <w:tc>
          <w:tcPr>
            <w:tcW w:w="96" w:type="dxa"/>
            <w:tcBorders/>
            <w:shd w:fill="CCEEFF" w:val="clear"/>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Other assets</w:t>
            </w:r>
          </w:p>
        </w:tc>
        <w:tc>
          <w:tcPr>
            <w:tcW w:w="60" w:type="dxa"/>
            <w:tcBorders/>
            <w:vAlign w:val="bottom"/>
          </w:tcPr>
          <w:p>
            <w:pPr>
              <w:pStyle w:val="TableContents"/>
              <w:bidi w:val="0"/>
              <w:spacing w:before="0" w:after="283"/>
              <w:jc w:val="lef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73,986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93,398</w:t>
            </w:r>
          </w:p>
        </w:tc>
        <w:tc>
          <w:tcPr>
            <w:tcW w:w="96" w:type="dxa"/>
            <w:tcBorders/>
            <w:vAlign w:val="bottom"/>
          </w:tcPr>
          <w:p>
            <w:pPr>
              <w:pStyle w:val="TableContents"/>
              <w:bidi w:val="0"/>
              <w:spacing w:before="0" w:after="283"/>
              <w:jc w:val="left"/>
              <w:rPr/>
            </w:pPr>
            <w:r>
              <w:rPr/>
              <w:t> </w:t>
            </w:r>
          </w:p>
        </w:tc>
      </w:tr>
      <w:tr>
        <w:trPr/>
        <w:tc>
          <w:tcPr>
            <w:tcW w:w="7213" w:type="dxa"/>
            <w:tcBorders/>
            <w:shd w:fill="CCEEFF" w:val="clear"/>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Total assets</w:t>
            </w:r>
          </w:p>
        </w:tc>
        <w:tc>
          <w:tcPr>
            <w:tcW w:w="60" w:type="dxa"/>
            <w:tcBorders/>
            <w:shd w:fill="CCEEFF" w:val="clear"/>
            <w:vAlign w:val="bottom"/>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1,092,277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2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1,355,936</w:t>
            </w:r>
          </w:p>
        </w:tc>
        <w:tc>
          <w:tcPr>
            <w:tcW w:w="96" w:type="dxa"/>
            <w:tcBorders/>
            <w:shd w:fill="CCEEFF" w:val="clear"/>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r>
      <w:tr>
        <w:trPr/>
        <w:tc>
          <w:tcPr>
            <w:tcW w:w="721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Current liabilities:</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r>
      <w:tr>
        <w:trPr/>
        <w:tc>
          <w:tcPr>
            <w:tcW w:w="7213"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Accounts payable</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12,982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13,898</w:t>
            </w:r>
          </w:p>
        </w:tc>
        <w:tc>
          <w:tcPr>
            <w:tcW w:w="96" w:type="dxa"/>
            <w:tcBorders/>
            <w:shd w:fill="CCEEFF" w:val="clear"/>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Accrued expenses</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104,227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129,952</w:t>
            </w:r>
          </w:p>
        </w:tc>
        <w:tc>
          <w:tcPr>
            <w:tcW w:w="96" w:type="dxa"/>
            <w:tcBorders/>
            <w:vAlign w:val="bottom"/>
          </w:tcPr>
          <w:p>
            <w:pPr>
              <w:pStyle w:val="TableContents"/>
              <w:bidi w:val="0"/>
              <w:spacing w:before="0" w:after="283"/>
              <w:jc w:val="left"/>
              <w:rPr/>
            </w:pPr>
            <w:r>
              <w:rPr/>
              <w:t> </w:t>
            </w:r>
          </w:p>
        </w:tc>
      </w:tr>
      <w:tr>
        <w:trPr/>
        <w:tc>
          <w:tcPr>
            <w:tcW w:w="7213"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Contributor royalties payable</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98,292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94,163</w:t>
            </w:r>
          </w:p>
        </w:tc>
        <w:tc>
          <w:tcPr>
            <w:tcW w:w="96" w:type="dxa"/>
            <w:tcBorders/>
            <w:shd w:fill="CCEEFF" w:val="clear"/>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Deferred revenue</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198,444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212,984</w:t>
            </w:r>
          </w:p>
        </w:tc>
        <w:tc>
          <w:tcPr>
            <w:tcW w:w="96" w:type="dxa"/>
            <w:tcBorders/>
            <w:vAlign w:val="bottom"/>
          </w:tcPr>
          <w:p>
            <w:pPr>
              <w:pStyle w:val="TableContents"/>
              <w:bidi w:val="0"/>
              <w:spacing w:before="0" w:after="283"/>
              <w:jc w:val="left"/>
              <w:rPr/>
            </w:pPr>
            <w:r>
              <w:rPr/>
              <w:t> </w:t>
            </w:r>
          </w:p>
        </w:tc>
      </w:tr>
      <w:tr>
        <w:trPr/>
        <w:tc>
          <w:tcPr>
            <w:tcW w:w="7213"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Debt</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158,112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158,110</w:t>
            </w:r>
          </w:p>
        </w:tc>
        <w:tc>
          <w:tcPr>
            <w:tcW w:w="96" w:type="dxa"/>
            <w:tcBorders/>
            <w:shd w:fill="CCEEFF" w:val="clear"/>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Other current liabilities</w:t>
            </w:r>
          </w:p>
        </w:tc>
        <w:tc>
          <w:tcPr>
            <w:tcW w:w="60" w:type="dxa"/>
            <w:tcBorders/>
            <w:vAlign w:val="bottom"/>
          </w:tcPr>
          <w:p>
            <w:pPr>
              <w:pStyle w:val="TableContents"/>
              <w:bidi w:val="0"/>
              <w:spacing w:before="0" w:after="283"/>
              <w:jc w:val="lef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14,719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19,295</w:t>
            </w:r>
          </w:p>
        </w:tc>
        <w:tc>
          <w:tcPr>
            <w:tcW w:w="96" w:type="dxa"/>
            <w:tcBorders/>
            <w:vAlign w:val="bottom"/>
          </w:tcPr>
          <w:p>
            <w:pPr>
              <w:pStyle w:val="TableContents"/>
              <w:bidi w:val="0"/>
              <w:spacing w:before="0" w:after="283"/>
              <w:jc w:val="left"/>
              <w:rPr/>
            </w:pPr>
            <w:r>
              <w:rPr/>
              <w:t> </w:t>
            </w:r>
          </w:p>
        </w:tc>
      </w:tr>
      <w:tr>
        <w:trPr/>
        <w:tc>
          <w:tcPr>
            <w:tcW w:w="7213" w:type="dxa"/>
            <w:tcBorders/>
            <w:shd w:fill="CCEEFF" w:val="clear"/>
            <w:vAlign w:val="bottom"/>
          </w:tcPr>
          <w:p>
            <w:pPr>
              <w:pStyle w:val="TableContents"/>
              <w:bidi w:val="0"/>
              <w:spacing w:before="0" w:after="0"/>
              <w:ind w:left="585" w:right="0" w:hanging="0"/>
              <w:jc w:val="left"/>
              <w:rPr>
                <w:rFonts w:ascii="Times New Roman" w:hAnsi="Times New Roman"/>
                <w:sz w:val="20"/>
              </w:rPr>
            </w:pPr>
            <w:r>
              <w:rPr>
                <w:rFonts w:ascii="Times New Roman" w:hAnsi="Times New Roman"/>
                <w:sz w:val="20"/>
              </w:rPr>
              <w:t>Total current liabilities</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586,776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628,402</w:t>
            </w:r>
          </w:p>
        </w:tc>
        <w:tc>
          <w:tcPr>
            <w:tcW w:w="96" w:type="dxa"/>
            <w:tcBorders/>
            <w:shd w:fill="CCEEFF" w:val="clear"/>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Deferred tax liability, net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1,134</w:t>
            </w:r>
          </w:p>
        </w:tc>
        <w:tc>
          <w:tcPr>
            <w:tcW w:w="96" w:type="dxa"/>
            <w:tcBorders/>
            <w:vAlign w:val="bottom"/>
          </w:tcPr>
          <w:p>
            <w:pPr>
              <w:pStyle w:val="TableContents"/>
              <w:bidi w:val="0"/>
              <w:spacing w:before="0" w:after="283"/>
              <w:jc w:val="left"/>
              <w:rPr/>
            </w:pPr>
            <w:r>
              <w:rPr/>
              <w:t> </w:t>
            </w:r>
          </w:p>
        </w:tc>
      </w:tr>
      <w:tr>
        <w:trPr/>
        <w:tc>
          <w:tcPr>
            <w:tcW w:w="7213" w:type="dxa"/>
            <w:tcBorders/>
            <w:shd w:fill="CCEEFF" w:val="clear"/>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Long-term debt</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115,157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116,639</w:t>
            </w:r>
          </w:p>
        </w:tc>
        <w:tc>
          <w:tcPr>
            <w:tcW w:w="96" w:type="dxa"/>
            <w:tcBorders/>
            <w:shd w:fill="CCEEFF" w:val="clear"/>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Lease liabilities</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13,518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17,247</w:t>
            </w:r>
          </w:p>
        </w:tc>
        <w:tc>
          <w:tcPr>
            <w:tcW w:w="96" w:type="dxa"/>
            <w:tcBorders/>
            <w:vAlign w:val="bottom"/>
          </w:tcPr>
          <w:p>
            <w:pPr>
              <w:pStyle w:val="TableContents"/>
              <w:bidi w:val="0"/>
              <w:spacing w:before="0" w:after="283"/>
              <w:jc w:val="left"/>
              <w:rPr/>
            </w:pPr>
            <w:r>
              <w:rPr/>
              <w:t> </w:t>
            </w:r>
          </w:p>
        </w:tc>
      </w:tr>
      <w:tr>
        <w:trPr/>
        <w:tc>
          <w:tcPr>
            <w:tcW w:w="7213" w:type="dxa"/>
            <w:tcBorders/>
            <w:shd w:fill="CCEEFF" w:val="clear"/>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Other non-current liabilities</w:t>
            </w:r>
          </w:p>
        </w:tc>
        <w:tc>
          <w:tcPr>
            <w:tcW w:w="60" w:type="dxa"/>
            <w:tcBorders/>
            <w:shd w:fill="CCEEFF" w:val="clear"/>
            <w:vAlign w:val="bottom"/>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11,843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11,476</w:t>
            </w:r>
          </w:p>
        </w:tc>
        <w:tc>
          <w:tcPr>
            <w:tcW w:w="96" w:type="dxa"/>
            <w:tcBorders/>
            <w:shd w:fill="CCEEFF" w:val="clear"/>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Total liabilities</w:t>
            </w:r>
          </w:p>
        </w:tc>
        <w:tc>
          <w:tcPr>
            <w:tcW w:w="60" w:type="dxa"/>
            <w:tcBorders/>
            <w:vAlign w:val="bottom"/>
          </w:tcPr>
          <w:p>
            <w:pPr>
              <w:pStyle w:val="TableContents"/>
              <w:bidi w:val="0"/>
              <w:spacing w:before="0" w:after="283"/>
              <w:jc w:val="lef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728,617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774,898</w:t>
            </w:r>
          </w:p>
        </w:tc>
        <w:tc>
          <w:tcPr>
            <w:tcW w:w="96" w:type="dxa"/>
            <w:tcBorders/>
            <w:vAlign w:val="bottom"/>
          </w:tcPr>
          <w:p>
            <w:pPr>
              <w:pStyle w:val="TableContents"/>
              <w:bidi w:val="0"/>
              <w:spacing w:before="0" w:after="283"/>
              <w:jc w:val="left"/>
              <w:rPr/>
            </w:pPr>
            <w:r>
              <w:rPr/>
              <w:t> </w:t>
            </w:r>
          </w:p>
        </w:tc>
      </w:tr>
      <w:tr>
        <w:trPr/>
        <w:tc>
          <w:tcPr>
            <w:tcW w:w="7213" w:type="dxa"/>
            <w:tcBorders/>
            <w:shd w:fill="CCEEFF" w:val="clear"/>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Commitments and contingencies</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Stockholders’ equity:</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r>
      <w:tr>
        <w:trPr/>
        <w:tc>
          <w:tcPr>
            <w:tcW w:w="7213"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Common stock, $0.01 par value; 200,000 shares authorized; 42,328 and 41,049 shares issued and 36,807 and 35,528 shares outstanding as of June 30, 2026 and December 31, 2025, respectively</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410</w:t>
            </w:r>
          </w:p>
        </w:tc>
        <w:tc>
          <w:tcPr>
            <w:tcW w:w="96" w:type="dxa"/>
            <w:tcBorders/>
            <w:shd w:fill="CCEEFF" w:val="clear"/>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Treasury stock, at cost; 5,521 shares as of June 30, 2026 and December 31, 2025</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(269,804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(269,804</w:t>
            </w:r>
          </w:p>
        </w:tc>
        <w:tc>
          <w:tcPr>
            <w:tcW w:w="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213"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Additional paid-in capital</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536,627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520,018</w:t>
            </w:r>
          </w:p>
        </w:tc>
        <w:tc>
          <w:tcPr>
            <w:tcW w:w="96" w:type="dxa"/>
            <w:tcBorders/>
            <w:shd w:fill="CCEEFF" w:val="clear"/>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Accumulated other comprehensive loss</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(9,249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(4,754</w:t>
            </w:r>
          </w:p>
        </w:tc>
        <w:tc>
          <w:tcPr>
            <w:tcW w:w="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213"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Retained earnings</w:t>
            </w:r>
          </w:p>
        </w:tc>
        <w:tc>
          <w:tcPr>
            <w:tcW w:w="60" w:type="dxa"/>
            <w:tcBorders/>
            <w:shd w:fill="CCEEFF" w:val="clear"/>
            <w:vAlign w:val="bottom"/>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105,664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335,168</w:t>
            </w:r>
          </w:p>
        </w:tc>
        <w:tc>
          <w:tcPr>
            <w:tcW w:w="96" w:type="dxa"/>
            <w:tcBorders/>
            <w:shd w:fill="CCEEFF" w:val="clear"/>
            <w:vAlign w:val="bottom"/>
          </w:tcPr>
          <w:p>
            <w:pPr>
              <w:pStyle w:val="TableContents"/>
              <w:bidi w:val="0"/>
              <w:spacing w:before="0" w:after="283"/>
              <w:jc w:val="left"/>
              <w:rPr/>
            </w:pPr>
            <w:r>
              <w:rPr/>
              <w:t> </w:t>
            </w:r>
          </w:p>
        </w:tc>
      </w:tr>
      <w:tr>
        <w:trPr/>
        <w:tc>
          <w:tcPr>
            <w:tcW w:w="7213" w:type="dxa"/>
            <w:tcBorders/>
            <w:vAlign w:val="bottom"/>
          </w:tcPr>
          <w:p>
            <w:pPr>
              <w:pStyle w:val="TableContents"/>
              <w:bidi w:val="0"/>
              <w:spacing w:before="0" w:after="0"/>
              <w:ind w:left="585" w:right="0" w:hanging="0"/>
              <w:jc w:val="left"/>
              <w:rPr>
                <w:rFonts w:ascii="Times New Roman" w:hAnsi="Times New Roman"/>
                <w:sz w:val="20"/>
              </w:rPr>
            </w:pPr>
            <w:r>
              <w:rPr>
                <w:rFonts w:ascii="Times New Roman" w:hAnsi="Times New Roman"/>
                <w:sz w:val="20"/>
              </w:rPr>
              <w:t>Total stockholders’ equity</w:t>
            </w:r>
          </w:p>
        </w:tc>
        <w:tc>
          <w:tcPr>
            <w:tcW w:w="60" w:type="dxa"/>
            <w:tcBorders/>
            <w:vAlign w:val="bottom"/>
          </w:tcPr>
          <w:p>
            <w:pPr>
              <w:pStyle w:val="TableContents"/>
              <w:bidi w:val="0"/>
              <w:spacing w:before="0" w:after="283"/>
              <w:jc w:val="lef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363,660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581,038</w:t>
            </w:r>
          </w:p>
        </w:tc>
        <w:tc>
          <w:tcPr>
            <w:tcW w:w="96" w:type="dxa"/>
            <w:tcBorders/>
            <w:vAlign w:val="bottom"/>
          </w:tcPr>
          <w:p>
            <w:pPr>
              <w:pStyle w:val="TableContents"/>
              <w:bidi w:val="0"/>
              <w:spacing w:before="0" w:after="283"/>
              <w:jc w:val="left"/>
              <w:rPr/>
            </w:pPr>
            <w:r>
              <w:rPr/>
              <w:t> </w:t>
            </w:r>
          </w:p>
        </w:tc>
      </w:tr>
      <w:tr>
        <w:trPr/>
        <w:tc>
          <w:tcPr>
            <w:tcW w:w="7213" w:type="dxa"/>
            <w:tcBorders/>
            <w:shd w:fill="CCEEFF" w:val="clear"/>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Total liabilities and stockholders’ equity</w:t>
            </w:r>
          </w:p>
        </w:tc>
        <w:tc>
          <w:tcPr>
            <w:tcW w:w="60" w:type="dxa"/>
            <w:tcBorders/>
            <w:shd w:fill="CCEEFF" w:val="clear"/>
            <w:vAlign w:val="bottom"/>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1,092,277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2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1,355,936</w:t>
            </w:r>
          </w:p>
        </w:tc>
        <w:tc>
          <w:tcPr>
            <w:tcW w:w="9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Shutterstock,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par value amount)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Normal"/>
        <w:bidi w:val="0"/>
        <w:spacing w:before="0" w:after="0"/>
        <w:jc w:val="left"/>
        <w:rPr>
          <w:sz w:val="4"/>
          <w:szCs w:val="4"/>
        </w:rPr>
      </w:pPr>
      <w:r>
        <w:rPr>
          <w:sz w:val="4"/>
          <w:szCs w:val="4"/>
        </w:rPr>
      </w:r>
      <w:bookmarkStart w:id="27" w:name="z0071aad0c39141d8b43e6f155030327c"/>
      <w:bookmarkStart w:id="28" w:name="z0071aad0c39141d8b43e6f155030327c"/>
      <w:bookmarkEnd w:id="28"/>
    </w:p>
    <w:tbl>
      <w:tblPr>
        <w:tblW w:w="10205" w:type="dxa"/>
        <w:jc w:val="left"/>
        <w:tblInd w:w="0" w:type="dxa"/>
        <w:tblLayout w:type="fixed"/>
        <w:tblCellMar>
          <w:top w:w="0" w:type="dxa"/>
          <w:left w:w="0" w:type="dxa"/>
          <w:bottom w:w="0" w:type="dxa"/>
          <w:right w:w="0" w:type="dxa"/>
        </w:tblCellMar>
      </w:tblPr>
      <w:tblGrid>
        <w:gridCol w:w="6230"/>
        <w:gridCol w:w="60"/>
        <w:gridCol w:w="125"/>
        <w:gridCol w:w="755"/>
        <w:gridCol w:w="80"/>
        <w:gridCol w:w="60"/>
        <w:gridCol w:w="125"/>
        <w:gridCol w:w="695"/>
        <w:gridCol w:w="80"/>
        <w:gridCol w:w="60"/>
        <w:gridCol w:w="125"/>
        <w:gridCol w:w="755"/>
        <w:gridCol w:w="80"/>
        <w:gridCol w:w="60"/>
        <w:gridCol w:w="125"/>
        <w:gridCol w:w="695"/>
        <w:gridCol w:w="95"/>
      </w:tblGrid>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95" w:type="dxa"/>
            <w:tcBorders/>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Net (loss) /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75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(155,939</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9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29,440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75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(203,508</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9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48,128</w:t>
            </w:r>
          </w:p>
        </w:tc>
        <w:tc>
          <w:tcPr>
            <w:tcW w:w="9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Adjustments to reconcile net (loss) / income to net cash (used in) / provided by operating activities: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22,416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22,611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45,120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45,282</w:t>
            </w:r>
          </w:p>
        </w:tc>
        <w:tc>
          <w:tcPr>
            <w:tcW w:w="9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Deferred taxes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(8,399</w:t>
            </w:r>
          </w:p>
        </w:tc>
        <w:tc>
          <w:tcPr>
            <w:tcW w:w="8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974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(15,741</w:t>
            </w:r>
          </w:p>
        </w:tc>
        <w:tc>
          <w:tcPr>
            <w:tcW w:w="8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(6,798</w:t>
            </w:r>
          </w:p>
        </w:tc>
        <w:tc>
          <w:tcPr>
            <w:tcW w:w="95"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r>
      <w:tr>
        <w:trPr/>
        <w:tc>
          <w:tcPr>
            <w:tcW w:w="623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Goodwill impairment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173,738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173,738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Non-cash equity-based compensation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12,536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15,625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25,908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33,509</w:t>
            </w:r>
          </w:p>
        </w:tc>
        <w:tc>
          <w:tcPr>
            <w:tcW w:w="9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Loss on impairment of long-term investment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5,000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5,000</w:t>
            </w:r>
          </w:p>
        </w:tc>
        <w:tc>
          <w:tcPr>
            <w:tcW w:w="9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Bad debt expense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367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319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960</w:t>
            </w:r>
          </w:p>
        </w:tc>
        <w:tc>
          <w:tcPr>
            <w:tcW w:w="9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Unrealized loss / (gain) on investments,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2,963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(18,028</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18,268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(31,288</w:t>
            </w:r>
          </w:p>
        </w:tc>
        <w:tc>
          <w:tcPr>
            <w:tcW w:w="95"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r>
      <w:tr>
        <w:trPr/>
        <w:tc>
          <w:tcPr>
            <w:tcW w:w="623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Changes in operating assets and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Accounts receivable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735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(39,056</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9,701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(55,674</w:t>
            </w:r>
          </w:p>
        </w:tc>
        <w:tc>
          <w:tcPr>
            <w:tcW w:w="95"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r>
      <w:tr>
        <w:trPr/>
        <w:tc>
          <w:tcPr>
            <w:tcW w:w="623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Prepaid expenses and other current and non-current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(3,759</w:t>
            </w:r>
          </w:p>
        </w:tc>
        <w:tc>
          <w:tcPr>
            <w:tcW w:w="8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4,775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1,592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22,757</w:t>
            </w:r>
          </w:p>
        </w:tc>
        <w:tc>
          <w:tcPr>
            <w:tcW w:w="9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Accounts payable and other current and non-current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(37,972</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2,677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(29,386</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(14,587</w:t>
            </w:r>
          </w:p>
        </w:tc>
        <w:tc>
          <w:tcPr>
            <w:tcW w:w="95"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r>
      <w:tr>
        <w:trPr/>
        <w:tc>
          <w:tcPr>
            <w:tcW w:w="623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Contributor royalties payable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3,459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6,401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5,084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9,780</w:t>
            </w:r>
          </w:p>
        </w:tc>
        <w:tc>
          <w:tcPr>
            <w:tcW w:w="9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Deferred revenue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(9,371</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(3,950</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(13,104</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(4,986</w:t>
            </w:r>
          </w:p>
        </w:tc>
        <w:tc>
          <w:tcPr>
            <w:tcW w:w="95"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r>
      <w:tr>
        <w:trPr/>
        <w:tc>
          <w:tcPr>
            <w:tcW w:w="6230" w:type="dxa"/>
            <w:tcBorders/>
            <w:vAlign w:val="bottom"/>
          </w:tcPr>
          <w:p>
            <w:pPr>
              <w:pStyle w:val="TableContents"/>
              <w:bidi w:val="0"/>
              <w:spacing w:before="0" w:after="0"/>
              <w:ind w:left="240" w:right="0" w:hanging="0"/>
              <w:jc w:val="left"/>
              <w:rPr>
                <w:rFonts w:ascii="Times New Roman" w:hAnsi="Times New Roman"/>
                <w:b w:val="false"/>
                <w:sz w:val="20"/>
              </w:rPr>
            </w:pPr>
            <w:r>
              <w:rPr>
                <w:rFonts w:ascii="Times New Roman" w:hAnsi="Times New Roman"/>
                <w:b w:val="false"/>
                <w:sz w:val="20"/>
              </w:rPr>
              <w:t>Net cash provided by operating activities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621</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26,836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17,991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52,083</w:t>
            </w:r>
          </w:p>
        </w:tc>
        <w:tc>
          <w:tcPr>
            <w:tcW w:w="9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Capital expenditures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(10,115</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(11,312</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(21,710</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(22,120</w:t>
            </w:r>
          </w:p>
        </w:tc>
        <w:tc>
          <w:tcPr>
            <w:tcW w:w="95"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r>
      <w:tr>
        <w:trPr/>
        <w:tc>
          <w:tcPr>
            <w:tcW w:w="623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Cash received related to Giphy Retention Compensation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369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477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861</w:t>
            </w:r>
          </w:p>
        </w:tc>
        <w:tc>
          <w:tcPr>
            <w:tcW w:w="9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Acquisition of content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(110</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(4,081</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(301</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(4,978</w:t>
            </w:r>
          </w:p>
        </w:tc>
        <w:tc>
          <w:tcPr>
            <w:tcW w:w="95"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r>
      <w:tr>
        <w:trPr/>
        <w:tc>
          <w:tcPr>
            <w:tcW w:w="623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Security deposit (payment) / release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(23</w:t>
            </w:r>
          </w:p>
        </w:tc>
        <w:tc>
          <w:tcPr>
            <w:tcW w:w="8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38</w:t>
            </w:r>
          </w:p>
        </w:tc>
        <w:tc>
          <w:tcPr>
            <w:tcW w:w="9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ind w:left="240" w:right="0" w:hanging="0"/>
              <w:jc w:val="left"/>
              <w:rPr>
                <w:rFonts w:ascii="Times New Roman" w:hAnsi="Times New Roman"/>
                <w:b w:val="false"/>
                <w:sz w:val="20"/>
              </w:rPr>
            </w:pPr>
            <w:r>
              <w:rPr>
                <w:rFonts w:ascii="Times New Roman" w:hAnsi="Times New Roman"/>
                <w:b w:val="false"/>
                <w:sz w:val="20"/>
              </w:rPr>
              <w:t>Net cash used in investing activities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(10,139</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(14,965</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(21,285</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(26,199</w:t>
            </w:r>
          </w:p>
        </w:tc>
        <w:tc>
          <w:tcPr>
            <w:tcW w:w="95"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Cash paid to settle employee taxes related to RSU vesting</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(4,461</w:t>
            </w:r>
          </w:p>
        </w:tc>
        <w:tc>
          <w:tcPr>
            <w:tcW w:w="8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(1,473</w:t>
            </w:r>
          </w:p>
        </w:tc>
        <w:tc>
          <w:tcPr>
            <w:tcW w:w="8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(10,848</w:t>
            </w:r>
          </w:p>
        </w:tc>
        <w:tc>
          <w:tcPr>
            <w:tcW w:w="8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(5,012</w:t>
            </w:r>
          </w:p>
        </w:tc>
        <w:tc>
          <w:tcPr>
            <w:tcW w:w="95"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r>
      <w:tr>
        <w:trPr/>
        <w:tc>
          <w:tcPr>
            <w:tcW w:w="623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Payment of cash dividends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(13,214</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(11,623</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(25,996</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(23,124</w:t>
            </w:r>
          </w:p>
        </w:tc>
        <w:tc>
          <w:tcPr>
            <w:tcW w:w="95"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r>
      <w:tr>
        <w:trPr/>
        <w:tc>
          <w:tcPr>
            <w:tcW w:w="623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Repayment of credit facility</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(782</w:t>
            </w:r>
          </w:p>
        </w:tc>
        <w:tc>
          <w:tcPr>
            <w:tcW w:w="8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(782</w:t>
            </w:r>
          </w:p>
        </w:tc>
        <w:tc>
          <w:tcPr>
            <w:tcW w:w="8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(1,563</w:t>
            </w:r>
          </w:p>
        </w:tc>
        <w:tc>
          <w:tcPr>
            <w:tcW w:w="8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(1,563</w:t>
            </w:r>
          </w:p>
        </w:tc>
        <w:tc>
          <w:tcPr>
            <w:tcW w:w="95"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r>
      <w:tr>
        <w:trPr/>
        <w:tc>
          <w:tcPr>
            <w:tcW w:w="6230" w:type="dxa"/>
            <w:tcBorders/>
            <w:shd w:fill="CCEEFF" w:val="clear"/>
            <w:vAlign w:val="bottom"/>
          </w:tcPr>
          <w:p>
            <w:pPr>
              <w:pStyle w:val="TableContents"/>
              <w:bidi w:val="0"/>
              <w:spacing w:before="0" w:after="0"/>
              <w:ind w:left="240" w:right="0" w:hanging="0"/>
              <w:jc w:val="left"/>
              <w:rPr>
                <w:rFonts w:ascii="Times New Roman" w:hAnsi="Times New Roman"/>
                <w:b w:val="false"/>
                <w:sz w:val="20"/>
              </w:rPr>
            </w:pPr>
            <w:r>
              <w:rPr>
                <w:rFonts w:ascii="Times New Roman" w:hAnsi="Times New Roman"/>
                <w:b w:val="false"/>
                <w:sz w:val="20"/>
              </w:rPr>
              <w:t>Net cash used in financing activities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(18,457</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(13,878</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(38,407</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(29,699</w:t>
            </w:r>
          </w:p>
        </w:tc>
        <w:tc>
          <w:tcPr>
            <w:tcW w:w="95"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ind w:left="240" w:right="0" w:hanging="0"/>
              <w:jc w:val="left"/>
              <w:rPr>
                <w:rFonts w:ascii="Times New Roman" w:hAnsi="Times New Roman"/>
                <w:b w:val="false"/>
                <w:sz w:val="20"/>
              </w:rPr>
            </w:pPr>
            <w:r>
              <w:rPr>
                <w:rFonts w:ascii="Times New Roman" w:hAnsi="Times New Roman"/>
                <w:b w:val="false"/>
                <w:sz w:val="20"/>
              </w:rPr>
              <w:t>Effect of foreign exchange rate changes on cash</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(1,333</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6,186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(3,335</w:t>
            </w:r>
          </w:p>
        </w:tc>
        <w:tc>
          <w:tcPr>
            <w:tcW w:w="8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8,974</w:t>
            </w:r>
          </w:p>
        </w:tc>
        <w:tc>
          <w:tcPr>
            <w:tcW w:w="9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ind w:left="360" w:right="0" w:hanging="0"/>
              <w:jc w:val="left"/>
              <w:rPr>
                <w:rFonts w:ascii="Times New Roman" w:hAnsi="Times New Roman"/>
                <w:b w:val="false"/>
                <w:sz w:val="20"/>
              </w:rPr>
            </w:pPr>
            <w:r>
              <w:rPr>
                <w:rFonts w:ascii="Times New Roman" w:hAnsi="Times New Roman"/>
                <w:b w:val="false"/>
                <w:sz w:val="20"/>
              </w:rPr>
              <w:t>Net (decrease) / increase in cash and cash equivalents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(29,308</w:t>
            </w:r>
          </w:p>
        </w:tc>
        <w:tc>
          <w:tcPr>
            <w:tcW w:w="8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4,179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(45,036</w:t>
            </w:r>
          </w:p>
        </w:tc>
        <w:tc>
          <w:tcPr>
            <w:tcW w:w="8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5,159</w:t>
            </w:r>
          </w:p>
        </w:tc>
        <w:tc>
          <w:tcPr>
            <w:tcW w:w="9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Cash and cash equivalents, beginning of period</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162,518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112,231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178,244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111,251</w:t>
            </w:r>
          </w:p>
        </w:tc>
        <w:tc>
          <w:tcPr>
            <w:tcW w:w="9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Cash and cash equivalents, end of period</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133,208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116,410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133,208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116,410</w:t>
            </w:r>
          </w:p>
        </w:tc>
        <w:tc>
          <w:tcPr>
            <w:tcW w:w="9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Information: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Cash paid for income taxes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75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6,934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9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15,293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75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7,678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95"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14,689</w:t>
            </w:r>
          </w:p>
        </w:tc>
        <w:tc>
          <w:tcPr>
            <w:tcW w:w="9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Cash paid for interest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3,518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4,106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7,288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8,465</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Shutterstock,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Reconciliation of Non-GAAP Financial Information to GAAP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per share information)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EBITDA, adjusted EBITDA margin, adjusted net income, adjusted net income per diluted share, revenue growth (including by distribution channel) on a constant currency basis (expressed as a percentage), and adjusted free cash flow are not financial measures prepared in accordance with United States generally accepted accounting principles (GAAP). Such non-GAAP financial measures should not be construed as alternatives to any other measures of performance determined in accordance with GAAP. Investors are cautioned that non-GAAP financial measures are not based on any standardized methodology prescribed by GAAP and are not necessarily comparable to similarly-titled measures presented by other companies.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 w:name="z778939c5313947bbb04d094ad267cf6d"/>
      <w:bookmarkStart w:id="30" w:name="z778939c5313947bbb04d094ad267cf6d"/>
      <w:bookmarkEnd w:id="30"/>
    </w:p>
    <w:tbl>
      <w:tblPr>
        <w:tblW w:w="10205" w:type="dxa"/>
        <w:jc w:val="left"/>
        <w:tblInd w:w="0" w:type="dxa"/>
        <w:tblLayout w:type="fixed"/>
        <w:tblCellMar>
          <w:top w:w="0" w:type="dxa"/>
          <w:left w:w="0" w:type="dxa"/>
          <w:bottom w:w="0" w:type="dxa"/>
          <w:right w:w="0" w:type="dxa"/>
        </w:tblCellMar>
      </w:tblPr>
      <w:tblGrid>
        <w:gridCol w:w="5235"/>
        <w:gridCol w:w="60"/>
        <w:gridCol w:w="169"/>
        <w:gridCol w:w="1028"/>
        <w:gridCol w:w="108"/>
        <w:gridCol w:w="80"/>
        <w:gridCol w:w="169"/>
        <w:gridCol w:w="884"/>
        <w:gridCol w:w="80"/>
        <w:gridCol w:w="60"/>
        <w:gridCol w:w="155"/>
        <w:gridCol w:w="939"/>
        <w:gridCol w:w="99"/>
        <w:gridCol w:w="73"/>
        <w:gridCol w:w="155"/>
        <w:gridCol w:w="808"/>
        <w:gridCol w:w="103"/>
      </w:tblGrid>
      <w:tr>
        <w:trPr/>
        <w:tc>
          <w:tcPr>
            <w:tcW w:w="5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3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9"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 June 30,</w:t>
            </w:r>
          </w:p>
        </w:tc>
        <w:tc>
          <w:tcPr>
            <w:tcW w:w="103" w:type="dxa"/>
            <w:tcBorders/>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0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5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9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6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03" w:type="dxa"/>
            <w:tcBorders/>
            <w:vAlign w:val="bottom"/>
          </w:tcPr>
          <w:p>
            <w:pPr>
              <w:pStyle w:val="TableContents"/>
              <w:bidi w:val="0"/>
              <w:spacing w:before="0" w:after="283"/>
              <w:jc w:val="left"/>
              <w:rPr/>
            </w:pPr>
            <w:r>
              <w:rPr/>
              <w:t> </w:t>
            </w:r>
          </w:p>
        </w:tc>
      </w:tr>
      <w:tr>
        <w:trPr/>
        <w:tc>
          <w:tcPr>
            <w:tcW w:w="52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 / income</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(155,939</w:t>
            </w:r>
          </w:p>
        </w:tc>
        <w:tc>
          <w:tcPr>
            <w:tcW w:w="1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29,440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(203,508</w:t>
            </w:r>
          </w:p>
        </w:tc>
        <w:tc>
          <w:tcPr>
            <w:tcW w:w="9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48,128</w:t>
            </w:r>
          </w:p>
        </w:tc>
        <w:tc>
          <w:tcPr>
            <w:tcW w:w="103" w:type="dxa"/>
            <w:tcBorders/>
            <w:shd w:fill="CCEEFF" w:val="clear"/>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Add / (less) Non-GAAP adjustments:</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r>
      <w:tr>
        <w:trPr/>
        <w:tc>
          <w:tcPr>
            <w:tcW w:w="5235" w:type="dxa"/>
            <w:tcBorders/>
            <w:shd w:fill="CCEEFF" w:val="clear"/>
            <w:vAlign w:val="bottom"/>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Non-cash equity-based compensation</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12,536</w:t>
            </w:r>
          </w:p>
        </w:tc>
        <w:tc>
          <w:tcPr>
            <w:tcW w:w="10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15,625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25,908</w:t>
            </w:r>
          </w:p>
        </w:tc>
        <w:tc>
          <w:tcPr>
            <w:tcW w:w="9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33,509</w:t>
            </w:r>
          </w:p>
        </w:tc>
        <w:tc>
          <w:tcPr>
            <w:tcW w:w="103" w:type="dxa"/>
            <w:tcBorders/>
            <w:shd w:fill="CCEEFF" w:val="clear"/>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lineRule="auto" w:line="240" w:before="0" w:after="0"/>
              <w:ind w:left="225" w:right="0" w:hanging="0"/>
              <w:jc w:val="left"/>
              <w:rPr>
                <w:rFonts w:ascii="Times New Roman" w:hAnsi="Times New Roman"/>
                <w:sz w:val="20"/>
              </w:rPr>
            </w:pPr>
            <w:r>
              <w:rPr>
                <w:rFonts w:ascii="Times New Roman" w:hAnsi="Times New Roman"/>
                <w:sz w:val="20"/>
              </w:rPr>
              <w:t>Tax effect of non-cash equity-based compensation (1)</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(2,946</w:t>
            </w:r>
          </w:p>
        </w:tc>
        <w:tc>
          <w:tcPr>
            <w:tcW w:w="1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(3,672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(6,088</w:t>
            </w:r>
          </w:p>
        </w:tc>
        <w:tc>
          <w:tcPr>
            <w:tcW w:w="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(7,875</w:t>
            </w:r>
          </w:p>
        </w:tc>
        <w:tc>
          <w:tcPr>
            <w:tcW w:w="1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235" w:type="dxa"/>
            <w:tcBorders/>
            <w:shd w:fill="CCEEFF" w:val="clear"/>
            <w:vAlign w:val="bottom"/>
          </w:tcPr>
          <w:p>
            <w:pPr>
              <w:pStyle w:val="TableContents"/>
              <w:bidi w:val="0"/>
              <w:spacing w:lineRule="auto" w:line="240" w:before="0" w:after="0"/>
              <w:ind w:left="225" w:right="0" w:hanging="0"/>
              <w:jc w:val="left"/>
              <w:rPr>
                <w:rFonts w:ascii="Times New Roman" w:hAnsi="Times New Roman"/>
                <w:sz w:val="20"/>
              </w:rPr>
            </w:pPr>
            <w:r>
              <w:rPr>
                <w:rFonts w:ascii="Times New Roman" w:hAnsi="Times New Roman"/>
                <w:sz w:val="20"/>
              </w:rPr>
              <w:t>Acquisition-related amortization expense (2)</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9,564</w:t>
            </w:r>
          </w:p>
        </w:tc>
        <w:tc>
          <w:tcPr>
            <w:tcW w:w="10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19,163</w:t>
            </w:r>
          </w:p>
        </w:tc>
        <w:tc>
          <w:tcPr>
            <w:tcW w:w="9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19,278</w:t>
            </w:r>
          </w:p>
        </w:tc>
        <w:tc>
          <w:tcPr>
            <w:tcW w:w="103" w:type="dxa"/>
            <w:tcBorders/>
            <w:shd w:fill="CCEEFF" w:val="clear"/>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lineRule="auto" w:line="240" w:before="0" w:after="0"/>
              <w:ind w:left="225" w:right="0" w:hanging="0"/>
              <w:jc w:val="left"/>
              <w:rPr>
                <w:rFonts w:ascii="Times New Roman" w:hAnsi="Times New Roman"/>
                <w:sz w:val="20"/>
              </w:rPr>
            </w:pPr>
            <w:r>
              <w:rPr>
                <w:rFonts w:ascii="Times New Roman" w:hAnsi="Times New Roman"/>
                <w:sz w:val="20"/>
              </w:rPr>
              <w:t>Tax effect of acquisition-related amortization expense (1)</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(2,248</w:t>
            </w:r>
          </w:p>
        </w:tc>
        <w:tc>
          <w:tcPr>
            <w:tcW w:w="1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(2,252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(4,504</w:t>
            </w:r>
          </w:p>
        </w:tc>
        <w:tc>
          <w:tcPr>
            <w:tcW w:w="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(4,531</w:t>
            </w:r>
          </w:p>
        </w:tc>
        <w:tc>
          <w:tcPr>
            <w:tcW w:w="1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235" w:type="dxa"/>
            <w:tcBorders/>
            <w:shd w:fill="CCEEFF" w:val="clear"/>
            <w:vAlign w:val="bottom"/>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Unrealized loss / (gain) on investment</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2,963</w:t>
            </w:r>
          </w:p>
        </w:tc>
        <w:tc>
          <w:tcPr>
            <w:tcW w:w="10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(13,029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18,268</w:t>
            </w:r>
          </w:p>
        </w:tc>
        <w:tc>
          <w:tcPr>
            <w:tcW w:w="9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(26,289</w:t>
            </w:r>
          </w:p>
        </w:tc>
        <w:tc>
          <w:tcPr>
            <w:tcW w:w="1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235" w:type="dxa"/>
            <w:tcBorders/>
            <w:vAlign w:val="bottom"/>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Goodwill impairment</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173,738</w:t>
            </w:r>
          </w:p>
        </w:tc>
        <w:tc>
          <w:tcPr>
            <w:tcW w:w="10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173,738</w:t>
            </w:r>
          </w:p>
        </w:tc>
        <w:tc>
          <w:tcPr>
            <w:tcW w:w="9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pPr>
            <w:r>
              <w:rPr/>
              <w:t>—</w:t>
            </w:r>
          </w:p>
        </w:tc>
        <w:tc>
          <w:tcPr>
            <w:tcW w:w="103" w:type="dxa"/>
            <w:tcBorders/>
            <w:vAlign w:val="bottom"/>
          </w:tcPr>
          <w:p>
            <w:pPr>
              <w:pStyle w:val="TableContents"/>
              <w:bidi w:val="0"/>
              <w:spacing w:before="0" w:after="283"/>
              <w:jc w:val="left"/>
              <w:rPr/>
            </w:pPr>
            <w:r>
              <w:rPr/>
              <w:t> </w:t>
            </w:r>
          </w:p>
        </w:tc>
      </w:tr>
      <w:tr>
        <w:trPr/>
        <w:tc>
          <w:tcPr>
            <w:tcW w:w="5235" w:type="dxa"/>
            <w:tcBorders/>
            <w:shd w:fill="CCEEFF" w:val="clear"/>
            <w:vAlign w:val="bottom"/>
          </w:tcPr>
          <w:p>
            <w:pPr>
              <w:pStyle w:val="TableContents"/>
              <w:bidi w:val="0"/>
              <w:spacing w:lineRule="auto" w:line="240" w:before="0" w:after="0"/>
              <w:ind w:left="225" w:right="0" w:hanging="0"/>
              <w:jc w:val="left"/>
              <w:rPr>
                <w:rFonts w:ascii="Times New Roman" w:hAnsi="Times New Roman"/>
                <w:sz w:val="20"/>
              </w:rPr>
            </w:pPr>
            <w:r>
              <w:rPr>
                <w:rFonts w:ascii="Times New Roman" w:hAnsi="Times New Roman"/>
                <w:sz w:val="20"/>
              </w:rPr>
              <w:t>Tax effect of goodwill impairment(1)</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(10,371</w:t>
            </w:r>
          </w:p>
        </w:tc>
        <w:tc>
          <w:tcPr>
            <w:tcW w:w="1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(10,371</w:t>
            </w:r>
          </w:p>
        </w:tc>
        <w:tc>
          <w:tcPr>
            <w:tcW w:w="9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pPr>
            <w:r>
              <w:rPr/>
              <w:t>—</w:t>
            </w:r>
          </w:p>
        </w:tc>
        <w:tc>
          <w:tcPr>
            <w:tcW w:w="103" w:type="dxa"/>
            <w:tcBorders/>
            <w:shd w:fill="CCEEFF" w:val="clear"/>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Workforce optimization - severance</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2,963</w:t>
            </w:r>
          </w:p>
        </w:tc>
        <w:tc>
          <w:tcPr>
            <w:tcW w:w="10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9,043</w:t>
            </w:r>
          </w:p>
        </w:tc>
        <w:tc>
          <w:tcPr>
            <w:tcW w:w="9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301</w:t>
            </w:r>
          </w:p>
        </w:tc>
        <w:tc>
          <w:tcPr>
            <w:tcW w:w="103" w:type="dxa"/>
            <w:tcBorders/>
            <w:vAlign w:val="bottom"/>
          </w:tcPr>
          <w:p>
            <w:pPr>
              <w:pStyle w:val="TableContents"/>
              <w:bidi w:val="0"/>
              <w:spacing w:before="0" w:after="283"/>
              <w:jc w:val="left"/>
              <w:rPr/>
            </w:pPr>
            <w:r>
              <w:rPr/>
              <w:t> </w:t>
            </w:r>
          </w:p>
        </w:tc>
      </w:tr>
      <w:tr>
        <w:trPr/>
        <w:tc>
          <w:tcPr>
            <w:tcW w:w="5235" w:type="dxa"/>
            <w:tcBorders/>
            <w:shd w:fill="CCEEFF" w:val="clear"/>
            <w:vAlign w:val="bottom"/>
          </w:tcPr>
          <w:p>
            <w:pPr>
              <w:pStyle w:val="TableContents"/>
              <w:bidi w:val="0"/>
              <w:spacing w:lineRule="auto" w:line="240" w:before="0" w:after="0"/>
              <w:ind w:left="225" w:right="0" w:hanging="0"/>
              <w:jc w:val="left"/>
              <w:rPr>
                <w:rFonts w:ascii="Times New Roman" w:hAnsi="Times New Roman"/>
                <w:sz w:val="20"/>
              </w:rPr>
            </w:pPr>
            <w:r>
              <w:rPr>
                <w:rFonts w:ascii="Times New Roman" w:hAnsi="Times New Roman"/>
                <w:sz w:val="20"/>
              </w:rPr>
              <w:t>Tax effect of workforce optimization - severance(1)</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(667</w:t>
            </w:r>
          </w:p>
        </w:tc>
        <w:tc>
          <w:tcPr>
            <w:tcW w:w="1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(2,035</w:t>
            </w:r>
          </w:p>
        </w:tc>
        <w:tc>
          <w:tcPr>
            <w:tcW w:w="9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w:t>
            </w:r>
          </w:p>
        </w:tc>
        <w:tc>
          <w:tcPr>
            <w:tcW w:w="1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235" w:type="dxa"/>
            <w:tcBorders/>
            <w:vAlign w:val="bottom"/>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Giphy retention compensation expense - non-recurring</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0"/>
              <w:jc w:val="right"/>
              <w:rPr/>
            </w:pPr>
            <w:r>
              <w:rPr/>
              <w:t>—</w:t>
            </w:r>
          </w:p>
        </w:tc>
        <w:tc>
          <w:tcPr>
            <w:tcW w:w="10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649</w:t>
            </w:r>
          </w:p>
        </w:tc>
        <w:tc>
          <w:tcPr>
            <w:tcW w:w="9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1,005</w:t>
            </w:r>
          </w:p>
        </w:tc>
        <w:tc>
          <w:tcPr>
            <w:tcW w:w="103" w:type="dxa"/>
            <w:tcBorders/>
            <w:vAlign w:val="bottom"/>
          </w:tcPr>
          <w:p>
            <w:pPr>
              <w:pStyle w:val="TableContents"/>
              <w:bidi w:val="0"/>
              <w:spacing w:before="0" w:after="283"/>
              <w:jc w:val="left"/>
              <w:rPr/>
            </w:pPr>
            <w:r>
              <w:rPr/>
              <w:t> </w:t>
            </w:r>
          </w:p>
        </w:tc>
      </w:tr>
      <w:tr>
        <w:trPr/>
        <w:tc>
          <w:tcPr>
            <w:tcW w:w="5235" w:type="dxa"/>
            <w:tcBorders/>
            <w:shd w:fill="CCEEFF" w:val="clear"/>
            <w:vAlign w:val="bottom"/>
          </w:tcPr>
          <w:p>
            <w:pPr>
              <w:pStyle w:val="TableContents"/>
              <w:bidi w:val="0"/>
              <w:spacing w:lineRule="auto" w:line="240" w:before="0" w:after="0"/>
              <w:ind w:left="225" w:right="0" w:hanging="0"/>
              <w:jc w:val="left"/>
              <w:rPr>
                <w:rFonts w:ascii="Times New Roman" w:hAnsi="Times New Roman"/>
                <w:sz w:val="20"/>
              </w:rPr>
            </w:pPr>
            <w:r>
              <w:rPr>
                <w:rFonts w:ascii="Times New Roman" w:hAnsi="Times New Roman"/>
                <w:sz w:val="20"/>
              </w:rPr>
              <w:t>Tax effect of Giphy retention compensation expense - non-recurring(1)</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0"/>
              <w:jc w:val="right"/>
              <w:rPr/>
            </w:pPr>
            <w:r>
              <w:rPr/>
              <w:t>—</w:t>
            </w:r>
          </w:p>
        </w:tc>
        <w:tc>
          <w:tcPr>
            <w:tcW w:w="10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(153</w:t>
            </w:r>
          </w:p>
        </w:tc>
        <w:tc>
          <w:tcPr>
            <w:tcW w:w="9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(236</w:t>
            </w:r>
          </w:p>
        </w:tc>
        <w:tc>
          <w:tcPr>
            <w:tcW w:w="1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235" w:type="dxa"/>
            <w:tcBorders/>
            <w:vAlign w:val="bottom"/>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Merger related costs</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3,680</w:t>
            </w:r>
          </w:p>
        </w:tc>
        <w:tc>
          <w:tcPr>
            <w:tcW w:w="10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8,710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6,535</w:t>
            </w:r>
          </w:p>
        </w:tc>
        <w:tc>
          <w:tcPr>
            <w:tcW w:w="9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20,571</w:t>
            </w:r>
          </w:p>
        </w:tc>
        <w:tc>
          <w:tcPr>
            <w:tcW w:w="103" w:type="dxa"/>
            <w:tcBorders/>
            <w:vAlign w:val="bottom"/>
          </w:tcPr>
          <w:p>
            <w:pPr>
              <w:pStyle w:val="TableContents"/>
              <w:bidi w:val="0"/>
              <w:spacing w:before="0" w:after="283"/>
              <w:jc w:val="left"/>
              <w:rPr/>
            </w:pPr>
            <w:r>
              <w:rPr/>
              <w:t> </w:t>
            </w:r>
          </w:p>
        </w:tc>
      </w:tr>
      <w:tr>
        <w:trPr/>
        <w:tc>
          <w:tcPr>
            <w:tcW w:w="5235" w:type="dxa"/>
            <w:tcBorders/>
            <w:shd w:fill="CCEEFF" w:val="clear"/>
            <w:vAlign w:val="bottom"/>
          </w:tcPr>
          <w:p>
            <w:pPr>
              <w:pStyle w:val="TableContents"/>
              <w:bidi w:val="0"/>
              <w:spacing w:lineRule="auto" w:line="240" w:before="0" w:after="0"/>
              <w:ind w:left="225" w:right="0" w:hanging="0"/>
              <w:jc w:val="left"/>
              <w:rPr>
                <w:rFonts w:ascii="Times New Roman" w:hAnsi="Times New Roman"/>
                <w:sz w:val="20"/>
              </w:rPr>
            </w:pPr>
            <w:r>
              <w:rPr>
                <w:rFonts w:ascii="Times New Roman" w:hAnsi="Times New Roman"/>
                <w:sz w:val="20"/>
              </w:rPr>
              <w:t>Tax effect of merger related costs(1)</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(828</w:t>
            </w:r>
          </w:p>
        </w:tc>
        <w:tc>
          <w:tcPr>
            <w:tcW w:w="1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(1,960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(1,470</w:t>
            </w:r>
          </w:p>
        </w:tc>
        <w:tc>
          <w:tcPr>
            <w:tcW w:w="9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(4,629</w:t>
            </w:r>
          </w:p>
        </w:tc>
        <w:tc>
          <w:tcPr>
            <w:tcW w:w="1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235" w:type="dxa"/>
            <w:tcBorders/>
            <w:vAlign w:val="bottom"/>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Legal contingency</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5,000</w:t>
            </w:r>
          </w:p>
        </w:tc>
        <w:tc>
          <w:tcPr>
            <w:tcW w:w="10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33,000</w:t>
            </w:r>
          </w:p>
        </w:tc>
        <w:tc>
          <w:tcPr>
            <w:tcW w:w="9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pPr>
            <w:r>
              <w:rPr/>
              <w:t>—</w:t>
            </w:r>
          </w:p>
        </w:tc>
        <w:tc>
          <w:tcPr>
            <w:tcW w:w="103" w:type="dxa"/>
            <w:tcBorders/>
            <w:vAlign w:val="bottom"/>
          </w:tcPr>
          <w:p>
            <w:pPr>
              <w:pStyle w:val="TableContents"/>
              <w:bidi w:val="0"/>
              <w:spacing w:before="0" w:after="283"/>
              <w:jc w:val="left"/>
              <w:rPr/>
            </w:pPr>
            <w:r>
              <w:rPr/>
              <w:t> </w:t>
            </w:r>
          </w:p>
        </w:tc>
      </w:tr>
      <w:tr>
        <w:trPr/>
        <w:tc>
          <w:tcPr>
            <w:tcW w:w="5235" w:type="dxa"/>
            <w:tcBorders/>
            <w:shd w:fill="CCEEFF" w:val="clear"/>
            <w:vAlign w:val="bottom"/>
          </w:tcPr>
          <w:p>
            <w:pPr>
              <w:pStyle w:val="TableContents"/>
              <w:bidi w:val="0"/>
              <w:spacing w:lineRule="auto" w:line="240" w:before="0" w:after="0"/>
              <w:ind w:left="225" w:right="0" w:hanging="0"/>
              <w:jc w:val="left"/>
              <w:rPr>
                <w:rFonts w:ascii="Times New Roman" w:hAnsi="Times New Roman"/>
                <w:sz w:val="20"/>
              </w:rPr>
            </w:pPr>
            <w:r>
              <w:rPr>
                <w:rFonts w:ascii="Times New Roman" w:hAnsi="Times New Roman"/>
                <w:sz w:val="20"/>
              </w:rPr>
              <w:t>Tax effect of legal contingency(1)</w:t>
            </w:r>
          </w:p>
        </w:tc>
        <w:tc>
          <w:tcPr>
            <w:tcW w:w="60" w:type="dxa"/>
            <w:tcBorders/>
            <w:shd w:fill="CCEEFF" w:val="clear"/>
            <w:vAlign w:val="bottom"/>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(7,425</w:t>
            </w:r>
          </w:p>
        </w:tc>
        <w:tc>
          <w:tcPr>
            <w:tcW w:w="1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(7,425</w:t>
            </w:r>
          </w:p>
        </w:tc>
        <w:tc>
          <w:tcPr>
            <w:tcW w:w="9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03" w:type="dxa"/>
            <w:tcBorders/>
            <w:shd w:fill="CCEEFF" w:val="clear"/>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net income</w:t>
            </w:r>
          </w:p>
        </w:tc>
        <w:tc>
          <w:tcPr>
            <w:tcW w:w="60" w:type="dxa"/>
            <w:tcBorders/>
            <w:vAlign w:val="bottom"/>
          </w:tcPr>
          <w:p>
            <w:pPr>
              <w:pStyle w:val="TableContents"/>
              <w:bidi w:val="0"/>
              <w:spacing w:before="0" w:after="283"/>
              <w:jc w:val="left"/>
              <w:rPr/>
            </w:pPr>
            <w:r>
              <w:rPr/>
              <w:t> </w:t>
            </w:r>
          </w:p>
        </w:tc>
        <w:tc>
          <w:tcPr>
            <w:tcW w:w="169"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30,020</w:t>
            </w:r>
          </w:p>
        </w:tc>
        <w:tc>
          <w:tcPr>
            <w:tcW w:w="10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9"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42,872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50,750</w:t>
            </w:r>
          </w:p>
        </w:tc>
        <w:tc>
          <w:tcPr>
            <w:tcW w:w="9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79,164</w:t>
            </w:r>
          </w:p>
        </w:tc>
        <w:tc>
          <w:tcPr>
            <w:tcW w:w="103" w:type="dxa"/>
            <w:tcBorders/>
            <w:vAlign w:val="bottom"/>
          </w:tcPr>
          <w:p>
            <w:pPr>
              <w:pStyle w:val="TableContents"/>
              <w:bidi w:val="0"/>
              <w:spacing w:before="0" w:after="283"/>
              <w:jc w:val="left"/>
              <w:rPr/>
            </w:pPr>
            <w:r>
              <w:rPr/>
              <w:t> </w:t>
            </w:r>
          </w:p>
        </w:tc>
      </w:tr>
      <w:tr>
        <w:trPr/>
        <w:tc>
          <w:tcPr>
            <w:tcW w:w="52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 / income per diluted common share</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(4.25</w:t>
            </w:r>
          </w:p>
        </w:tc>
        <w:tc>
          <w:tcPr>
            <w:tcW w:w="1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(5.63</w:t>
            </w:r>
          </w:p>
        </w:tc>
        <w:tc>
          <w:tcPr>
            <w:tcW w:w="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1.35</w:t>
            </w:r>
          </w:p>
        </w:tc>
        <w:tc>
          <w:tcPr>
            <w:tcW w:w="103" w:type="dxa"/>
            <w:tcBorders/>
            <w:vAlign w:val="bottom"/>
          </w:tcPr>
          <w:p>
            <w:pPr>
              <w:pStyle w:val="TableContents"/>
              <w:bidi w:val="0"/>
              <w:spacing w:before="0" w:after="283"/>
              <w:jc w:val="left"/>
              <w:rPr/>
            </w:pPr>
            <w:r>
              <w:rPr/>
              <w:t> </w:t>
            </w:r>
          </w:p>
        </w:tc>
      </w:tr>
      <w:tr>
        <w:trPr/>
        <w:tc>
          <w:tcPr>
            <w:tcW w:w="52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net income per diluted common share</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0.82</w:t>
            </w:r>
          </w:p>
        </w:tc>
        <w:tc>
          <w:tcPr>
            <w:tcW w:w="10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1.40</w:t>
            </w:r>
          </w:p>
        </w:tc>
        <w:tc>
          <w:tcPr>
            <w:tcW w:w="9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2.22</w:t>
            </w:r>
          </w:p>
        </w:tc>
        <w:tc>
          <w:tcPr>
            <w:tcW w:w="103" w:type="dxa"/>
            <w:tcBorders/>
            <w:shd w:fill="CCEEFF" w:val="clear"/>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r>
      <w:tr>
        <w:trPr/>
        <w:tc>
          <w:tcPr>
            <w:tcW w:w="52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diluted shares</w:t>
            </w:r>
          </w:p>
        </w:tc>
        <w:tc>
          <w:tcPr>
            <w:tcW w:w="60" w:type="dxa"/>
            <w:tcBorders/>
            <w:shd w:fill="CCEEFF" w:val="clear"/>
            <w:vAlign w:val="bottom"/>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36,703</w:t>
            </w:r>
          </w:p>
        </w:tc>
        <w:tc>
          <w:tcPr>
            <w:tcW w:w="10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35,958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36,126</w:t>
            </w:r>
          </w:p>
        </w:tc>
        <w:tc>
          <w:tcPr>
            <w:tcW w:w="9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35,642</w:t>
            </w:r>
          </w:p>
        </w:tc>
        <w:tc>
          <w:tcPr>
            <w:tcW w:w="10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_____________________________________________________</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1" w:name="zfebe826c219b40c4bbbce873d838767b"/>
      <w:bookmarkStart w:id="32" w:name="zfebe826c219b40c4bbbce873d838767b"/>
      <w:bookmarkEnd w:id="32"/>
    </w:p>
    <w:tbl>
      <w:tblPr>
        <w:tblW w:w="6153" w:type="dxa"/>
        <w:jc w:val="left"/>
        <w:tblInd w:w="0" w:type="dxa"/>
        <w:tblLayout w:type="fixed"/>
        <w:tblCellMar>
          <w:top w:w="0" w:type="dxa"/>
          <w:left w:w="0" w:type="dxa"/>
          <w:bottom w:w="0" w:type="dxa"/>
          <w:right w:w="0" w:type="dxa"/>
        </w:tblCellMar>
      </w:tblPr>
      <w:tblGrid>
        <w:gridCol w:w="38"/>
        <w:gridCol w:w="245"/>
        <w:gridCol w:w="587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Statutory tax rates are used to calculate the tax effect of the adjustments.</w:t>
            </w:r>
          </w:p>
        </w:tc>
      </w:tr>
    </w:tbl>
    <w:p>
      <w:pPr>
        <w:pStyle w:val="Normal"/>
        <w:bidi w:val="0"/>
        <w:spacing w:before="0" w:after="0"/>
        <w:jc w:val="left"/>
        <w:rPr>
          <w:sz w:val="4"/>
          <w:szCs w:val="4"/>
        </w:rPr>
      </w:pPr>
      <w:r>
        <w:rPr>
          <w:sz w:val="4"/>
          <w:szCs w:val="4"/>
        </w:rPr>
      </w:r>
      <w:bookmarkStart w:id="33" w:name="z5b16760ea18845b590cd740d6ed5bac0"/>
      <w:bookmarkStart w:id="34" w:name="z5b16760ea18845b590cd740d6ed5bac0"/>
      <w:bookmarkEnd w:id="34"/>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pPr>
            <w:r>
              <w:rPr/>
            </w:r>
          </w:p>
        </w:tc>
        <w:tc>
          <w:tcPr>
            <w:tcW w:w="20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Of these amounts, </w:t>
            </w:r>
            <w:r>
              <w:rPr>
                <w:rFonts w:ascii="Times New Roman" w:hAnsi="Times New Roman"/>
                <w:color w:val="000000"/>
                <w:sz w:val="20"/>
              </w:rPr>
              <w:t>$8.9 million</w:t>
            </w:r>
            <w:r>
              <w:rPr>
                <w:rFonts w:ascii="Times New Roman" w:hAnsi="Times New Roman"/>
                <w:sz w:val="20"/>
              </w:rPr>
              <w:t xml:space="preserve"> and </w:t>
            </w:r>
            <w:r>
              <w:rPr>
                <w:rFonts w:ascii="Times New Roman" w:hAnsi="Times New Roman"/>
                <w:color w:val="000000"/>
                <w:sz w:val="20"/>
              </w:rPr>
              <w:t>$8.9 million</w:t>
            </w:r>
            <w:r>
              <w:rPr>
                <w:rFonts w:ascii="Times New Roman" w:hAnsi="Times New Roman"/>
                <w:sz w:val="20"/>
              </w:rPr>
              <w:t xml:space="preserve"> are included in cost of revenue for the three months ended </w:t>
            </w:r>
            <w:r>
              <w:rPr>
                <w:rFonts w:ascii="Times New Roman" w:hAnsi="Times New Roman"/>
                <w:color w:val="000000"/>
                <w:sz w:val="20"/>
              </w:rPr>
              <w:t>June 30, 2026</w:t>
            </w:r>
            <w:r>
              <w:rPr>
                <w:rFonts w:ascii="Times New Roman" w:hAnsi="Times New Roman"/>
                <w:sz w:val="20"/>
              </w:rPr>
              <w:t xml:space="preserve"> and </w:t>
            </w:r>
            <w:r>
              <w:rPr>
                <w:rFonts w:ascii="Times New Roman" w:hAnsi="Times New Roman"/>
                <w:color w:val="000000"/>
                <w:sz w:val="20"/>
              </w:rPr>
              <w:t>2025</w:t>
            </w:r>
            <w:r>
              <w:rPr>
                <w:rFonts w:ascii="Times New Roman" w:hAnsi="Times New Roman"/>
                <w:sz w:val="20"/>
              </w:rPr>
              <w:t>, respectively. The remainder of acquisition-related amortization expense is included in general and administrative expense in the Statement of Operations.</w:t>
            </w:r>
          </w:p>
        </w:tc>
      </w:tr>
    </w:tbl>
    <w:p>
      <w:pPr>
        <w:pStyle w:val="TextBody"/>
        <w:bidi w:val="0"/>
        <w:spacing w:before="0" w:after="0"/>
        <w:jc w:val="left"/>
        <w:rPr/>
      </w:pPr>
      <w:r>
        <w:rPr/>
      </w:r>
    </w:p>
    <w:p>
      <w:pPr>
        <w:pStyle w:val="TextBody"/>
        <w:bidi w:val="0"/>
        <w:spacing w:before="200" w:after="20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5" w:name="zc1f2f5925efb4ef0ac4badd9758acb41"/>
      <w:bookmarkStart w:id="36" w:name="zc1f2f5925efb4ef0ac4badd9758acb41"/>
      <w:bookmarkEnd w:id="36"/>
    </w:p>
    <w:tbl>
      <w:tblPr>
        <w:tblW w:w="9816" w:type="dxa"/>
        <w:jc w:val="left"/>
        <w:tblInd w:w="0" w:type="dxa"/>
        <w:tblLayout w:type="fixed"/>
        <w:tblCellMar>
          <w:top w:w="0" w:type="dxa"/>
          <w:left w:w="0" w:type="dxa"/>
          <w:bottom w:w="0" w:type="dxa"/>
          <w:right w:w="0" w:type="dxa"/>
        </w:tblCellMar>
      </w:tblPr>
      <w:tblGrid>
        <w:gridCol w:w="4475"/>
        <w:gridCol w:w="60"/>
        <w:gridCol w:w="158"/>
        <w:gridCol w:w="956"/>
        <w:gridCol w:w="310"/>
        <w:gridCol w:w="76"/>
        <w:gridCol w:w="158"/>
        <w:gridCol w:w="880"/>
        <w:gridCol w:w="185"/>
        <w:gridCol w:w="60"/>
        <w:gridCol w:w="143"/>
        <w:gridCol w:w="866"/>
        <w:gridCol w:w="281"/>
        <w:gridCol w:w="68"/>
        <w:gridCol w:w="143"/>
        <w:gridCol w:w="797"/>
        <w:gridCol w:w="200"/>
      </w:tblGrid>
      <w:tr>
        <w:trPr/>
        <w:tc>
          <w:tcPr>
            <w:tcW w:w="447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53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Three Months Ended June 30,</w:t>
            </w:r>
          </w:p>
        </w:tc>
        <w:tc>
          <w:tcPr>
            <w:tcW w:w="18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29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Six Months Ended June 30,</w:t>
            </w:r>
          </w:p>
        </w:tc>
        <w:tc>
          <w:tcPr>
            <w:tcW w:w="20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47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2026</w:t>
            </w:r>
          </w:p>
        </w:tc>
        <w:tc>
          <w:tcPr>
            <w:tcW w:w="31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6"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03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2025</w:t>
            </w:r>
          </w:p>
        </w:tc>
        <w:tc>
          <w:tcPr>
            <w:tcW w:w="18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2026</w:t>
            </w:r>
          </w:p>
        </w:tc>
        <w:tc>
          <w:tcPr>
            <w:tcW w:w="281"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2025</w:t>
            </w:r>
          </w:p>
        </w:tc>
        <w:tc>
          <w:tcPr>
            <w:tcW w:w="20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47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 income</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(155,939</w:t>
            </w:r>
          </w:p>
        </w:tc>
        <w:tc>
          <w:tcPr>
            <w:tcW w:w="31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0"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29,440</w:t>
            </w:r>
          </w:p>
        </w:tc>
        <w:tc>
          <w:tcPr>
            <w:tcW w:w="18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(203,508</w:t>
            </w:r>
          </w:p>
        </w:tc>
        <w:tc>
          <w:tcPr>
            <w:tcW w:w="281"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48,128</w:t>
            </w:r>
          </w:p>
        </w:tc>
        <w:tc>
          <w:tcPr>
            <w:tcW w:w="20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475" w:type="dxa"/>
            <w:tcBorders/>
            <w:vAlign w:val="bottom"/>
          </w:tcPr>
          <w:p>
            <w:pPr>
              <w:pStyle w:val="TableContents"/>
              <w:bidi w:val="0"/>
              <w:spacing w:before="0" w:after="0"/>
              <w:ind w:left="135"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 / (less) Non-GAAP adjustments:</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56"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31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6"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8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8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6"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81"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97"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0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475" w:type="dxa"/>
            <w:tcBorders/>
            <w:shd w:fill="CCEEFF" w:val="clear"/>
            <w:vAlign w:val="bottom"/>
          </w:tcPr>
          <w:p>
            <w:pPr>
              <w:pStyle w:val="TableContents"/>
              <w:bidi w:val="0"/>
              <w:spacing w:before="0" w:after="0"/>
              <w:ind w:left="225"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expense</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5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3,833</w:t>
            </w:r>
          </w:p>
        </w:tc>
        <w:tc>
          <w:tcPr>
            <w:tcW w:w="31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6"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80"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4,224</w:t>
            </w:r>
          </w:p>
        </w:tc>
        <w:tc>
          <w:tcPr>
            <w:tcW w:w="18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7,593</w:t>
            </w:r>
          </w:p>
        </w:tc>
        <w:tc>
          <w:tcPr>
            <w:tcW w:w="281"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9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8,522</w:t>
            </w:r>
          </w:p>
        </w:tc>
        <w:tc>
          <w:tcPr>
            <w:tcW w:w="20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475" w:type="dxa"/>
            <w:tcBorders/>
            <w:vAlign w:val="bottom"/>
          </w:tcPr>
          <w:p>
            <w:pPr>
              <w:pStyle w:val="TableContents"/>
              <w:bidi w:val="0"/>
              <w:spacing w:before="0" w:after="0"/>
              <w:ind w:left="225"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56"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(479</w:t>
            </w:r>
          </w:p>
        </w:tc>
        <w:tc>
          <w:tcPr>
            <w:tcW w:w="310"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80"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(1,077</w:t>
            </w:r>
          </w:p>
        </w:tc>
        <w:tc>
          <w:tcPr>
            <w:tcW w:w="185"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6"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(1,280</w:t>
            </w:r>
          </w:p>
        </w:tc>
        <w:tc>
          <w:tcPr>
            <w:tcW w:w="281"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97"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(2,012</w:t>
            </w:r>
          </w:p>
        </w:tc>
        <w:tc>
          <w:tcPr>
            <w:tcW w:w="200"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75" w:type="dxa"/>
            <w:tcBorders/>
            <w:shd w:fill="CCEEFF" w:val="clear"/>
            <w:vAlign w:val="bottom"/>
          </w:tcPr>
          <w:p>
            <w:pPr>
              <w:pStyle w:val="TableContents"/>
              <w:bidi w:val="0"/>
              <w:spacing w:before="0" w:after="0"/>
              <w:ind w:left="225"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Provision for income taxes</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5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(4,992</w:t>
            </w:r>
          </w:p>
        </w:tc>
        <w:tc>
          <w:tcPr>
            <w:tcW w:w="31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80"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13,691</w:t>
            </w:r>
          </w:p>
        </w:tc>
        <w:tc>
          <w:tcPr>
            <w:tcW w:w="18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(6,798</w:t>
            </w:r>
          </w:p>
        </w:tc>
        <w:tc>
          <w:tcPr>
            <w:tcW w:w="281"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9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15,421</w:t>
            </w:r>
          </w:p>
        </w:tc>
        <w:tc>
          <w:tcPr>
            <w:tcW w:w="20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475" w:type="dxa"/>
            <w:tcBorders/>
            <w:vAlign w:val="bottom"/>
          </w:tcPr>
          <w:p>
            <w:pPr>
              <w:pStyle w:val="TableContents"/>
              <w:bidi w:val="0"/>
              <w:spacing w:before="0" w:after="0"/>
              <w:ind w:left="225"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Depreciation and amortization</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bottom w:val="single" w:sz="12" w:space="0" w:color="000000"/>
            </w:tcBorders>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22,416</w:t>
            </w:r>
          </w:p>
        </w:tc>
        <w:tc>
          <w:tcPr>
            <w:tcW w:w="31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6"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bottom w:val="single" w:sz="12" w:space="0" w:color="000000"/>
            </w:tcBorders>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22,611</w:t>
            </w:r>
          </w:p>
        </w:tc>
        <w:tc>
          <w:tcPr>
            <w:tcW w:w="18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bottom w:val="single" w:sz="12" w:space="0" w:color="000000"/>
            </w:tcBorders>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45,120</w:t>
            </w:r>
          </w:p>
        </w:tc>
        <w:tc>
          <w:tcPr>
            <w:tcW w:w="281"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bottom w:val="single" w:sz="12" w:space="0" w:color="000000"/>
            </w:tcBorders>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45,282</w:t>
            </w:r>
          </w:p>
        </w:tc>
        <w:tc>
          <w:tcPr>
            <w:tcW w:w="20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475" w:type="dxa"/>
            <w:tcBorders/>
            <w:shd w:fill="CCEEFF" w:val="clear"/>
            <w:vAlign w:val="bottom"/>
          </w:tcPr>
          <w:p>
            <w:pPr>
              <w:pStyle w:val="TableContents"/>
              <w:bidi w:val="0"/>
              <w:spacing w:before="0" w:after="0"/>
              <w:ind w:left="225"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EBITDA</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(135,161</w:t>
            </w:r>
          </w:p>
        </w:tc>
        <w:tc>
          <w:tcPr>
            <w:tcW w:w="31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0"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68,889</w:t>
            </w:r>
          </w:p>
        </w:tc>
        <w:tc>
          <w:tcPr>
            <w:tcW w:w="18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(158,873</w:t>
            </w:r>
          </w:p>
        </w:tc>
        <w:tc>
          <w:tcPr>
            <w:tcW w:w="281"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115,341</w:t>
            </w:r>
          </w:p>
        </w:tc>
        <w:tc>
          <w:tcPr>
            <w:tcW w:w="20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47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56"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31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6"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8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8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6"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81"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97"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0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475" w:type="dxa"/>
            <w:tcBorders/>
            <w:shd w:fill="CCEEFF" w:val="clear"/>
            <w:vAlign w:val="bottom"/>
          </w:tcPr>
          <w:p>
            <w:pPr>
              <w:pStyle w:val="TableContents"/>
              <w:bidi w:val="0"/>
              <w:spacing w:before="0" w:after="0"/>
              <w:ind w:left="225"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Non-cash equity-based compensation</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5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12,536</w:t>
            </w:r>
          </w:p>
        </w:tc>
        <w:tc>
          <w:tcPr>
            <w:tcW w:w="31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6"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80"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15,625</w:t>
            </w:r>
          </w:p>
        </w:tc>
        <w:tc>
          <w:tcPr>
            <w:tcW w:w="18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25,908</w:t>
            </w:r>
          </w:p>
        </w:tc>
        <w:tc>
          <w:tcPr>
            <w:tcW w:w="281"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9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33,509</w:t>
            </w:r>
          </w:p>
        </w:tc>
        <w:tc>
          <w:tcPr>
            <w:tcW w:w="20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475" w:type="dxa"/>
            <w:tcBorders/>
            <w:vAlign w:val="bottom"/>
          </w:tcPr>
          <w:p>
            <w:pPr>
              <w:pStyle w:val="TableContents"/>
              <w:bidi w:val="0"/>
              <w:spacing w:before="0" w:after="0"/>
              <w:ind w:left="225"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Giphy retention compensation expense - non-recurring</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56"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31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6"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80"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438</w:t>
            </w:r>
          </w:p>
        </w:tc>
        <w:tc>
          <w:tcPr>
            <w:tcW w:w="18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6"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649</w:t>
            </w:r>
          </w:p>
        </w:tc>
        <w:tc>
          <w:tcPr>
            <w:tcW w:w="281"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97"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1,005</w:t>
            </w:r>
          </w:p>
        </w:tc>
        <w:tc>
          <w:tcPr>
            <w:tcW w:w="20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475" w:type="dxa"/>
            <w:tcBorders/>
            <w:shd w:fill="CCEEFF" w:val="clear"/>
            <w:vAlign w:val="bottom"/>
          </w:tcPr>
          <w:p>
            <w:pPr>
              <w:pStyle w:val="TableContents"/>
              <w:bidi w:val="0"/>
              <w:spacing w:before="0" w:after="0"/>
              <w:ind w:left="225"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Merger related costs</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5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3,680</w:t>
            </w:r>
          </w:p>
        </w:tc>
        <w:tc>
          <w:tcPr>
            <w:tcW w:w="31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6"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80"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8,710</w:t>
            </w:r>
          </w:p>
        </w:tc>
        <w:tc>
          <w:tcPr>
            <w:tcW w:w="18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6,535</w:t>
            </w:r>
          </w:p>
        </w:tc>
        <w:tc>
          <w:tcPr>
            <w:tcW w:w="281"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9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20,571</w:t>
            </w:r>
          </w:p>
        </w:tc>
        <w:tc>
          <w:tcPr>
            <w:tcW w:w="20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475" w:type="dxa"/>
            <w:tcBorders/>
            <w:vAlign w:val="bottom"/>
          </w:tcPr>
          <w:p>
            <w:pPr>
              <w:pStyle w:val="TableContents"/>
              <w:bidi w:val="0"/>
              <w:spacing w:before="0" w:after="0"/>
              <w:ind w:left="225"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 currency loss / (gain)</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56"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(622</w:t>
            </w:r>
          </w:p>
        </w:tc>
        <w:tc>
          <w:tcPr>
            <w:tcW w:w="310"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80"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1,482</w:t>
            </w:r>
          </w:p>
        </w:tc>
        <w:tc>
          <w:tcPr>
            <w:tcW w:w="18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6"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(465</w:t>
            </w:r>
          </w:p>
        </w:tc>
        <w:tc>
          <w:tcPr>
            <w:tcW w:w="281"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97"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1,162</w:t>
            </w:r>
          </w:p>
        </w:tc>
        <w:tc>
          <w:tcPr>
            <w:tcW w:w="20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475" w:type="dxa"/>
            <w:tcBorders/>
            <w:shd w:fill="CCEEFF" w:val="clear"/>
            <w:vAlign w:val="bottom"/>
          </w:tcPr>
          <w:p>
            <w:pPr>
              <w:pStyle w:val="TableContents"/>
              <w:bidi w:val="0"/>
              <w:spacing w:before="0" w:after="0"/>
              <w:ind w:left="225"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Unrealized loss / (gain) on investment</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5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2,963</w:t>
            </w:r>
          </w:p>
        </w:tc>
        <w:tc>
          <w:tcPr>
            <w:tcW w:w="31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6"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80"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(13,029</w:t>
            </w:r>
          </w:p>
        </w:tc>
        <w:tc>
          <w:tcPr>
            <w:tcW w:w="18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18,268</w:t>
            </w:r>
          </w:p>
        </w:tc>
        <w:tc>
          <w:tcPr>
            <w:tcW w:w="281"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9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(26,289</w:t>
            </w:r>
          </w:p>
        </w:tc>
        <w:tc>
          <w:tcPr>
            <w:tcW w:w="20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75" w:type="dxa"/>
            <w:tcBorders/>
            <w:vAlign w:val="bottom"/>
          </w:tcPr>
          <w:p>
            <w:pPr>
              <w:pStyle w:val="TableContents"/>
              <w:bidi w:val="0"/>
              <w:spacing w:before="0" w:after="0"/>
              <w:ind w:left="225"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Legal contingencies</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56"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5,000</w:t>
            </w:r>
          </w:p>
        </w:tc>
        <w:tc>
          <w:tcPr>
            <w:tcW w:w="31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6"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8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18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6"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33,000</w:t>
            </w:r>
          </w:p>
        </w:tc>
        <w:tc>
          <w:tcPr>
            <w:tcW w:w="281"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97"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20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475" w:type="dxa"/>
            <w:tcBorders/>
            <w:shd w:fill="CCEEFF" w:val="clear"/>
            <w:vAlign w:val="bottom"/>
          </w:tcPr>
          <w:p>
            <w:pPr>
              <w:pStyle w:val="TableContents"/>
              <w:bidi w:val="0"/>
              <w:spacing w:before="0" w:after="0"/>
              <w:ind w:left="225"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Workforce optimization - severance</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5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2,963</w:t>
            </w:r>
          </w:p>
        </w:tc>
        <w:tc>
          <w:tcPr>
            <w:tcW w:w="31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6"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80"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121</w:t>
            </w:r>
          </w:p>
        </w:tc>
        <w:tc>
          <w:tcPr>
            <w:tcW w:w="18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9,043</w:t>
            </w:r>
          </w:p>
        </w:tc>
        <w:tc>
          <w:tcPr>
            <w:tcW w:w="281"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9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301</w:t>
            </w:r>
          </w:p>
        </w:tc>
        <w:tc>
          <w:tcPr>
            <w:tcW w:w="20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475" w:type="dxa"/>
            <w:tcBorders/>
            <w:vAlign w:val="bottom"/>
          </w:tcPr>
          <w:p>
            <w:pPr>
              <w:pStyle w:val="TableContents"/>
              <w:bidi w:val="0"/>
              <w:spacing w:before="0" w:after="0"/>
              <w:ind w:left="225"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Goodwill impairment</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bottom w:val="single" w:sz="12" w:space="0" w:color="000000"/>
            </w:tcBorders>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173,738</w:t>
            </w:r>
          </w:p>
        </w:tc>
        <w:tc>
          <w:tcPr>
            <w:tcW w:w="31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6"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bottom w:val="single" w:sz="12" w:space="0" w:color="000000"/>
            </w:tcBorders>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80" w:type="dxa"/>
            <w:tcBorders>
              <w:bottom w:val="single" w:sz="12" w:space="0" w:color="000000"/>
            </w:tcBorders>
            <w:tcMar>
              <w:bottom w:w="28" w:type="dxa"/>
            </w:tcM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18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bottom w:val="single" w:sz="12" w:space="0" w:color="000000"/>
            </w:tcBorders>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173,738</w:t>
            </w:r>
          </w:p>
        </w:tc>
        <w:tc>
          <w:tcPr>
            <w:tcW w:w="281"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bottom w:val="single" w:sz="12" w:space="0" w:color="000000"/>
            </w:tcBorders>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97" w:type="dxa"/>
            <w:tcBorders>
              <w:bottom w:val="single" w:sz="12" w:space="0" w:color="000000"/>
            </w:tcBorders>
            <w:tcMar>
              <w:bottom w:w="28" w:type="dxa"/>
            </w:tcM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20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47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Adjusted EBITDA</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65,097</w:t>
            </w:r>
          </w:p>
        </w:tc>
        <w:tc>
          <w:tcPr>
            <w:tcW w:w="31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6"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82,236</w:t>
            </w:r>
          </w:p>
        </w:tc>
        <w:tc>
          <w:tcPr>
            <w:tcW w:w="18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107,803</w:t>
            </w:r>
          </w:p>
        </w:tc>
        <w:tc>
          <w:tcPr>
            <w:tcW w:w="281"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145,600</w:t>
            </w:r>
          </w:p>
        </w:tc>
        <w:tc>
          <w:tcPr>
            <w:tcW w:w="20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47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56"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31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6"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8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8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6"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81"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97"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0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47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Revenue</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221,801</w:t>
            </w:r>
          </w:p>
        </w:tc>
        <w:tc>
          <w:tcPr>
            <w:tcW w:w="31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6"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0"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266,990</w:t>
            </w:r>
          </w:p>
        </w:tc>
        <w:tc>
          <w:tcPr>
            <w:tcW w:w="18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420,971</w:t>
            </w:r>
          </w:p>
        </w:tc>
        <w:tc>
          <w:tcPr>
            <w:tcW w:w="281"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509,610</w:t>
            </w:r>
          </w:p>
        </w:tc>
        <w:tc>
          <w:tcPr>
            <w:tcW w:w="20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475"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 income margin</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56"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(70.3</w:t>
            </w:r>
          </w:p>
        </w:tc>
        <w:tc>
          <w:tcPr>
            <w:tcW w:w="310"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80"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w:t>
            </w:r>
          </w:p>
        </w:tc>
        <w:tc>
          <w:tcPr>
            <w:tcW w:w="185"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6"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(48.3</w:t>
            </w:r>
          </w:p>
        </w:tc>
        <w:tc>
          <w:tcPr>
            <w:tcW w:w="281"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97"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w:t>
            </w:r>
          </w:p>
        </w:tc>
        <w:tc>
          <w:tcPr>
            <w:tcW w:w="200"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7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Adjusted EBITDA margin</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5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29.3</w:t>
            </w:r>
          </w:p>
        </w:tc>
        <w:tc>
          <w:tcPr>
            <w:tcW w:w="31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80"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30.8</w:t>
            </w:r>
          </w:p>
        </w:tc>
        <w:tc>
          <w:tcPr>
            <w:tcW w:w="18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25.6</w:t>
            </w:r>
          </w:p>
        </w:tc>
        <w:tc>
          <w:tcPr>
            <w:tcW w:w="281"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43"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9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28.6</w:t>
            </w:r>
          </w:p>
        </w:tc>
        <w:tc>
          <w:tcPr>
            <w:tcW w:w="20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 w:name="z90ed16dcd1d748d8ad7358c87fcb77d2"/>
      <w:bookmarkStart w:id="38" w:name="z90ed16dcd1d748d8ad7358c87fcb77d2"/>
      <w:bookmarkEnd w:id="38"/>
    </w:p>
    <w:tbl>
      <w:tblPr>
        <w:tblW w:w="10205" w:type="dxa"/>
        <w:jc w:val="left"/>
        <w:tblInd w:w="0" w:type="dxa"/>
        <w:tblLayout w:type="fixed"/>
        <w:tblCellMar>
          <w:top w:w="0" w:type="dxa"/>
          <w:left w:w="0" w:type="dxa"/>
          <w:bottom w:w="0" w:type="dxa"/>
          <w:right w:w="0" w:type="dxa"/>
        </w:tblCellMar>
      </w:tblPr>
      <w:tblGrid>
        <w:gridCol w:w="5160"/>
        <w:gridCol w:w="60"/>
        <w:gridCol w:w="151"/>
        <w:gridCol w:w="841"/>
        <w:gridCol w:w="296"/>
        <w:gridCol w:w="72"/>
        <w:gridCol w:w="151"/>
        <w:gridCol w:w="841"/>
        <w:gridCol w:w="185"/>
        <w:gridCol w:w="60"/>
        <w:gridCol w:w="140"/>
        <w:gridCol w:w="781"/>
        <w:gridCol w:w="275"/>
        <w:gridCol w:w="66"/>
        <w:gridCol w:w="140"/>
        <w:gridCol w:w="781"/>
        <w:gridCol w:w="205"/>
      </w:tblGrid>
      <w:tr>
        <w:trPr/>
        <w:tc>
          <w:tcPr>
            <w:tcW w:w="5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3"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 June 30,</w:t>
            </w:r>
          </w:p>
        </w:tc>
        <w:tc>
          <w:tcPr>
            <w:tcW w:w="205" w:type="dxa"/>
            <w:tcBorders/>
            <w:vAlign w:val="bottom"/>
          </w:tcPr>
          <w:p>
            <w:pPr>
              <w:pStyle w:val="TableContents"/>
              <w:bidi w:val="0"/>
              <w:spacing w:before="0" w:after="283"/>
              <w:jc w:val="left"/>
              <w:rPr/>
            </w:pPr>
            <w:r>
              <w:rPr/>
              <w:t> </w:t>
            </w:r>
          </w:p>
        </w:tc>
      </w:tr>
      <w:tr>
        <w:trPr/>
        <w:tc>
          <w:tcPr>
            <w:tcW w:w="5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296"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9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2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205" w:type="dxa"/>
            <w:tcBorders/>
            <w:vAlign w:val="bottom"/>
          </w:tcPr>
          <w:p>
            <w:pPr>
              <w:pStyle w:val="TableContents"/>
              <w:bidi w:val="0"/>
              <w:spacing w:before="0" w:after="283"/>
              <w:jc w:val="left"/>
              <w:rPr/>
            </w:pPr>
            <w:r>
              <w:rPr/>
              <w:t> </w:t>
            </w:r>
          </w:p>
        </w:tc>
      </w:tr>
      <w:tr>
        <w:trPr/>
        <w:tc>
          <w:tcPr>
            <w:tcW w:w="51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Reported revenue (in thousands)</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221,801</w:t>
            </w:r>
          </w:p>
        </w:tc>
        <w:tc>
          <w:tcPr>
            <w:tcW w:w="296"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266,990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420,971</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509,610</w:t>
            </w:r>
          </w:p>
        </w:tc>
        <w:tc>
          <w:tcPr>
            <w:tcW w:w="205" w:type="dxa"/>
            <w:tcBorders/>
            <w:shd w:fill="CCEEFF" w:val="clear"/>
            <w:vAlign w:val="bottom"/>
          </w:tcPr>
          <w:p>
            <w:pPr>
              <w:pStyle w:val="TableContents"/>
              <w:bidi w:val="0"/>
              <w:spacing w:before="0" w:after="283"/>
              <w:jc w:val="left"/>
              <w:rPr/>
            </w:pPr>
            <w:r>
              <w:rPr/>
              <w:t> </w:t>
            </w:r>
          </w:p>
        </w:tc>
      </w:tr>
      <w:tr>
        <w:trPr/>
        <w:tc>
          <w:tcPr>
            <w:tcW w:w="5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296"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pPr>
            <w:r>
              <w:rPr/>
              <w:t> </w:t>
            </w:r>
          </w:p>
        </w:tc>
        <w:tc>
          <w:tcPr>
            <w:tcW w:w="205" w:type="dxa"/>
            <w:tcBorders/>
            <w:vAlign w:val="bottom"/>
          </w:tcPr>
          <w:p>
            <w:pPr>
              <w:pStyle w:val="TableContents"/>
              <w:bidi w:val="0"/>
              <w:spacing w:before="0" w:after="283"/>
              <w:jc w:val="left"/>
              <w:rPr/>
            </w:pPr>
            <w:r>
              <w:rPr/>
              <w:t> </w:t>
            </w:r>
          </w:p>
        </w:tc>
      </w:tr>
      <w:tr>
        <w:trPr/>
        <w:tc>
          <w:tcPr>
            <w:tcW w:w="5160" w:type="dxa"/>
            <w:tcBorders/>
            <w:shd w:fill="CCEEFF" w:val="clear"/>
            <w:vAlign w:val="bottom"/>
          </w:tcPr>
          <w:p>
            <w:pPr>
              <w:pStyle w:val="TableContents"/>
              <w:bidi w:val="0"/>
              <w:spacing w:before="0" w:after="0"/>
              <w:jc w:val="left"/>
              <w:rPr>
                <w:rFonts w:ascii="Times New Roman" w:hAnsi="Times New Roman"/>
                <w:i/>
                <w:sz w:val="20"/>
              </w:rPr>
            </w:pPr>
            <w:r>
              <w:rPr>
                <w:rFonts w:ascii="Times New Roman" w:hAnsi="Times New Roman"/>
                <w:i/>
                <w:sz w:val="20"/>
              </w:rPr>
              <w:t>Revenue (decline) /growth</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29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2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2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160"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Revenue (decline) / growth on a constant currency basis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2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2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296"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pPr>
            <w:r>
              <w:rPr/>
              <w:t> </w:t>
            </w:r>
          </w:p>
        </w:tc>
      </w:tr>
      <w:tr>
        <w:trPr/>
        <w:tc>
          <w:tcPr>
            <w:tcW w:w="51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Content reported revenue (in thousands)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165,664</w:t>
            </w:r>
          </w:p>
        </w:tc>
        <w:tc>
          <w:tcPr>
            <w:tcW w:w="296"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199,796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343,790</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402,684</w:t>
            </w:r>
          </w:p>
        </w:tc>
        <w:tc>
          <w:tcPr>
            <w:tcW w:w="205" w:type="dxa"/>
            <w:tcBorders/>
            <w:vAlign w:val="bottom"/>
          </w:tcPr>
          <w:p>
            <w:pPr>
              <w:pStyle w:val="TableContents"/>
              <w:bidi w:val="0"/>
              <w:spacing w:before="0" w:after="283"/>
              <w:jc w:val="left"/>
              <w:rPr/>
            </w:pPr>
            <w:r>
              <w:rPr/>
              <w:t> </w:t>
            </w:r>
          </w:p>
        </w:tc>
      </w:tr>
      <w:tr>
        <w:trPr/>
        <w:tc>
          <w:tcPr>
            <w:tcW w:w="5160" w:type="dxa"/>
            <w:tcBorders/>
            <w:shd w:fill="CCEEFF" w:val="clear"/>
            <w:vAlign w:val="bottom"/>
          </w:tcPr>
          <w:p>
            <w:pPr>
              <w:pStyle w:val="TableContents"/>
              <w:bidi w:val="0"/>
              <w:spacing w:before="0" w:after="0"/>
              <w:jc w:val="left"/>
              <w:rPr>
                <w:rFonts w:ascii="Times New Roman" w:hAnsi="Times New Roman"/>
                <w:i/>
                <w:sz w:val="20"/>
              </w:rPr>
            </w:pPr>
            <w:r>
              <w:rPr>
                <w:rFonts w:ascii="Times New Roman" w:hAnsi="Times New Roman"/>
                <w:i/>
                <w:sz w:val="20"/>
              </w:rPr>
              <w:t>Content revenue (decline) / growth</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29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2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2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160"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Content revenue (decline) / growth on a constant currency basis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2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2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296"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pPr>
            <w:r>
              <w:rPr/>
              <w:t> </w:t>
            </w:r>
          </w:p>
        </w:tc>
      </w:tr>
      <w:tr>
        <w:trPr/>
        <w:tc>
          <w:tcPr>
            <w:tcW w:w="51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Data, Distribution, and Services reported revenue (in thousands)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56,137</w:t>
            </w:r>
          </w:p>
        </w:tc>
        <w:tc>
          <w:tcPr>
            <w:tcW w:w="296"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67,194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77,181</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106,926</w:t>
            </w:r>
          </w:p>
        </w:tc>
        <w:tc>
          <w:tcPr>
            <w:tcW w:w="205" w:type="dxa"/>
            <w:tcBorders/>
            <w:vAlign w:val="bottom"/>
          </w:tcPr>
          <w:p>
            <w:pPr>
              <w:pStyle w:val="TableContents"/>
              <w:bidi w:val="0"/>
              <w:spacing w:before="0" w:after="283"/>
              <w:jc w:val="left"/>
              <w:rPr/>
            </w:pPr>
            <w:r>
              <w:rPr/>
              <w:t> </w:t>
            </w:r>
          </w:p>
        </w:tc>
      </w:tr>
      <w:tr>
        <w:trPr/>
        <w:tc>
          <w:tcPr>
            <w:tcW w:w="51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Data, Distribution, and Services revenue (decline) / growth</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29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w:t>
            </w:r>
          </w:p>
        </w:tc>
        <w:tc>
          <w:tcPr>
            <w:tcW w:w="2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2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1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Data, Distribution, and Services revenue (decline) / growth on a constant currency basis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2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w:t>
            </w:r>
          </w:p>
        </w:tc>
        <w:tc>
          <w:tcPr>
            <w:tcW w:w="2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200" w:after="20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9" w:name="z000d8ad0d7f0464aa1baf0b47e8b6f97"/>
      <w:bookmarkStart w:id="40" w:name="z000d8ad0d7f0464aa1baf0b47e8b6f97"/>
      <w:bookmarkEnd w:id="40"/>
    </w:p>
    <w:tbl>
      <w:tblPr>
        <w:tblW w:w="9753" w:type="dxa"/>
        <w:jc w:val="left"/>
        <w:tblInd w:w="0" w:type="dxa"/>
        <w:tblLayout w:type="fixed"/>
        <w:tblCellMar>
          <w:top w:w="0" w:type="dxa"/>
          <w:left w:w="0" w:type="dxa"/>
          <w:bottom w:w="0" w:type="dxa"/>
          <w:right w:w="0" w:type="dxa"/>
        </w:tblCellMar>
      </w:tblPr>
      <w:tblGrid>
        <w:gridCol w:w="4625"/>
        <w:gridCol w:w="60"/>
        <w:gridCol w:w="187"/>
        <w:gridCol w:w="976"/>
        <w:gridCol w:w="120"/>
        <w:gridCol w:w="90"/>
        <w:gridCol w:w="187"/>
        <w:gridCol w:w="976"/>
        <w:gridCol w:w="80"/>
        <w:gridCol w:w="60"/>
        <w:gridCol w:w="170"/>
        <w:gridCol w:w="884"/>
        <w:gridCol w:w="108"/>
        <w:gridCol w:w="81"/>
        <w:gridCol w:w="170"/>
        <w:gridCol w:w="884"/>
        <w:gridCol w:w="95"/>
      </w:tblGrid>
      <w:tr>
        <w:trPr/>
        <w:tc>
          <w:tcPr>
            <w:tcW w:w="46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 June 30,</w:t>
            </w:r>
          </w:p>
        </w:tc>
        <w:tc>
          <w:tcPr>
            <w:tcW w:w="95" w:type="dxa"/>
            <w:tcBorders/>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flow information:</w:t>
            </w:r>
          </w:p>
        </w:tc>
        <w:tc>
          <w:tcPr>
            <w:tcW w:w="60" w:type="dxa"/>
            <w:tcBorders/>
            <w:vAlign w:val="bottom"/>
          </w:tcPr>
          <w:p>
            <w:pPr>
              <w:pStyle w:val="TableContents"/>
              <w:bidi w:val="0"/>
              <w:spacing w:before="0" w:after="283"/>
              <w:jc w:val="left"/>
              <w:rPr/>
            </w:pPr>
            <w:r>
              <w:rPr/>
              <w:t> </w:t>
            </w:r>
          </w:p>
        </w:tc>
        <w:tc>
          <w:tcPr>
            <w:tcW w:w="1163"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3"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4" w:type="dxa"/>
            <w:gridSpan w:val="2"/>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6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621</w:t>
            </w:r>
          </w:p>
        </w:tc>
        <w:tc>
          <w:tcPr>
            <w:tcW w:w="120" w:type="dxa"/>
            <w:tcBorders/>
            <w:shd w:fill="CCEEFF" w:val="clear"/>
            <w:vAlign w:val="bottom"/>
          </w:tcPr>
          <w:p>
            <w:pPr>
              <w:pStyle w:val="TableContents"/>
              <w:bidi w:val="0"/>
              <w:spacing w:before="0" w:after="283"/>
              <w:jc w:val="left"/>
              <w:rPr/>
            </w:pPr>
            <w:r>
              <w:rPr/>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26,836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17,991</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52,083</w:t>
            </w:r>
          </w:p>
        </w:tc>
        <w:tc>
          <w:tcPr>
            <w:tcW w:w="95"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(10,139</w:t>
            </w:r>
          </w:p>
        </w:tc>
        <w:tc>
          <w:tcPr>
            <w:tcW w:w="1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(14,965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(21,285</w:t>
            </w:r>
          </w:p>
        </w:tc>
        <w:tc>
          <w:tcPr>
            <w:tcW w:w="1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(26,199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6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(18,457</w:t>
            </w:r>
          </w:p>
        </w:tc>
        <w:tc>
          <w:tcPr>
            <w:tcW w:w="1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(13,878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(38,407</w:t>
            </w:r>
          </w:p>
        </w:tc>
        <w:tc>
          <w:tcPr>
            <w:tcW w:w="1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(29,699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6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6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free cash flow:</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621</w:t>
            </w:r>
          </w:p>
        </w:tc>
        <w:tc>
          <w:tcPr>
            <w:tcW w:w="12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26,836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17,991</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52,083</w:t>
            </w:r>
          </w:p>
        </w:tc>
        <w:tc>
          <w:tcPr>
            <w:tcW w:w="95" w:type="dxa"/>
            <w:tcBorders/>
            <w:vAlign w:val="bottom"/>
          </w:tcPr>
          <w:p>
            <w:pPr>
              <w:pStyle w:val="TableContents"/>
              <w:bidi w:val="0"/>
              <w:spacing w:before="0" w:after="283"/>
              <w:jc w:val="left"/>
              <w:rPr/>
            </w:pPr>
            <w:r>
              <w:rPr/>
              <w:t> </w:t>
            </w:r>
          </w:p>
        </w:tc>
      </w:tr>
      <w:tr>
        <w:trPr/>
        <w:tc>
          <w:tcPr>
            <w:tcW w:w="4625" w:type="dxa"/>
            <w:tcBorders/>
            <w:shd w:fill="CCEEFF" w:val="clear"/>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Capital expenditures</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(10,115</w:t>
            </w:r>
          </w:p>
        </w:tc>
        <w:tc>
          <w:tcPr>
            <w:tcW w:w="1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(11,312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(21,710</w:t>
            </w:r>
          </w:p>
        </w:tc>
        <w:tc>
          <w:tcPr>
            <w:tcW w:w="1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(22,120</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625" w:type="dxa"/>
            <w:tcBorders/>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Content acquisitions</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(110</w:t>
            </w:r>
          </w:p>
        </w:tc>
        <w:tc>
          <w:tcPr>
            <w:tcW w:w="1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(4,081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(301</w:t>
            </w:r>
          </w:p>
        </w:tc>
        <w:tc>
          <w:tcPr>
            <w:tcW w:w="1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(4,978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625" w:type="dxa"/>
            <w:tcBorders/>
            <w:shd w:fill="CCEEFF" w:val="clear"/>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Cash received related to Giphy Retention Compensation</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109</w:t>
            </w:r>
          </w:p>
        </w:tc>
        <w:tc>
          <w:tcPr>
            <w:tcW w:w="12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477</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861</w:t>
            </w:r>
          </w:p>
        </w:tc>
        <w:tc>
          <w:tcPr>
            <w:tcW w:w="95"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Legal contingency settlement</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35,000</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35,000</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4625" w:type="dxa"/>
            <w:tcBorders/>
            <w:shd w:fill="CCEEFF" w:val="clear"/>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Merger related costs</w:t>
            </w:r>
          </w:p>
        </w:tc>
        <w:tc>
          <w:tcPr>
            <w:tcW w:w="6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2,970</w:t>
            </w:r>
          </w:p>
        </w:tc>
        <w:tc>
          <w:tcPr>
            <w:tcW w:w="12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5,686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10,150</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15,036</w:t>
            </w:r>
          </w:p>
        </w:tc>
        <w:tc>
          <w:tcPr>
            <w:tcW w:w="95"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Free Cash Flow</w:t>
            </w:r>
          </w:p>
        </w:tc>
        <w:tc>
          <w:tcPr>
            <w:tcW w:w="6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28,475</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17,498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41,607</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40,882</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864735" cy="1922145"/>
                <wp:effectExtent l="0" t="0" r="0" b="0"/>
                <wp:wrapSquare wrapText="right"/>
                <wp:docPr id="2" name="Frame1"/>
                <a:graphic xmlns:a="http://schemas.openxmlformats.org/drawingml/2006/main">
                  <a:graphicData uri="http://schemas.microsoft.com/office/word/2010/wordprocessingShape">
                    <wps:wsp>
                      <wps:cNvSpPr txBox="1"/>
                      <wps:spPr>
                        <a:xfrm>
                          <a:off x="0" y="0"/>
                          <a:ext cx="4864735" cy="1922145"/>
                        </a:xfrm>
                        <a:prstGeom prst="rect"/>
                        <a:solidFill>
                          <a:srgbClr val="FFFFFF"/>
                        </a:solidFill>
                      </wps:spPr>
                      <wps:txbx>
                        <w:txbxContent>
                          <w:tbl>
                            <w:tblPr>
                              <w:tblW w:w="7661" w:type="dxa"/>
                              <w:jc w:val="left"/>
                              <w:tblInd w:w="0" w:type="dxa"/>
                              <w:tblLayout w:type="fixed"/>
                              <w:tblCellMar>
                                <w:top w:w="0" w:type="dxa"/>
                                <w:left w:w="0" w:type="dxa"/>
                                <w:bottom w:w="0" w:type="dxa"/>
                                <w:right w:w="0" w:type="dxa"/>
                              </w:tblCellMar>
                            </w:tblPr>
                            <w:tblGrid>
                              <w:gridCol w:w="2585"/>
                              <w:gridCol w:w="60"/>
                              <w:gridCol w:w="180"/>
                              <w:gridCol w:w="1003"/>
                              <w:gridCol w:w="86"/>
                              <w:gridCol w:w="86"/>
                              <w:gridCol w:w="180"/>
                              <w:gridCol w:w="1003"/>
                              <w:gridCol w:w="60"/>
                              <w:gridCol w:w="60"/>
                              <w:gridCol w:w="163"/>
                              <w:gridCol w:w="908"/>
                              <w:gridCol w:w="78"/>
                              <w:gridCol w:w="78"/>
                              <w:gridCol w:w="163"/>
                              <w:gridCol w:w="908"/>
                              <w:gridCol w:w="60"/>
                            </w:tblGrid>
                            <w:tr>
                              <w:trPr/>
                              <w:tc>
                                <w:tcPr>
                                  <w:tcW w:w="25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 June 30,</w:t>
                                  </w:r>
                                </w:p>
                              </w:tc>
                              <w:tc>
                                <w:tcPr>
                                  <w:tcW w:w="60"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18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7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Content</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165,664</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199,796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343,790</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402,684</w:t>
                                  </w:r>
                                </w:p>
                              </w:tc>
                              <w:tc>
                                <w:tcPr>
                                  <w:tcW w:w="60"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Data, Distribution, and Services</w:t>
                                  </w:r>
                                </w:p>
                              </w:tc>
                              <w:tc>
                                <w:tcPr>
                                  <w:tcW w:w="60" w:type="dxa"/>
                                  <w:tcBorders/>
                                  <w:vAlign w:val="bottom"/>
                                </w:tcPr>
                                <w:p>
                                  <w:pPr>
                                    <w:pStyle w:val="TableContents"/>
                                    <w:bidi w:val="0"/>
                                    <w:spacing w:before="0" w:after="283"/>
                                    <w:jc w:val="left"/>
                                    <w:rPr/>
                                  </w:pPr>
                                  <w:r>
                                    <w:rPr/>
                                    <w:t> </w:t>
                                  </w:r>
                                </w:p>
                              </w:tc>
                              <w:tc>
                                <w:tcPr>
                                  <w:tcW w:w="18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56,137</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8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67,194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77,181</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106,926</w:t>
                                  </w:r>
                                </w:p>
                              </w:tc>
                              <w:tc>
                                <w:tcPr>
                                  <w:tcW w:w="60"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Total revenue</w:t>
                                  </w:r>
                                </w:p>
                              </w:tc>
                              <w:tc>
                                <w:tcPr>
                                  <w:tcW w:w="60" w:type="dxa"/>
                                  <w:tcBorders/>
                                  <w:shd w:fill="CCEEFF" w:val="clear"/>
                                  <w:vAlign w:val="bottom"/>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221,801</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266,990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420,971</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509,610</w:t>
                                  </w:r>
                                </w:p>
                              </w:tc>
                              <w:tc>
                                <w:tcPr>
                                  <w:tcW w:w="60" w:type="dxa"/>
                                  <w:tcBorders/>
                                  <w:shd w:fill="CCEEFF" w:val="clear"/>
                                  <w:vAlign w:val="bottom"/>
                                </w:tcPr>
                                <w:p>
                                  <w:pPr>
                                    <w:pStyle w:val="TableContents"/>
                                    <w:bidi w:val="0"/>
                                    <w:spacing w:before="0" w:after="283"/>
                                    <w:jc w:val="left"/>
                                    <w:rPr/>
                                  </w:pPr>
                                  <w:r>
                                    <w:rPr/>
                                    <w:t> </w:t>
                                  </w:r>
                                </w:p>
                              </w:tc>
                            </w:tr>
                          </w:tbl>
                        </w:txbxContent>
                      </wps:txbx>
                      <wps:bodyPr anchor="t" lIns="0" tIns="0" rIns="0" bIns="0">
                        <a:noAutofit/>
                      </wps:bodyPr>
                    </wps:wsp>
                  </a:graphicData>
                </a:graphic>
              </wp:anchor>
            </w:drawing>
          </mc:Choice>
          <mc:Fallback>
            <w:pict>
              <v:rect style="position:absolute;rotation:-0;width:383.05pt;height:151.35pt;mso-wrap-distance-left:0pt;mso-wrap-distance-right:0pt;mso-wrap-distance-top:0pt;mso-wrap-distance-bottom:0pt;margin-top:0pt;mso-position-vertical:top;mso-position-vertical-relative:text;margin-left:0pt;mso-position-horizontal:left;mso-position-horizontal-relative:text">
                <v:textbox>
                  <w:txbxContent>
                    <w:tbl>
                      <w:tblPr>
                        <w:tblW w:w="7661" w:type="dxa"/>
                        <w:jc w:val="left"/>
                        <w:tblInd w:w="0" w:type="dxa"/>
                        <w:tblLayout w:type="fixed"/>
                        <w:tblCellMar>
                          <w:top w:w="0" w:type="dxa"/>
                          <w:left w:w="0" w:type="dxa"/>
                          <w:bottom w:w="0" w:type="dxa"/>
                          <w:right w:w="0" w:type="dxa"/>
                        </w:tblCellMar>
                      </w:tblPr>
                      <w:tblGrid>
                        <w:gridCol w:w="2585"/>
                        <w:gridCol w:w="60"/>
                        <w:gridCol w:w="180"/>
                        <w:gridCol w:w="1003"/>
                        <w:gridCol w:w="86"/>
                        <w:gridCol w:w="86"/>
                        <w:gridCol w:w="180"/>
                        <w:gridCol w:w="1003"/>
                        <w:gridCol w:w="60"/>
                        <w:gridCol w:w="60"/>
                        <w:gridCol w:w="163"/>
                        <w:gridCol w:w="908"/>
                        <w:gridCol w:w="78"/>
                        <w:gridCol w:w="78"/>
                        <w:gridCol w:w="163"/>
                        <w:gridCol w:w="908"/>
                        <w:gridCol w:w="60"/>
                      </w:tblGrid>
                      <w:tr>
                        <w:trPr/>
                        <w:tc>
                          <w:tcPr>
                            <w:tcW w:w="25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 June 30,</w:t>
                            </w:r>
                          </w:p>
                        </w:tc>
                        <w:tc>
                          <w:tcPr>
                            <w:tcW w:w="60"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18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7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Content</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165,664</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199,796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343,790</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402,684</w:t>
                            </w:r>
                          </w:p>
                        </w:tc>
                        <w:tc>
                          <w:tcPr>
                            <w:tcW w:w="60"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Data, Distribution, and Services</w:t>
                            </w:r>
                          </w:p>
                        </w:tc>
                        <w:tc>
                          <w:tcPr>
                            <w:tcW w:w="60" w:type="dxa"/>
                            <w:tcBorders/>
                            <w:vAlign w:val="bottom"/>
                          </w:tcPr>
                          <w:p>
                            <w:pPr>
                              <w:pStyle w:val="TableContents"/>
                              <w:bidi w:val="0"/>
                              <w:spacing w:before="0" w:after="283"/>
                              <w:jc w:val="left"/>
                              <w:rPr/>
                            </w:pPr>
                            <w:r>
                              <w:rPr/>
                              <w:t> </w:t>
                            </w:r>
                          </w:p>
                        </w:tc>
                        <w:tc>
                          <w:tcPr>
                            <w:tcW w:w="18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56,137</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8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67,194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77,181</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106,926</w:t>
                            </w:r>
                          </w:p>
                        </w:tc>
                        <w:tc>
                          <w:tcPr>
                            <w:tcW w:w="60"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ind w:left="135" w:right="0" w:hanging="0"/>
                              <w:jc w:val="left"/>
                              <w:rPr>
                                <w:rFonts w:ascii="Times New Roman" w:hAnsi="Times New Roman"/>
                                <w:sz w:val="20"/>
                              </w:rPr>
                            </w:pPr>
                            <w:r>
                              <w:rPr>
                                <w:rFonts w:ascii="Times New Roman" w:hAnsi="Times New Roman"/>
                                <w:sz w:val="20"/>
                              </w:rPr>
                              <w:t>Total revenue</w:t>
                            </w:r>
                          </w:p>
                        </w:tc>
                        <w:tc>
                          <w:tcPr>
                            <w:tcW w:w="60" w:type="dxa"/>
                            <w:tcBorders/>
                            <w:shd w:fill="CCEEFF" w:val="clear"/>
                            <w:vAlign w:val="bottom"/>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221,801</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266,990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420,971</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509,610</w:t>
                            </w:r>
                          </w:p>
                        </w:tc>
                        <w:tc>
                          <w:tcPr>
                            <w:tcW w:w="60" w:type="dxa"/>
                            <w:tcBorders/>
                            <w:shd w:fill="CCEEFF" w:val="clear"/>
                            <w:vAlign w:val="bottom"/>
                          </w:tcPr>
                          <w:p>
                            <w:pPr>
                              <w:pStyle w:val="TableContents"/>
                              <w:bidi w:val="0"/>
                              <w:spacing w:before="0" w:after="283"/>
                              <w:jc w:val="left"/>
                              <w:rPr/>
                            </w:pPr>
                            <w:r>
                              <w:rPr/>
                              <w:t> </w:t>
                            </w:r>
                          </w:p>
                        </w:tc>
                      </w:tr>
                    </w:tbl>
                  </w:txbxContent>
                </v:textbox>
                <w10:wrap type="square" side="right"/>
              </v:rect>
            </w:pict>
          </mc:Fallback>
        </mc:AlternateContent>
      </w:r>
    </w:p>
    <w:p>
      <w:pPr>
        <w:pStyle w:val="TextBody"/>
        <w:bidi w:val="0"/>
        <w:spacing w:before="200" w:after="20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Shutterstock,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Supplemental Financial Data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pPr>
      <w:r>
        <w:rPr/>
      </w:r>
    </w:p>
    <w:p>
      <w:pPr>
        <w:pStyle w:val="TextBody"/>
        <w:bidi w:val="0"/>
        <w:spacing w:before="0" w:after="0"/>
        <w:jc w:val="left"/>
        <w:rPr>
          <w:color w:val="000000"/>
        </w:rPr>
      </w:pPr>
      <w:r>
        <w:rPr>
          <w:color w:val="000000"/>
        </w:rPr>
        <w:t> </w:t>
      </w:r>
      <w:r>
        <w:rPr>
          <w:rFonts w:ascii="Times New Roman" w:hAnsi="Times New Roman"/>
          <w:b/>
          <w:color w:val="000000"/>
          <w:sz w:val="20"/>
        </w:rPr>
        <w:t>Historical Operating Metrics</w:t>
      </w:r>
    </w:p>
    <w:p>
      <w:pPr>
        <w:pStyle w:val="TextBody"/>
        <w:bidi w:val="0"/>
        <w:spacing w:before="0" w:after="0"/>
        <w:jc w:val="left"/>
        <w:rPr>
          <w:rFonts w:ascii="Times New Roman" w:hAnsi="Times New Roman"/>
          <w:b/>
          <w:sz w:val="20"/>
        </w:rPr>
      </w:pPr>
      <w:r>
        <w:rPr>
          <w:rFonts w:ascii="Times New Roman" w:hAnsi="Times New Roman"/>
          <w:b/>
          <w:sz w:val="20"/>
        </w:rPr>
      </w:r>
    </w:p>
    <w:p>
      <w:pPr>
        <w:pStyle w:val="Normal"/>
        <w:bidi w:val="0"/>
        <w:spacing w:before="0" w:after="0"/>
        <w:jc w:val="left"/>
        <w:rPr>
          <w:sz w:val="4"/>
          <w:szCs w:val="4"/>
        </w:rPr>
      </w:pPr>
      <w:r>
        <w:rPr>
          <w:sz w:val="4"/>
          <w:szCs w:val="4"/>
        </w:rPr>
      </w:r>
      <w:bookmarkStart w:id="41" w:name="zcc4d9e63aae14f14b1d3ff110cccb7ea"/>
      <w:bookmarkStart w:id="42" w:name="zcc4d9e63aae14f14b1d3ff110cccb7ea"/>
      <w:bookmarkEnd w:id="42"/>
    </w:p>
    <w:tbl>
      <w:tblPr>
        <w:tblW w:w="10205" w:type="dxa"/>
        <w:jc w:val="left"/>
        <w:tblInd w:w="0" w:type="dxa"/>
        <w:tblLayout w:type="fixed"/>
        <w:tblCellMar>
          <w:top w:w="0" w:type="dxa"/>
          <w:left w:w="0" w:type="dxa"/>
          <w:bottom w:w="0" w:type="dxa"/>
          <w:right w:w="0" w:type="dxa"/>
        </w:tblCellMar>
      </w:tblPr>
      <w:tblGrid>
        <w:gridCol w:w="4505"/>
        <w:gridCol w:w="60"/>
        <w:gridCol w:w="131"/>
        <w:gridCol w:w="399"/>
        <w:gridCol w:w="60"/>
        <w:gridCol w:w="60"/>
        <w:gridCol w:w="126"/>
        <w:gridCol w:w="492"/>
        <w:gridCol w:w="60"/>
        <w:gridCol w:w="60"/>
        <w:gridCol w:w="130"/>
        <w:gridCol w:w="505"/>
        <w:gridCol w:w="60"/>
        <w:gridCol w:w="60"/>
        <w:gridCol w:w="126"/>
        <w:gridCol w:w="492"/>
        <w:gridCol w:w="60"/>
        <w:gridCol w:w="60"/>
        <w:gridCol w:w="126"/>
        <w:gridCol w:w="492"/>
        <w:gridCol w:w="60"/>
        <w:gridCol w:w="60"/>
        <w:gridCol w:w="126"/>
        <w:gridCol w:w="492"/>
        <w:gridCol w:w="60"/>
        <w:gridCol w:w="60"/>
        <w:gridCol w:w="135"/>
        <w:gridCol w:w="412"/>
        <w:gridCol w:w="60"/>
        <w:gridCol w:w="60"/>
        <w:gridCol w:w="135"/>
        <w:gridCol w:w="412"/>
        <w:gridCol w:w="69"/>
      </w:tblGrid>
      <w:tr>
        <w:trPr/>
        <w:tc>
          <w:tcPr>
            <w:tcW w:w="4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71" w:type="dxa"/>
            <w:gridSpan w:val="3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69" w:type="dxa"/>
            <w:tcBorders/>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6/30/26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3/31/26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12/31/25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9/30/25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6/30/25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3/31/25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12/31/24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7" w:type="dxa"/>
            <w:gridSpan w:val="2"/>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b/>
                <w:sz w:val="20"/>
              </w:rPr>
            </w:pPr>
            <w:r>
              <w:rPr>
                <w:rFonts w:ascii="Times New Roman" w:hAnsi="Times New Roman"/>
                <w:b/>
                <w:sz w:val="20"/>
              </w:rPr>
              <w:t>9/30/245</w:t>
            </w:r>
          </w:p>
        </w:tc>
        <w:tc>
          <w:tcPr>
            <w:tcW w:w="69" w:type="dxa"/>
            <w:tcBorders/>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7"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r>
      <w:tr>
        <w:trPr/>
        <w:tc>
          <w:tcPr>
            <w:tcW w:w="4505" w:type="dxa"/>
            <w:tcBorders/>
            <w:shd w:fill="CCEEFF" w:val="cle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Subscribers (end of period, in thousands) (1)</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470</w:t>
            </w:r>
          </w:p>
        </w:tc>
        <w:tc>
          <w:tcPr>
            <w:tcW w:w="69" w:type="dxa"/>
            <w:tcBorders/>
            <w:shd w:fill="CCEEFF" w:val="clear"/>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Subscriber revenue (in millions) (2)</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78.7</w:t>
            </w:r>
          </w:p>
        </w:tc>
        <w:tc>
          <w:tcPr>
            <w:tcW w:w="69" w:type="dxa"/>
            <w:tcBorders/>
            <w:vAlign w:val="bottom"/>
          </w:tcPr>
          <w:p>
            <w:pPr>
              <w:pStyle w:val="TableContents"/>
              <w:bidi w:val="0"/>
              <w:spacing w:before="0" w:after="283"/>
              <w:jc w:val="left"/>
              <w:rPr/>
            </w:pPr>
            <w:r>
              <w:rPr/>
              <w:t> </w:t>
            </w:r>
          </w:p>
        </w:tc>
      </w:tr>
      <w:tr>
        <w:trPr/>
        <w:tc>
          <w:tcPr>
            <w:tcW w:w="45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 xml:space="preserve">Average revenue per customer (last twelve months) (3)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446</w:t>
            </w:r>
          </w:p>
        </w:tc>
        <w:tc>
          <w:tcPr>
            <w:tcW w:w="69" w:type="dxa"/>
            <w:tcBorders/>
            <w:vAlign w:val="bottom"/>
          </w:tcPr>
          <w:p>
            <w:pPr>
              <w:pStyle w:val="TableContents"/>
              <w:bidi w:val="0"/>
              <w:spacing w:before="0" w:after="283"/>
              <w:jc w:val="left"/>
              <w:rPr/>
            </w:pPr>
            <w:r>
              <w:rPr/>
              <w:t> </w:t>
            </w:r>
          </w:p>
        </w:tc>
      </w:tr>
      <w:tr>
        <w:trPr/>
        <w:tc>
          <w:tcPr>
            <w:tcW w:w="4505" w:type="dxa"/>
            <w:tcBorders/>
            <w:shd w:fill="CCEEFF" w:val="clear"/>
            <w:vAlign w:val="bottom"/>
          </w:tcPr>
          <w:p>
            <w:pPr>
              <w:pStyle w:val="TableContents"/>
              <w:bidi w:val="0"/>
              <w:spacing w:lineRule="auto" w:line="240" w:before="0" w:after="0"/>
              <w:jc w:val="left"/>
              <w:rPr>
                <w:rFonts w:ascii="Times New Roman" w:hAnsi="Times New Roman"/>
                <w:sz w:val="20"/>
              </w:rPr>
            </w:pPr>
            <w:r>
              <w:rPr>
                <w:rFonts w:ascii="Times New Roman" w:hAnsi="Times New Roman"/>
                <w:sz w:val="20"/>
              </w:rPr>
              <w:t>Paid downloads (in millions) (4)</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32.9</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Backgrid beginning February 2025. 2025 metrics include the counts and revenues from Envato, which was acquired in July 22, 2024.</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Subscribers is defined as those customers who purchase one or more of our monthly recurring products for a continuous period of at least three months, measured as of the end of the reporting period.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Subscriber revenue is defined as the revenue generated from subscribers during the period.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 Average revenue per customer is calculated by dividing total revenue for the last twelve-month period by customers. Customers is defined as total active, paying customers that contributed to total revenue over the last twelve-month period.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 Paid downloads is the number of downloads that our customers make in a given period of our content. Paid downloads exclude content related to our Studios business, downloads of content that are offered to customers for no charge, including our free trials and metadata delivered through our data deal offering.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 Subscribers and Subscriber Revenue are presented as if Envato was acquired as of the beginning of the period presented. Average revenue per customer includes Envato historical results over the last twelve month period.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Equity-Based Compensation by expense category</w:t>
      </w:r>
    </w:p>
    <w:p>
      <w:pPr>
        <w:pStyle w:val="TextBody"/>
        <w:bidi w:val="0"/>
        <w:spacing w:before="0" w:after="0"/>
        <w:jc w:val="left"/>
        <w:rPr>
          <w:rFonts w:ascii="Times New Roman" w:hAnsi="Times New Roman"/>
          <w:b/>
          <w:sz w:val="20"/>
        </w:rPr>
      </w:pPr>
      <w:r>
        <w:rPr>
          <w:rFonts w:ascii="Times New Roman" w:hAnsi="Times New Roman"/>
          <w:b/>
          <w:sz w:val="20"/>
        </w:rPr>
      </w:r>
    </w:p>
    <w:p>
      <w:pPr>
        <w:pStyle w:val="Normal"/>
        <w:bidi w:val="0"/>
        <w:spacing w:before="0" w:after="0"/>
        <w:jc w:val="left"/>
        <w:rPr>
          <w:sz w:val="4"/>
          <w:szCs w:val="4"/>
        </w:rPr>
      </w:pPr>
      <w:r>
        <w:rPr>
          <w:sz w:val="4"/>
          <w:szCs w:val="4"/>
        </w:rPr>
      </w:r>
      <w:bookmarkStart w:id="43" w:name="z2fd6eb4ea0d0422588fdecfa953176db"/>
      <w:bookmarkStart w:id="44" w:name="z2fd6eb4ea0d0422588fdecfa953176db"/>
      <w:bookmarkEnd w:id="44"/>
    </w:p>
    <w:tbl>
      <w:tblPr>
        <w:tblW w:w="10315" w:type="dxa"/>
        <w:jc w:val="left"/>
        <w:tblInd w:w="0" w:type="dxa"/>
        <w:tblLayout w:type="fixed"/>
        <w:tblCellMar>
          <w:top w:w="0" w:type="dxa"/>
          <w:left w:w="0" w:type="dxa"/>
          <w:bottom w:w="0" w:type="dxa"/>
          <w:right w:w="0" w:type="dxa"/>
        </w:tblCellMar>
      </w:tblPr>
      <w:tblGrid>
        <w:gridCol w:w="362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75"/>
      </w:tblGrid>
      <w:tr>
        <w:trPr/>
        <w:tc>
          <w:tcPr>
            <w:tcW w:w="36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60" w:type="dxa"/>
            <w:gridSpan w:val="3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75"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6/30/26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3/31/26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12/31/25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9/30/25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6/30/25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3/31/25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12/31/24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9/30/24</w:t>
            </w:r>
          </w:p>
        </w:tc>
        <w:tc>
          <w:tcPr>
            <w:tcW w:w="75"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443</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3,226</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 development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2,745</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7,999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8,542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6,966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9,005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9,256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8,680</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Total non-cash equity-based compensation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12,562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13,372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14,605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12,962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15,625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17,884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15,110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15,094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Depreciation and Amortization by expense category</w:t>
      </w:r>
    </w:p>
    <w:p>
      <w:pPr>
        <w:pStyle w:val="TextBody"/>
        <w:bidi w:val="0"/>
        <w:spacing w:before="0" w:after="0"/>
        <w:jc w:val="left"/>
        <w:rPr>
          <w:rFonts w:ascii="Times New Roman" w:hAnsi="Times New Roman"/>
          <w:b/>
          <w:sz w:val="20"/>
        </w:rPr>
      </w:pPr>
      <w:r>
        <w:rPr>
          <w:rFonts w:ascii="Times New Roman" w:hAnsi="Times New Roman"/>
          <w:b/>
          <w:sz w:val="20"/>
        </w:rPr>
      </w:r>
    </w:p>
    <w:p>
      <w:pPr>
        <w:pStyle w:val="Normal"/>
        <w:bidi w:val="0"/>
        <w:spacing w:before="0" w:after="0"/>
        <w:jc w:val="left"/>
        <w:rPr>
          <w:sz w:val="4"/>
          <w:szCs w:val="4"/>
        </w:rPr>
      </w:pPr>
      <w:r>
        <w:rPr>
          <w:sz w:val="4"/>
          <w:szCs w:val="4"/>
        </w:rPr>
      </w:r>
      <w:bookmarkStart w:id="45" w:name="z4c2693e2cc0a410cb5e3f4cf6dd1c209"/>
      <w:bookmarkStart w:id="46" w:name="z4c2693e2cc0a410cb5e3f4cf6dd1c209"/>
      <w:bookmarkEnd w:id="46"/>
    </w:p>
    <w:tbl>
      <w:tblPr>
        <w:tblW w:w="10168" w:type="dxa"/>
        <w:jc w:val="left"/>
        <w:tblInd w:w="0" w:type="dxa"/>
        <w:tblLayout w:type="fixed"/>
        <w:tblCellMar>
          <w:top w:w="0" w:type="dxa"/>
          <w:left w:w="0" w:type="dxa"/>
          <w:bottom w:w="0" w:type="dxa"/>
          <w:right w:w="0" w:type="dxa"/>
        </w:tblCellMar>
      </w:tblPr>
      <w:tblGrid>
        <w:gridCol w:w="3365"/>
        <w:gridCol w:w="60"/>
        <w:gridCol w:w="125"/>
        <w:gridCol w:w="590"/>
        <w:gridCol w:w="60"/>
        <w:gridCol w:w="60"/>
        <w:gridCol w:w="125"/>
        <w:gridCol w:w="590"/>
        <w:gridCol w:w="60"/>
        <w:gridCol w:w="60"/>
        <w:gridCol w:w="134"/>
        <w:gridCol w:w="635"/>
        <w:gridCol w:w="60"/>
        <w:gridCol w:w="60"/>
        <w:gridCol w:w="125"/>
        <w:gridCol w:w="590"/>
        <w:gridCol w:w="60"/>
        <w:gridCol w:w="60"/>
        <w:gridCol w:w="125"/>
        <w:gridCol w:w="590"/>
        <w:gridCol w:w="60"/>
        <w:gridCol w:w="60"/>
        <w:gridCol w:w="125"/>
        <w:gridCol w:w="590"/>
        <w:gridCol w:w="60"/>
        <w:gridCol w:w="60"/>
        <w:gridCol w:w="134"/>
        <w:gridCol w:w="635"/>
        <w:gridCol w:w="60"/>
        <w:gridCol w:w="60"/>
        <w:gridCol w:w="125"/>
        <w:gridCol w:w="590"/>
        <w:gridCol w:w="75"/>
      </w:tblGrid>
      <w:tr>
        <w:trPr/>
        <w:tc>
          <w:tcPr>
            <w:tcW w:w="33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68" w:type="dxa"/>
            <w:gridSpan w:val="3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75" w:type="dxa"/>
            <w:tcBorders/>
            <w:vAlign w:val="bottom"/>
          </w:tcPr>
          <w:p>
            <w:pPr>
              <w:pStyle w:val="TableContents"/>
              <w:bidi w:val="0"/>
              <w:spacing w:before="0" w:after="283"/>
              <w:jc w:val="left"/>
              <w:rPr/>
            </w:pPr>
            <w:r>
              <w:rPr/>
              <w:t> </w:t>
            </w:r>
          </w:p>
        </w:tc>
      </w:tr>
      <w:tr>
        <w:trPr/>
        <w:tc>
          <w:tcPr>
            <w:tcW w:w="33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 in thousands)</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6/30/26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3/31/26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12/31/25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9/30/25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6/30/25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3/31/25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12/31/24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9/30/24</w:t>
            </w:r>
          </w:p>
        </w:tc>
        <w:tc>
          <w:tcPr>
            <w:tcW w:w="75" w:type="dxa"/>
            <w:tcBorders/>
            <w:vAlign w:val="bottom"/>
          </w:tcPr>
          <w:p>
            <w:pPr>
              <w:pStyle w:val="TableContents"/>
              <w:bidi w:val="0"/>
              <w:spacing w:before="0" w:after="283"/>
              <w:jc w:val="left"/>
              <w:rPr/>
            </w:pPr>
            <w:r>
              <w:rPr/>
              <w:t> </w:t>
            </w:r>
          </w:p>
        </w:tc>
      </w:tr>
      <w:tr>
        <w:trPr/>
        <w:tc>
          <w:tcPr>
            <w:tcW w:w="33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36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20,732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20,898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21,010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20,804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20,742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21,191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19,653</w:t>
            </w:r>
          </w:p>
        </w:tc>
        <w:tc>
          <w:tcPr>
            <w:tcW w:w="75" w:type="dxa"/>
            <w:tcBorders/>
            <w:shd w:fill="CCEEFF" w:val="clear"/>
            <w:vAlign w:val="bottom"/>
          </w:tcPr>
          <w:p>
            <w:pPr>
              <w:pStyle w:val="TableContents"/>
              <w:bidi w:val="0"/>
              <w:spacing w:before="0" w:after="283"/>
              <w:jc w:val="left"/>
              <w:rPr/>
            </w:pPr>
            <w:r>
              <w:rPr/>
              <w:t> </w:t>
            </w:r>
          </w:p>
        </w:tc>
      </w:tr>
      <w:tr>
        <w:trPr/>
        <w:tc>
          <w:tcPr>
            <w:tcW w:w="3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1,991</w:t>
            </w:r>
          </w:p>
        </w:tc>
        <w:tc>
          <w:tcPr>
            <w:tcW w:w="75" w:type="dxa"/>
            <w:tcBorders/>
            <w:vAlign w:val="bottom"/>
          </w:tcPr>
          <w:p>
            <w:pPr>
              <w:pStyle w:val="TableContents"/>
              <w:bidi w:val="0"/>
              <w:spacing w:before="0" w:after="283"/>
              <w:jc w:val="left"/>
              <w:rPr/>
            </w:pPr>
            <w:r>
              <w:rPr/>
              <w:t> </w:t>
            </w:r>
          </w:p>
        </w:tc>
      </w:tr>
      <w:tr>
        <w:trPr/>
        <w:tc>
          <w:tcPr>
            <w:tcW w:w="3365" w:type="dxa"/>
            <w:tcBorders/>
            <w:shd w:fill="CCEEFF" w:val="clear"/>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depreciation and amortization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22,416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22,704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22,735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22,877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22,611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22,671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23,287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21,644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15</w:t>
      </w:r>
    </w:p>
    <w:p>
      <w:pPr>
        <w:pStyle w:val="HorizontalLine"/>
        <w:pBdr>
          <w:bottom w:val="single" w:sz="12" w:space="0" w:color="808080"/>
        </w:pBdr>
        <w:bidi w:val="0"/>
        <w:spacing w:before="0" w:after="283"/>
        <w:jc w:val="righ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5796</Words>
  <Characters>32153</Characters>
  <CharactersWithSpaces>38892</CharactersWithSpaces>
  <Paragraphs>3663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