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660" w:right="4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660" w:right="400" w:hanging="328"/>
        <w:spacing w:after="0" w:line="256" w:lineRule="auto"/>
        <w:tabs>
          <w:tab w:leader="none" w:pos="55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60"/>
          </w:cols>
          <w:pgMar w:left="240" w:top="233" w:right="199" w:bottom="0" w:gutter="0" w:footer="0" w:header="0"/>
        </w:sectPr>
      </w:pPr>
    </w:p>
    <w:p>
      <w:pPr>
        <w:spacing w:after="0" w:line="104"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81" w:lineRule="exact"/>
        <w:rPr>
          <w:sz w:val="24"/>
          <w:szCs w:val="24"/>
          <w:color w:val="auto"/>
        </w:rPr>
      </w:pPr>
    </w:p>
    <w:p>
      <w:pPr>
        <w:sectPr>
          <w:pgSz w:w="11900" w:h="16838" w:orient="portrait"/>
          <w:cols w:equalWidth="0" w:num="2">
            <w:col w:w="6380" w:space="440"/>
            <w:col w:w="4640"/>
          </w:cols>
          <w:pgMar w:left="240" w:top="233" w:right="199" w:bottom="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Commission File Number: 001-35669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194945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type w:val="continuous"/>
        </w:sectPr>
      </w:pPr>
    </w:p>
    <w:p>
      <w:pPr>
        <w:spacing w:after="0" w:line="200" w:lineRule="exact"/>
        <w:rPr>
          <w:sz w:val="24"/>
          <w:szCs w:val="24"/>
          <w:color w:val="auto"/>
        </w:rPr>
      </w:pPr>
    </w:p>
    <w:p>
      <w:pPr>
        <w:spacing w:after="0" w:line="33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80-0812659</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Jonathan Oringer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Shutterstock,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350 Fifth Avenue, 21st Floor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10118</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(646) 419-4452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168910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right="400" w:firstLine="324"/>
        <w:spacing w:after="0" w:line="264"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14" w:lineRule="exact"/>
        <w:rPr>
          <w:sz w:val="24"/>
          <w:szCs w:val="24"/>
          <w:color w:val="auto"/>
        </w:rPr>
      </w:pPr>
    </w:p>
    <w:p>
      <w:pPr>
        <w:ind w:right="3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14"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233" w:right="199" w:bottom="0" w:gutter="0" w:footer="0" w:header="0"/>
          <w:type w:val="continuous"/>
        </w:sectPr>
      </w:pPr>
    </w:p>
    <w:p>
      <w:pPr>
        <w:spacing w:after="0" w:line="79"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500"/>
          </w:cols>
          <w:pgMar w:left="240" w:top="233" w:right="19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6" w:lineRule="exact"/>
        <w:rPr>
          <w:sz w:val="24"/>
          <w:szCs w:val="24"/>
          <w:color w:val="auto"/>
        </w:rPr>
      </w:pPr>
    </w:p>
    <w:p>
      <w:pPr>
        <w:sectPr>
          <w:pgSz w:w="11900" w:h="16838" w:orient="portrait"/>
          <w:cols w:equalWidth="0" w:num="2">
            <w:col w:w="6860" w:space="720"/>
            <w:col w:w="3880"/>
          </w:cols>
          <w:pgMar w:left="240" w:top="233" w:right="199" w:bottom="0" w:gutter="0" w:footer="0" w:header="0"/>
          <w:type w:val="continuous"/>
        </w:sectPr>
      </w:pPr>
    </w:p>
    <w:p>
      <w:pPr>
        <w:ind w:left="340" w:right="2020"/>
        <w:spacing w:after="0" w:line="442"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 x No Indicate the number of shares outstanding of each of the issuer’s classes of stock, as of the latest practicable date.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August 6, 2014</w:t>
            </w:r>
          </w:p>
        </w:tc>
        <w:tc>
          <w:tcPr>
            <w:tcW w:w="40" w:type="dxa"/>
            <w:vAlign w:val="bottom"/>
          </w:tcPr>
          <w:p>
            <w:pPr>
              <w:spacing w:after="0"/>
              <w:rPr>
                <w:sz w:val="14"/>
                <w:szCs w:val="14"/>
                <w:color w:val="auto"/>
              </w:rPr>
            </w:pP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2319"/>
              <w:spacing w:after="0"/>
              <w:rPr>
                <w:sz w:val="20"/>
                <w:szCs w:val="20"/>
                <w:color w:val="auto"/>
              </w:rPr>
            </w:pPr>
            <w:r>
              <w:rPr>
                <w:rFonts w:ascii="Arial" w:cs="Arial" w:eastAsia="Arial" w:hAnsi="Arial"/>
                <w:sz w:val="18"/>
                <w:szCs w:val="18"/>
                <w:b w:val="1"/>
                <w:bCs w:val="1"/>
                <w:color w:val="auto"/>
              </w:rPr>
              <w:t>35,337,200</w:t>
            </w:r>
          </w:p>
        </w:tc>
        <w:tc>
          <w:tcPr>
            <w:tcW w:w="40" w:type="dxa"/>
            <w:vAlign w:val="bottom"/>
          </w:tcPr>
          <w:p>
            <w:pPr>
              <w:spacing w:after="0"/>
              <w:rPr>
                <w:sz w:val="19"/>
                <w:szCs w:val="19"/>
                <w:color w:val="auto"/>
              </w:rPr>
            </w:pPr>
          </w:p>
        </w:tc>
      </w:tr>
      <w:tr>
        <w:trPr>
          <w:trHeight w:val="130"/>
        </w:trPr>
        <w:tc>
          <w:tcPr>
            <w:tcW w:w="5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2"/>
        </w:trPr>
        <w:tc>
          <w:tcPr>
            <w:tcW w:w="5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80"/>
        </w:trPr>
        <w:tc>
          <w:tcPr>
            <w:tcW w:w="5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233" w:right="199" w:bottom="0" w:gutter="0" w:footer="0" w:header="0"/>
          <w:type w:val="continuous"/>
        </w:sectPr>
      </w:pPr>
    </w:p>
    <w:bookmarkStart w:id="1" w:name="page2"/>
    <w:bookmarkEnd w:id="1"/>
    <w:p>
      <w:pPr>
        <w:ind w:left="504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 No.</w:t>
            </w:r>
          </w:p>
        </w:tc>
      </w:tr>
      <w:tr>
        <w:trPr>
          <w:trHeight w:val="385"/>
        </w:trPr>
        <w:tc>
          <w:tcPr>
            <w:tcW w:w="1058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1000" w:type="dxa"/>
            <w:vAlign w:val="bottom"/>
            <w:gridSpan w:val="4"/>
          </w:tcPr>
          <w:p>
            <w:pPr>
              <w:spacing w:after="0"/>
              <w:rPr>
                <w:sz w:val="24"/>
                <w:szCs w:val="24"/>
                <w:color w:val="auto"/>
              </w:rPr>
            </w:pPr>
          </w:p>
        </w:tc>
        <w:tc>
          <w:tcPr>
            <w:tcW w:w="906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 as of June 30, 2014 and December 31, 2013</w:t>
              </w:r>
            </w:hyperlink>
          </w:p>
        </w:tc>
        <w:tc>
          <w:tcPr>
            <w:tcW w:w="3760" w:type="dxa"/>
            <w:vAlign w:val="bottom"/>
            <w:gridSpan w:val="5"/>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for the Three and Six Months Ended June 30, 2014 and June 30, 2013</w:t>
              </w:r>
            </w:hyperlink>
          </w:p>
        </w:tc>
        <w:tc>
          <w:tcPr>
            <w:tcW w:w="1160" w:type="dxa"/>
            <w:vAlign w:val="bottom"/>
            <w:gridSpan w:val="2"/>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for the Three and Six Months Ended June 30, 2014 and June 30, 2013</w:t>
              </w:r>
            </w:hyperlink>
          </w:p>
        </w:tc>
        <w:tc>
          <w:tcPr>
            <w:tcW w:w="240" w:type="dxa"/>
            <w:vAlign w:val="bottom"/>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Cash Flows for the Six Months Ended June 30, 2014 and June 30, 2013</w:t>
              </w:r>
            </w:hyperlink>
          </w:p>
        </w:tc>
        <w:tc>
          <w:tcPr>
            <w:tcW w:w="1880" w:type="dxa"/>
            <w:vAlign w:val="bottom"/>
            <w:gridSpan w:val="3"/>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Consolidated Financial Statements</w:t>
              </w:r>
            </w:hyperlink>
          </w:p>
        </w:tc>
        <w:tc>
          <w:tcPr>
            <w:tcW w:w="5900" w:type="dxa"/>
            <w:vAlign w:val="bottom"/>
            <w:gridSpan w:val="7"/>
          </w:tcPr>
          <w:p>
            <w:pPr>
              <w:spacing w:after="0"/>
              <w:rPr>
                <w:sz w:val="17"/>
                <w:szCs w:val="17"/>
                <w:color w:val="auto"/>
              </w:rPr>
            </w:pPr>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2.</w:t>
              </w:r>
            </w:hyperlink>
          </w:p>
        </w:tc>
        <w:tc>
          <w:tcPr>
            <w:tcW w:w="1000" w:type="dxa"/>
            <w:vAlign w:val="bottom"/>
            <w:gridSpan w:val="4"/>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3.</w:t>
              </w:r>
            </w:hyperlink>
          </w:p>
        </w:tc>
        <w:tc>
          <w:tcPr>
            <w:tcW w:w="1000" w:type="dxa"/>
            <w:vAlign w:val="bottom"/>
            <w:gridSpan w:val="4"/>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720" w:type="dxa"/>
            <w:vAlign w:val="bottom"/>
            <w:tcBorders>
              <w:left w:val="single" w:sz="8" w:color="0000EE"/>
            </w:tcBorders>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4.</w:t>
              </w:r>
            </w:hyperlink>
          </w:p>
        </w:tc>
        <w:tc>
          <w:tcPr>
            <w:tcW w:w="1000" w:type="dxa"/>
            <w:vAlign w:val="bottom"/>
            <w:gridSpan w:val="4"/>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580" w:type="dxa"/>
            <w:vAlign w:val="bottom"/>
            <w:gridSpan w:val="2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Item 1.</w:t>
              </w:r>
            </w:hyperlink>
          </w:p>
        </w:tc>
        <w:tc>
          <w:tcPr>
            <w:tcW w:w="1000" w:type="dxa"/>
            <w:vAlign w:val="bottom"/>
            <w:gridSpan w:val="4"/>
          </w:tcPr>
          <w:p>
            <w:pPr>
              <w:spacing w:after="0"/>
              <w:rPr>
                <w:sz w:val="24"/>
                <w:szCs w:val="24"/>
                <w:color w:val="auto"/>
              </w:rPr>
            </w:pPr>
          </w:p>
        </w:tc>
        <w:tc>
          <w:tcPr>
            <w:tcW w:w="906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1520" w:type="dxa"/>
            <w:vAlign w:val="bottom"/>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906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2.</w:t>
              </w:r>
            </w:hyperlink>
          </w:p>
        </w:tc>
        <w:tc>
          <w:tcPr>
            <w:tcW w:w="120" w:type="dxa"/>
            <w:vAlign w:val="bottom"/>
          </w:tcPr>
          <w:p>
            <w:pPr>
              <w:spacing w:after="0"/>
              <w:rPr>
                <w:sz w:val="17"/>
                <w:szCs w:val="17"/>
                <w:color w:val="auto"/>
              </w:rPr>
            </w:pPr>
          </w:p>
        </w:tc>
        <w:tc>
          <w:tcPr>
            <w:tcW w:w="880" w:type="dxa"/>
            <w:vAlign w:val="bottom"/>
            <w:gridSpan w:val="3"/>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3.</w:t>
              </w:r>
            </w:hyperlink>
          </w:p>
        </w:tc>
        <w:tc>
          <w:tcPr>
            <w:tcW w:w="62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380" w:type="dxa"/>
            <w:vAlign w:val="bottom"/>
            <w:gridSpan w:val="2"/>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5.</w:t>
              </w:r>
            </w:hyperlink>
          </w:p>
        </w:tc>
        <w:tc>
          <w:tcPr>
            <w:tcW w:w="62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6.</w:t>
              </w:r>
            </w:hyperlink>
          </w:p>
        </w:tc>
        <w:tc>
          <w:tcPr>
            <w:tcW w:w="1000" w:type="dxa"/>
            <w:vAlign w:val="bottom"/>
            <w:gridSpan w:val="4"/>
          </w:tcPr>
          <w:p>
            <w:pPr>
              <w:spacing w:after="0"/>
              <w:rPr>
                <w:sz w:val="17"/>
                <w:szCs w:val="17"/>
                <w:color w:val="auto"/>
              </w:rPr>
            </w:pPr>
          </w:p>
        </w:tc>
        <w:tc>
          <w:tcPr>
            <w:tcW w:w="906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Exhibit Index</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453"/>
        </w:trPr>
        <w:tc>
          <w:tcPr>
            <w:tcW w:w="5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w w:val="94"/>
              </w:rPr>
              <w:t>Certifications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40" w:type="dxa"/>
            <w:vAlign w:val="bottom"/>
            <w:gridSpan w:val="11"/>
          </w:tcPr>
          <w:p>
            <w:pPr>
              <w:ind w:left="414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This report contains forward-looking statements. These forward-looking statements can be identified by the use of forward-looking terminology such as “believe,” “may,” “estimate,” “continue,” “anticipate,” “intend,” “expect,” “predict,” “potential”, project,” “guidance,” “target,” “forecast” or comparable terms.</w:t>
      </w:r>
    </w:p>
    <w:p>
      <w:pPr>
        <w:spacing w:after="0" w:line="18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as a result of certain factors, as more fully described in Part II, Item 1A (Risk Factors) of this Quarterly Report on Form 10-Q and in the reports and documents filed from time to time by us with the Securities and Exchange Commission (the “SEC”).</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Forward-looking statements speak only as of the date of this Quarterly Report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Shutterstock’s corporate website is located at </w:t>
      </w:r>
      <w:r>
        <w:rPr>
          <w:rFonts w:ascii="Arial" w:cs="Arial" w:eastAsia="Arial" w:hAnsi="Arial"/>
          <w:sz w:val="16"/>
          <w:szCs w:val="16"/>
          <w:i w:val="1"/>
          <w:iCs w:val="1"/>
          <w:color w:val="auto"/>
        </w:rPr>
        <w:t>www.shutterstock.com</w:t>
      </w:r>
      <w:r>
        <w:rPr>
          <w:rFonts w:ascii="Arial" w:cs="Arial" w:eastAsia="Arial" w:hAnsi="Arial"/>
          <w:sz w:val="16"/>
          <w:szCs w:val="16"/>
          <w:color w:val="auto"/>
        </w:rPr>
        <w:t xml:space="preserve"> . Shutterstock makes available free of charge, on our corporate website, our annual, quarterly and current reports, and any amendments to those reports, as soon as reasonably practicable after electronically filing such reports with, or furnishing to, the SEC. Information contained on Shutterstock’s corporate website is not part of this report or any other report filed with the SEC.</w:t>
      </w:r>
    </w:p>
    <w:p>
      <w:pPr>
        <w:spacing w:after="0" w:line="14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“Shutterstock,” the “Company,” “we,” “our” and “us” refer to Shutterstock, Inc. and its subsidiaries.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Shutterstock, Inc.</w:t>
      </w:r>
    </w:p>
    <w:p>
      <w:pPr>
        <w:sectPr>
          <w:pgSz w:w="11900" w:h="16838" w:orient="portrait"/>
          <w:cols w:equalWidth="0" w:num="1">
            <w:col w:w="11460"/>
          </w:cols>
          <w:pgMar w:left="240" w:top="121" w:right="19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par value amount)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180,851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54,997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Credit card receivables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11,119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19,819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Deferred tax assets,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4,340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274,024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243,188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10,186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assets, net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1,891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Contributor royalties payable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10,845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106,060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Other non-current liabilities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11,794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117,854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Commitments and contingencies (Note 9)</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9"/>
          </w:tcPr>
          <w:p>
            <w:pPr>
              <w:ind w:left="340"/>
              <w:spacing w:after="0" w:line="201" w:lineRule="exact"/>
              <w:rPr>
                <w:sz w:val="20"/>
                <w:szCs w:val="20"/>
                <w:color w:val="auto"/>
              </w:rPr>
            </w:pPr>
            <w:r>
              <w:rPr>
                <w:rFonts w:ascii="Arial" w:cs="Arial" w:eastAsia="Arial" w:hAnsi="Arial"/>
                <w:sz w:val="18"/>
                <w:szCs w:val="18"/>
                <w:color w:val="auto"/>
                <w:w w:val="93"/>
              </w:rPr>
              <w:t>Common stock, $0.01 par value; 200,000 shares authorized; 35,334 and 35,071 shares outstanding as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4"/>
          </w:tcPr>
          <w:p>
            <w:pPr>
              <w:ind w:left="520"/>
              <w:spacing w:after="0"/>
              <w:rPr>
                <w:sz w:val="20"/>
                <w:szCs w:val="20"/>
                <w:color w:val="auto"/>
              </w:rPr>
            </w:pPr>
            <w:r>
              <w:rPr>
                <w:rFonts w:ascii="Arial" w:cs="Arial" w:eastAsia="Arial" w:hAnsi="Arial"/>
                <w:sz w:val="18"/>
                <w:szCs w:val="18"/>
                <w:color w:val="auto"/>
              </w:rPr>
              <w:t>June 30, 2014 and December 31, 2013, respectively</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150,495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Accumulated comprehensive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215,465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182,599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333,319</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278,488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900" w:type="dxa"/>
            <w:vAlign w:val="bottom"/>
            <w:gridSpan w:val="8"/>
            <w:vMerge w:val="restart"/>
          </w:tcPr>
          <w:p>
            <w:pPr>
              <w:jc w:val="center"/>
              <w:ind w:left="1870"/>
              <w:spacing w:after="0"/>
              <w:rPr>
                <w:sz w:val="20"/>
                <w:szCs w:val="20"/>
                <w:color w:val="auto"/>
              </w:rPr>
            </w:pPr>
            <w:r>
              <w:rPr>
                <w:rFonts w:ascii="Arial" w:cs="Arial" w:eastAsia="Arial" w:hAnsi="Arial"/>
                <w:sz w:val="18"/>
                <w:szCs w:val="18"/>
                <w:color w:val="auto"/>
                <w:w w:val="89"/>
              </w:rPr>
              <w:t>See Notes to Unaudited Consolidated Financial Statements.</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0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33"/>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Shutterstock, Inc.</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120" w:type="dxa"/>
            <w:vAlign w:val="bottom"/>
            <w:gridSpan w:val="7"/>
          </w:tcPr>
          <w:p>
            <w:pPr>
              <w:jc w:val="center"/>
              <w:ind w:right="80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900" w:type="dxa"/>
            <w:vAlign w:val="bottom"/>
            <w:gridSpan w:val="8"/>
          </w:tcPr>
          <w:p>
            <w:pPr>
              <w:jc w:val="center"/>
              <w:ind w:left="1890"/>
              <w:spacing w:after="0"/>
              <w:rPr>
                <w:sz w:val="20"/>
                <w:szCs w:val="20"/>
                <w:color w:val="auto"/>
              </w:rPr>
            </w:pPr>
            <w:r>
              <w:rPr>
                <w:rFonts w:ascii="Arial" w:cs="Arial" w:eastAsia="Arial" w:hAnsi="Arial"/>
                <w:sz w:val="18"/>
                <w:szCs w:val="18"/>
                <w:b w:val="1"/>
                <w:bCs w:val="1"/>
                <w:color w:val="auto"/>
                <w:w w:val="89"/>
              </w:rPr>
              <w:t>(In thousands, except for share and per share data)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80,238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56,809</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Cost of revenue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32,047</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21,768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61,159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20,492</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Product development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9,275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17,052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71,808</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135,487</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7,753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Less: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Undistributed earnings to participating stockholder</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available to common stockholders</w:t>
            </w:r>
          </w:p>
        </w:tc>
        <w:tc>
          <w:tcPr>
            <w:tcW w:w="9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-4049395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-4049395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 per basic share available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78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9"/>
              </w:rPr>
              <w:t>0.14</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3"/>
              </w:rPr>
              <w:t>Net income per diluted share available to common stockholders: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9"/>
              </w:rPr>
              <w:t>0.14</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35,148,876</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33,471,679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35,089,254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33,435,439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color w:val="auto"/>
                <w:w w:val="86"/>
              </w:rPr>
              <w:t>35,874,789</w:t>
            </w:r>
          </w:p>
        </w:tc>
        <w:tc>
          <w:tcPr>
            <w:tcW w:w="3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34,040,934</w:t>
            </w:r>
          </w:p>
        </w:tc>
        <w:tc>
          <w:tcPr>
            <w:tcW w:w="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35,857,899</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33,903,898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 on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00" w:type="dxa"/>
            <w:vAlign w:val="bottom"/>
            <w:gridSpan w:val="8"/>
          </w:tcPr>
          <w:p>
            <w:pPr>
              <w:jc w:val="center"/>
              <w:ind w:left="1870"/>
              <w:spacing w:after="0"/>
              <w:rPr>
                <w:sz w:val="20"/>
                <w:szCs w:val="20"/>
                <w:color w:val="auto"/>
              </w:rPr>
            </w:pPr>
            <w:r>
              <w:rPr>
                <w:rFonts w:ascii="Arial" w:cs="Arial" w:eastAsia="Arial" w:hAnsi="Arial"/>
                <w:sz w:val="18"/>
                <w:szCs w:val="18"/>
                <w:color w:val="auto"/>
                <w:w w:val="89"/>
              </w:rPr>
              <w:t>See Notes to Unaudited Consolidated Financial Statements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Shutterstock, Inc.</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900" w:type="dxa"/>
            <w:vAlign w:val="bottom"/>
            <w:gridSpan w:val="8"/>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 thousands)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9,778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3,632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Write-off of 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(2,474)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equity-based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 from the exercise of stock options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Bad debt reserve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Chargeback and sales refund reserves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Amortization of deferred financing fees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Credit card receivables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w w:val="97"/>
              </w:rPr>
              <w:t>Prepaid expenses and other current and non-current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8,963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Accounts payable and other current and non-current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Contributor royalties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1,665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36,787</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(14,780)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(141,788)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Sale and maturities of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141,235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business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Security deposit payment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-5551805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-5551805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4" w:name="page5"/>
    <w:bookmarkEnd w:id="4"/>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945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the exercise of stock options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Payment of term loan</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(6,000)</w:t>
            </w: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offering fees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7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14,152</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tcPr>
          <w:p>
            <w:pPr>
              <w:spacing w:after="0"/>
              <w:rPr>
                <w:sz w:val="18"/>
                <w:szCs w:val="18"/>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rates changes on cash</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25,496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10,707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155,355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102,096</w:t>
            </w:r>
          </w:p>
        </w:tc>
      </w:tr>
      <w:tr>
        <w:trPr>
          <w:trHeight w:val="250"/>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equivalents—Ending</w:t>
            </w:r>
          </w:p>
        </w:tc>
        <w:tc>
          <w:tcPr>
            <w:tcW w:w="11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180,851</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112,803</w:t>
            </w:r>
          </w:p>
        </w:tc>
        <w:tc>
          <w:tcPr>
            <w:tcW w:w="100" w:type="dxa"/>
            <w:vAlign w:val="bottom"/>
            <w:tcBorders>
              <w:bottom w:val="single" w:sz="8" w:color="CCEEFF"/>
            </w:tcBorders>
          </w:tcPr>
          <w:p>
            <w:pPr>
              <w:spacing w:after="0"/>
              <w:rPr>
                <w:sz w:val="21"/>
                <w:szCs w:val="21"/>
                <w:color w:val="auto"/>
              </w:rPr>
            </w:pPr>
          </w:p>
        </w:tc>
      </w:tr>
      <w:tr>
        <w:trPr>
          <w:trHeight w:val="170"/>
        </w:trPr>
        <w:tc>
          <w:tcPr>
            <w:tcW w:w="71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Information:</w:t>
            </w:r>
          </w:p>
        </w:tc>
        <w:tc>
          <w:tcPr>
            <w:tcW w:w="1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Cash paid for:</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w:t>
            </w: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20" w:type="dxa"/>
            <w:vAlign w:val="bottom"/>
          </w:tcPr>
          <w:p>
            <w:pPr>
              <w:ind w:left="180"/>
              <w:spacing w:after="0"/>
              <w:rPr>
                <w:sz w:val="20"/>
                <w:szCs w:val="20"/>
                <w:color w:val="auto"/>
              </w:rPr>
            </w:pPr>
            <w:r>
              <w:rPr>
                <w:rFonts w:ascii="Arial" w:cs="Arial" w:eastAsia="Arial" w:hAnsi="Arial"/>
                <w:sz w:val="18"/>
                <w:szCs w:val="18"/>
                <w:color w:val="auto"/>
              </w:rPr>
              <w:t>Capital expenditures in accounts payable and other liabilities</w:t>
            </w:r>
          </w:p>
        </w:tc>
        <w:tc>
          <w:tcPr>
            <w:tcW w:w="16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936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Shutterstock, Inc. (the “Company” or “Shutterstock”) operates an industry-leading global marketplace for commercial digital imagery and music. Commercial digital imagery consists of licensed photographs, illustrations and videos that companies use in their visual communications, such as websites, digital and print marketing materials, corporate communications, books, publications and video content while music consists of high-quality music tracks often used to complement the digital imagery. The Company licenses commercial digital imagery and music to its customers. Contributors upload their digital imagery and music tracks to the Company’s website in exchange for a royalty payment based on customer download activity. The Company is headquartered in New York City with offices in Berlin, Chicago, Denver, London, Paris, and San Francisco.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680" w:firstLine="648"/>
        <w:spacing w:after="0" w:line="291" w:lineRule="auto"/>
        <w:rPr>
          <w:sz w:val="20"/>
          <w:szCs w:val="20"/>
          <w:color w:val="auto"/>
        </w:rPr>
      </w:pPr>
      <w:r>
        <w:rPr>
          <w:rFonts w:ascii="Arial" w:cs="Arial" w:eastAsia="Arial" w:hAnsi="Arial"/>
          <w:sz w:val="16"/>
          <w:szCs w:val="16"/>
          <w:color w:val="auto"/>
        </w:rPr>
        <w:t>In May 2012, in connection with the filing of a registration statement for the Company’s initial public offering (the “IPO”), Shutterstock Images LLC, a New York limited liability company (the “LLC”) formed Shutterstock, Inc., a Delaware corporation, as a wholly-owned subsidiary of</w:t>
      </w:r>
    </w:p>
    <w:p>
      <w:pPr>
        <w:jc w:val="both"/>
        <w:ind w:right="220"/>
        <w:spacing w:after="0" w:line="277" w:lineRule="auto"/>
        <w:rPr>
          <w:sz w:val="20"/>
          <w:szCs w:val="20"/>
          <w:color w:val="auto"/>
        </w:rPr>
      </w:pPr>
      <w:r>
        <w:rPr>
          <w:rFonts w:ascii="Arial" w:cs="Arial" w:eastAsia="Arial" w:hAnsi="Arial"/>
          <w:sz w:val="17"/>
          <w:szCs w:val="17"/>
          <w:color w:val="auto"/>
        </w:rPr>
        <w:t>the LLC. On October 5, 2012, the LLC reorganized, by way of a merger of the LLC with and into Shutterstock, Inc. with Shutterstock, Inc. surviving in the merger (the “Reorganization”). In connection with the Reorganization, the preferred and common membership interests in the LLC, including any interests that vested upon the Reorganization, were exchanged for an aggregate of 28,338,281 shares of Shutterstock, Inc.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interim consolidated balance sheet as of June 30, 2014, the consolidated statements of operations, comprehensive income and cash flows for the three and six months ended June 30, 2014 and 2013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June 30, 2014 and its results of consolidated operations, comprehensive income and cash flows for the three and six months ended June 30, 2014 and 2013. The financial data and the other financial information disclosed in these notes to the financial statements related to these periods are also unaudited. The results of operations for the three and six months ended June 30, 2014 are not necessarily indicative of the results to be expected for the year ending December 31, 2014 or for any other future annual or interim period.</w:t>
      </w:r>
    </w:p>
    <w:p>
      <w:pPr>
        <w:spacing w:after="0" w:line="167"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There have been no material changes in the significant accounting policies from those that were disclosed in the Company’s Annual Report on Form 10-K for the fiscal year ended December 31, 2013 filed on February 28, 2014. These financial statements should also be read in conjunction with the audited consolidated financial statements and notes thereto for the year ended December 31, 2013. Certain information and note disclosures normally included in the financial statements prepared in accordance with accounting principles generally accepted in the United States of America (“GAAP”) have been omitted pursuant to such rules and regulations. The consolidated balance sheet as of December 31, 2013 included herein was derived from the audited financial statements as of that date, but does not include all disclosures required by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Virtual Moment, LLC</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March 14, 2014, the Company acquired certain assets and certain liabilities of Virtual Moment, LLC (dba WebDAM) (“WebDAM”) pursuant to an asset purchase arrangement. The transaction was accounted for using the acquisition method, and accordingly, the results of the acquired business have been included in the Company’s results of operations from the acquisition date.</w:t>
      </w:r>
    </w:p>
    <w:p>
      <w:pPr>
        <w:sectPr>
          <w:pgSz w:w="11900" w:h="16904" w:orient="portrait"/>
          <w:cols w:equalWidth="0" w:num="1">
            <w:col w:w="11420"/>
          </w:cols>
          <w:pgMar w:left="240" w:top="140" w:right="239" w:bottom="0" w:gutter="0" w:footer="0" w:header="0"/>
        </w:sectPr>
      </w:pPr>
    </w:p>
    <w:bookmarkStart w:id="5" w:name="page6"/>
    <w:bookmarkEnd w:id="5"/>
    <w:p>
      <w:pPr>
        <w:ind w:right="240" w:firstLine="648"/>
        <w:spacing w:after="0" w:line="302" w:lineRule="auto"/>
        <w:rPr>
          <w:sz w:val="20"/>
          <w:szCs w:val="20"/>
          <w:color w:val="auto"/>
        </w:rPr>
      </w:pPr>
      <w:r>
        <w:rPr>
          <w:rFonts w:ascii="Arial" w:cs="Arial" w:eastAsia="Arial" w:hAnsi="Arial"/>
          <w:sz w:val="16"/>
          <w:szCs w:val="16"/>
          <w:color w:val="auto"/>
        </w:rPr>
        <w:t>WebDAM sells digital asset management software services through its cloud-based platform to marketing and creative enterprise organizations. WebDAM’s products help organizations manage, search, distribute and collaborate on creative digital files in order to grow its brands and reach new audiences. WebDAM’s offerings are particularly attractive to large enterprises, which make up a significant portion of their client base. The Company believes that this acquisition will strengthen its strategic position with its enterprise customers as well as broaden its product offerings to larger companies.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fair value of consideration transferred in this business combination was allocated to the intangible assets acquired and liabilities assumed at the acquisition date, with the remaining unallocated amount recorded as goodwill. The allocation of the purchase price for this acquisition has been prepared on a preliminary basis, and changes to those allocations may occur as additional information becomes available.</w:t>
      </w:r>
    </w:p>
    <w:p>
      <w:pPr>
        <w:spacing w:after="0" w:line="16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total purchase price of $12,416 consists of an initial cash payment of $10,056 and $2,360 in contingent consideration based on certain performance criteria of post-acquisition revenue. The fair value of the contingent consideration was determined using a Monte-Carlo simulation approach. The aggregate purchase price was allocated to the assets acquired and liabilities assumed as follows: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8,763</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(1,083)</w:t>
            </w:r>
          </w:p>
        </w:tc>
      </w:tr>
      <w:tr>
        <w:trPr>
          <w:trHeight w:val="210"/>
        </w:trPr>
        <w:tc>
          <w:tcPr>
            <w:tcW w:w="538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identifiable intangible assets have a weighted average life of approximately seven years and are being amortized on a straight-line basis. The fair value of the customer relationships was determined using a variation of the income approach known as excess earnings method. The fair values of the trade name and developed technology were both determined using the relief-from-royalty method. The goodwill arising from the transaction is primarily attributable to expected operational synergies and is deductible for income tax purposes. As a result of the acquisition, the Company recorded approximately $400 of professional fees for the six months ended June 30, 2014 which is included in general and administrative expense. There were no professional fees as a result of the acquisition recorded during the three months ended June 30, 2014.</w:t>
      </w:r>
    </w:p>
    <w:p>
      <w:pPr>
        <w:spacing w:after="0" w:line="17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Pro forma results of operations have not been presented because the effect of this business combination was not material to the Company’s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contingent consideration, sales refund reserve, goodwill, intangibles, non-cash equity-based compensation, income tax provision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Company’s restricted cash relates to security deposits for leased office locations. As of June 30, 2014, the Company had $431 of restricted cash recorded in prepaid expenses and other current assets that related to a leased office location that expires in the next twelve months and had $1,829 of restricted cash recorded in other assets that related to a leased office location that expires in 2024. As of December 31, 2013, the Company had $243 of restricted cash recorded in prepaid expenses and other current assets and had $2,017 of restricted cash recorded in other assets. The carrying value of restricted cash approximates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right="60" w:firstLine="468"/>
        <w:spacing w:after="0" w:line="257"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June 30, 2014, the Company has recorded a deferred rent balance of and $7,470, of which $250 is included in other liabilities and $7,220 is included in other non-current liabilities. As of December 31, 2013, the Company had recorded a deferred rent balance of $4,783, of which $2,406 is included in other liabilities and $2,377 is included in other non-current liabilities.</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vast majority of the Company’s revenue, net of chargebacks and refunds, is generated from the license of digital content through subscription or usage based plans. The Company’s three primary plans are: subscription plans, On Demand plans, and credit pack plans. The Company recognizes revenue when all of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w:t>
      </w:r>
    </w:p>
    <w:p>
      <w:pPr>
        <w:sectPr>
          <w:pgSz w:w="11900" w:h="16838" w:orient="portrait"/>
          <w:cols w:equalWidth="0" w:num="1">
            <w:col w:w="11400"/>
          </w:cols>
          <w:pgMar w:left="240" w:top="341" w:right="259" w:bottom="0" w:gutter="0" w:footer="0" w:header="0"/>
        </w:sectPr>
      </w:pPr>
    </w:p>
    <w:bookmarkStart w:id="6" w:name="page7"/>
    <w:bookmarkEnd w:id="6"/>
    <w:p>
      <w:pPr>
        <w:spacing w:after="0" w:line="2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and sales refund reserve allowance based on factors surrounding historical credit card chargeback trends, historical sales refund trends and other information. As of June 30, 2014 and December 31, 2013, the Company has recorded a combined chargeback allowance and sales refund allowance of $530 and $425, respectively, which is included in other liabilities. Collectability is assessed for customers who pay on credit based on a credit evaluation for new customers, when necessary, and transaction history with existing customers. Any cash received in advance of revenue recognition is recorded as deferred revenue.</w:t>
      </w:r>
    </w:p>
    <w:p>
      <w:pPr>
        <w:spacing w:after="0" w:line="17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typically for a one-year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 term assuming no further Company obligation remains.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 is recognized based on customer usage on a per credit basis as digital content is downloaded. Revenue related to unused credits, if any, is recognized in full at the end of the plan term assuming no further Company obligation remains. Most plans automatically renew at the end of the plan term unless the customer elects not to renew. The Company recognizes revenue from its three types of plans on a gross basis in accordance with the authoritative guidance on principal-agent considerations as the Company is the primary obligor in the arrangement, has control in establishing the product’s price, performs a detailed review of the digital content before accepting it to its collection to ensure it is of high quality before it may be purchased by the customers, can reject contributor’s images in its sole discretion, and has credit risk.</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but the determination is made on a case-by-case basis.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follows the authoritative guidance in ASC 605-45, “Principal Agent Considerations.” The Company recognizes revenue net of reseller commission in accordance with the type of plan sold, consistent with the plan descriptions above. The Company generally does not offer refunds or the right of return to resellers.</w:t>
      </w:r>
    </w:p>
    <w:p>
      <w:pPr>
        <w:spacing w:after="0" w:line="17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The Company also generates revenue related to WebDAM from licensing its hosted software services through its cloud-based platform and related implementation and professional services. The Company enters into multiple element revenue arrangements in which a customer purchases a combination of hosted software, implementation and optional value added professional services. The Company recognizes revenue for the hosted services monthly provided that there is persuasive evidence of an arrangement, the service has been delivered, the fees are fixed and determinable, and collection is reasonably assured. ASC 605-25 establishes a selling price hierarchy for determining the selling price of a deliverable in multiple-element arrangements, which is based on:</w:t>
      </w:r>
    </w:p>
    <w:p>
      <w:pPr>
        <w:spacing w:after="0" w:line="2" w:lineRule="exact"/>
        <w:rPr>
          <w:sz w:val="20"/>
          <w:szCs w:val="20"/>
          <w:color w:val="auto"/>
        </w:rPr>
      </w:pPr>
    </w:p>
    <w:p>
      <w:pPr>
        <w:jc w:val="both"/>
        <w:ind w:right="140" w:firstLine="8"/>
        <w:spacing w:after="0" w:line="25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vendor-specific objective evidence; (b) third-party evidence; or (c) best estimated selling price. The hosted software services are recognized ratably over the contractual period as this service is on-going over the hosting period which is generally a one-year term. The Company defers revenue for the delivered elements until the undelivered element is delivered and then recognizes the delivered element revenue ratably over the longer of the contractual term or the estimated customer relationship period which is currently three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firstLine="630"/>
        <w:spacing w:after="0" w:line="264" w:lineRule="auto"/>
        <w:rPr>
          <w:sz w:val="20"/>
          <w:szCs w:val="20"/>
          <w:color w:val="auto"/>
        </w:rPr>
      </w:pPr>
      <w:r>
        <w:rPr>
          <w:rFonts w:ascii="Arial" w:cs="Arial" w:eastAsia="Arial" w:hAnsi="Arial"/>
          <w:sz w:val="18"/>
          <w:szCs w:val="18"/>
          <w:color w:val="auto"/>
        </w:rPr>
        <w:t>The Company measures and recognizes non-cash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 Compensation expense related to awards with a market condition is recognized regardless of the achievement of the market condition provided the requisite service period is met.</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Company uses the Black Scholes option pricing model, the closing price of the Company’s common stock on the date of grant, and the Monte Carlo simulation model, if the award has a market condition, to determine the fair value of stock options and restricted stock units (“RSUs”), respectively, granted pursuant to the Value Appreciation Rights Plan (“VAR Plan”), 2012 Omnibus Equity Incentive Plan (the “2012 Plan”) and stock purchased pursuant to the Employee Stock Purchase Plan (“2012 ESPP”), which are discussed further in Note 11, Equity-Based Compensation.</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determination of the grant date fair value using an option-pricing model and simulation model requires judgment as well as assumptions regarding a number of other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171" w:lineRule="exact"/>
        <w:rPr>
          <w:sz w:val="20"/>
          <w:szCs w:val="20"/>
          <w:color w:val="auto"/>
        </w:rPr>
      </w:pPr>
    </w:p>
    <w:p>
      <w:pPr>
        <w:ind w:left="980" w:right="20" w:hanging="324"/>
        <w:spacing w:after="0" w:line="293"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Value of Common Membership Unit. </w:t>
      </w:r>
      <w:r>
        <w:rPr>
          <w:rFonts w:ascii="Arial" w:cs="Arial" w:eastAsia="Arial" w:hAnsi="Arial"/>
          <w:sz w:val="16"/>
          <w:szCs w:val="16"/>
          <w:color w:val="auto"/>
        </w:rPr>
        <w:t>Prior to completion of the IPO, the Company’s fair value of common ownership interest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estimated internally and approved by the Board of Managers (“BOM”) because the Company was not publicly traded. The Company’s intention upon granting VAR Plan awards was for the granted award to have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6"/>
          <w:szCs w:val="16"/>
          <w:i w:val="1"/>
          <w:iCs w:val="1"/>
          <w:color w:val="auto"/>
        </w:rPr>
        <w:t>Valuation of a Business,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Interest, Security, or Intangible Asset</w:t>
      </w:r>
      <w:r>
        <w:rPr>
          <w:rFonts w:ascii="Arial" w:cs="Arial" w:eastAsia="Arial" w:hAnsi="Arial"/>
          <w:sz w:val="16"/>
          <w:szCs w:val="16"/>
          <w:color w:val="auto"/>
        </w:rPr>
        <w:t>. The assumptions used in the valuation model were based on future expectations combined</w:t>
      </w:r>
    </w:p>
    <w:p>
      <w:pPr>
        <w:sectPr>
          <w:pgSz w:w="11900" w:h="16867" w:orient="portrait"/>
          <w:cols w:equalWidth="0" w:num="1">
            <w:col w:w="11380"/>
          </w:cols>
          <w:pgMar w:left="240" w:top="125" w:right="279" w:bottom="0" w:gutter="0" w:footer="0" w:header="0"/>
        </w:sectPr>
      </w:pPr>
    </w:p>
    <w:bookmarkStart w:id="7" w:name="page8"/>
    <w:bookmarkEnd w:id="7"/>
    <w:p>
      <w:pPr>
        <w:ind w:left="980"/>
        <w:spacing w:after="0" w:line="270" w:lineRule="auto"/>
        <w:rPr>
          <w:sz w:val="20"/>
          <w:szCs w:val="20"/>
          <w:color w:val="auto"/>
        </w:rPr>
      </w:pPr>
      <w:r>
        <w:rPr>
          <w:rFonts w:ascii="Arial" w:cs="Arial" w:eastAsia="Arial" w:hAnsi="Arial"/>
          <w:sz w:val="17"/>
          <w:szCs w:val="17"/>
          <w:color w:val="auto"/>
        </w:rPr>
        <w:t>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the common 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 the NYSE, the grant date fair value for stock-based awards is based on the closing price of the Company’s common stock on the NYSE on the date of grant and fair value for all other purposes related to stock-based awards shall be the closing price of the Company’s common stock on the NYSE on the relevant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is estimated using the simplified method allowed under Securities and Exchange Commission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w:t>
      </w:r>
    </w:p>
    <w:p>
      <w:pPr>
        <w:spacing w:after="0" w:line="170" w:lineRule="exact"/>
        <w:rPr>
          <w:rFonts w:ascii="Arial" w:cs="Arial" w:eastAsia="Arial" w:hAnsi="Arial"/>
          <w:sz w:val="18"/>
          <w:szCs w:val="18"/>
          <w:color w:val="auto"/>
        </w:rPr>
      </w:pPr>
    </w:p>
    <w:p>
      <w:pPr>
        <w:ind w:left="980" w:hanging="324"/>
        <w:spacing w:after="0" w:line="270" w:lineRule="auto"/>
        <w:tabs>
          <w:tab w:leader="none" w:pos="944"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Volatility. </w:t>
      </w:r>
      <w:r>
        <w:rPr>
          <w:rFonts w:ascii="Arial" w:cs="Arial" w:eastAsia="Arial" w:hAnsi="Arial"/>
          <w:sz w:val="17"/>
          <w:szCs w:val="17"/>
          <w:color w:val="auto"/>
        </w:rPr>
        <w:t>As the Company does not have a trading history for its common ownership interest pre-IPO or a significant range of its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post-IPO, the expected price volatility for the common ownership interest and common stock was estimated by taking the average historic price volatility for industry peers based on daily price observations over a period equivalent to the expected term of the VAR Plan awards and stock options granted post-IPO.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stock becomes available, or unless circumstances change such that the identified companies are no longer similar to the Company, in which case, more suitable companies whose share prices are publicly available would be utilized in the calculation.</w:t>
      </w:r>
    </w:p>
    <w:p>
      <w:pPr>
        <w:spacing w:after="0" w:line="181" w:lineRule="exact"/>
        <w:rPr>
          <w:rFonts w:ascii="Arial" w:cs="Arial" w:eastAsia="Arial" w:hAnsi="Arial"/>
          <w:sz w:val="17"/>
          <w:szCs w:val="17"/>
          <w:color w:val="auto"/>
        </w:rPr>
      </w:pPr>
    </w:p>
    <w:p>
      <w:pPr>
        <w:ind w:left="980" w:right="12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award group.</w:t>
      </w:r>
    </w:p>
    <w:p>
      <w:pPr>
        <w:spacing w:after="0" w:line="170" w:lineRule="exact"/>
        <w:rPr>
          <w:rFonts w:ascii="Arial" w:cs="Arial" w:eastAsia="Arial" w:hAnsi="Arial"/>
          <w:sz w:val="18"/>
          <w:szCs w:val="18"/>
          <w:color w:val="auto"/>
        </w:rPr>
      </w:pPr>
    </w:p>
    <w:p>
      <w:pPr>
        <w:ind w:left="980" w:right="20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Prior to the Reorganization, the Company has historically paid cash dividends or distributions to its members.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Reorganization, the Company has not paid cash distributions to its stockholders and it does not intend to do so for the foreseeable future. As a result, the Company used an expected dividend yield of zero.</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If any of the assumptions used in the Black-Scholes pricing model or Monte Carlo simulation model changes significantly, the fair value for future awards may differ materially compared with the awards granted previously. The awards granted pursuant to the VAR Plan, the 2012 Plan, and the 2012 ESPP are subject to a time-based vesting requirement and for certain award grants are also based on a market condition.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As of December 31, 2011, no equity-based compensation expense had been recognized with respect to the VAR Plan awards because the qualifying event had not occurred. As a result of the completion of the initial public offering (“IPO”) in October 2012, the Company began recording stock-based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173"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For pre-IPO equity based awards that qualified for liability classification, the Company has elected to use the intrinsic value method to value the common membership interest in accordance with authoritative guidance on stock compensation. See Note 11, Equity-Based Compensation,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is a Delaware corporation and is therefore subject to federal and state income tax. Significant management judgment is required in projecting ordinary income/(loss) in order to determine the Company’s estimated effective tax rate.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provisions, if any, and related penalties and interest, if any, are included in the income tax provision.</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 is subject to compliance requirements for certain non income taxes, including value added taxes, sales taxes and royalty withholding taxes. Where appropriate, the Company has made accruals for these taxes, which are reflected in the Company’s consolidated financial statements.</w:t>
      </w:r>
    </w:p>
    <w:p>
      <w:pPr>
        <w:sectPr>
          <w:pgSz w:w="11900" w:h="16838" w:orient="portrait"/>
          <w:cols w:equalWidth="0" w:num="1">
            <w:col w:w="11400"/>
          </w:cols>
          <w:pgMar w:left="240" w:top="125" w:right="259" w:bottom="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Basic net income per share is computed by dividing the net income attributable to common stockholders by the weighted average number of common shares outstanding during the period. The Company applies the two class method for calculating and presenting income per share. Under the two-class method, net income is allocated between shares of common stock and other participating 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stockholders based on the weighted average number of shares for each class of securities outstanding during the applicable period as a percentage of the combined weighted average number of these securities outstanding during the period. Income available to common stockholders is computed by deducting dividends paid to preferred stockholders, accretion to redemption value on preferred members shares, less income allocated to participating securities including unvested shares for the restricted award holder since these unvested shares have participating rights. See Note 11, Equity-Based Compensation, for further discussion.</w:t>
      </w:r>
    </w:p>
    <w:p>
      <w:pPr>
        <w:spacing w:after="0" w:line="173"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Diluted net income per share is computed by dividing the net income available to common stockholders adjusted for any changes in income that would result from the assumed conversion of the potential common shares by the weighted average common shares outstanding and all potential common shares, if they are dilutive. Diluted net income available to common stockholders for the three and six months ended June 30, 2014 includes the effect of 2,258,623 and 2,173,402 shares, respectively, while 621,799 and 400,842 shares, respectively, were excluded since they were anti-dilutive. Diluted net income available to common stockholders for the three and six months ended June 30, 2013 includes the effect of 1,716,301 and 1,776,776 shares, respectively, while 257,800 and 155,775 shares, respectively, were excluded since they were anti-dilutive.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assumed exercised shares used in calculating basic and diluted net income per share available to common stockholders follows:</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308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2920" w:type="dxa"/>
            <w:vAlign w:val="bottom"/>
            <w:gridSpan w:val="5"/>
          </w:tcPr>
          <w:p>
            <w:pPr>
              <w:ind w:left="5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52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35,148,876</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33,471,679</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35,089,254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33,435,439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8"/>
                <w:szCs w:val="18"/>
                <w:color w:val="auto"/>
                <w:w w:val="99"/>
              </w:rPr>
              <w:t>Stock options and employee stock purchase</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plan shares</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625,273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523,613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665,628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440,345</w:t>
            </w:r>
          </w:p>
        </w:tc>
        <w:tc>
          <w:tcPr>
            <w:tcW w:w="100" w:type="dxa"/>
            <w:vAlign w:val="bottom"/>
          </w:tcPr>
          <w:p>
            <w:pPr>
              <w:spacing w:after="0"/>
              <w:rPr>
                <w:sz w:val="20"/>
                <w:szCs w:val="20"/>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100,640</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45,642</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103,017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CEEFF"/>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Diluted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35,874,789</w:t>
            </w:r>
          </w:p>
        </w:tc>
        <w:tc>
          <w:tcPr>
            <w:tcW w:w="2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34,040,934</w:t>
            </w:r>
          </w:p>
        </w:tc>
        <w:tc>
          <w:tcPr>
            <w:tcW w:w="2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35,857,899</w:t>
            </w:r>
          </w:p>
        </w:tc>
        <w:tc>
          <w:tcPr>
            <w:tcW w:w="2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33,903,898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May 2014, the Financial Accounting Standards Board (“FASB”) issued new accounting guidance related to revenue recognition. This new standard will replace all current GAAP guidance on this topic and will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This guidance will be effective beginning January 1, 2017 and can be applied either retrospectively to each period presented or as a cumulative-effect adjustment as of the date of adoption. The Company is evaluating the impact, if any, of adopting this new accounting standard on its financial statements.</w:t>
      </w:r>
    </w:p>
    <w:p>
      <w:pPr>
        <w:spacing w:after="0" w:line="18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June 2014, the FASB issued new guidance related to stock compensation. The new standard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periods for which the requisite service has already been rendered. The new standard is effective for fiscal years, and interim periods within those fiscal years, beginning after December 15, 2015 and can be applied either prospectively or retrospectively to all awards outstanding as of the beginning of the earliest annual period presented as an adjustment to opening retained earnings. Early adoption is permitted. The Company is evaluating the impact, if any, of adopting this new accounting standard on its financial statements.</w:t>
      </w:r>
    </w:p>
    <w:p>
      <w:pPr>
        <w:spacing w:after="0" w:line="175" w:lineRule="exact"/>
        <w:rPr>
          <w:sz w:val="20"/>
          <w:szCs w:val="20"/>
          <w:color w:val="auto"/>
        </w:rPr>
      </w:pPr>
    </w:p>
    <w:p>
      <w:pPr>
        <w:ind w:left="660" w:right="6980" w:hanging="652"/>
        <w:spacing w:after="0" w:line="560" w:lineRule="auto"/>
        <w:tabs>
          <w:tab w:leader="none" w:pos="26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 Term Investments and Fair Value Measurements </w:t>
      </w:r>
      <w:r>
        <w:rPr>
          <w:rFonts w:ascii="Arial" w:cs="Arial" w:eastAsia="Arial" w:hAnsi="Arial"/>
          <w:sz w:val="16"/>
          <w:szCs w:val="16"/>
          <w:color w:val="auto"/>
        </w:rPr>
        <w:t>Short term investments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As of June 30, 2014</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0"/>
                <w:szCs w:val="10"/>
                <w:color w:val="auto"/>
              </w:rPr>
            </w:pPr>
          </w:p>
        </w:tc>
        <w:tc>
          <w:tcPr>
            <w:tcW w:w="10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02"/>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 Market</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54,997</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54,997</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619"/>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As of December 31, 2013</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0"/>
                <w:szCs w:val="10"/>
                <w:color w:val="auto"/>
              </w:rPr>
            </w:pPr>
          </w:p>
        </w:tc>
        <w:tc>
          <w:tcPr>
            <w:tcW w:w="10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02"/>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54,431</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Company’s fair value hierarchy for its assets and liabilities:</w:t>
      </w:r>
    </w:p>
    <w:p>
      <w:pPr>
        <w:sectPr>
          <w:pgSz w:w="11900" w:h="16838" w:orient="portrait"/>
          <w:cols w:equalWidth="0" w:num="1">
            <w:col w:w="11460"/>
          </w:cols>
          <w:pgMar w:left="240" w:top="368" w:right="199" w:bottom="0" w:gutter="0" w:footer="0" w:header="0"/>
        </w:sectPr>
      </w:pPr>
    </w:p>
    <w:bookmarkStart w:id="9" w:name="page10"/>
    <w:bookmarkEnd w:id="9"/>
    <w:p>
      <w:pPr>
        <w:spacing w:after="0" w:line="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0"/>
              </w:rPr>
              <w:t>As of June 30, 2014</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Aggregate Fair</w:t>
            </w:r>
          </w:p>
        </w:tc>
        <w:tc>
          <w:tcPr>
            <w:tcW w:w="260" w:type="dxa"/>
            <w:vAlign w:val="bottom"/>
          </w:tcPr>
          <w:p>
            <w:pPr>
              <w:spacing w:after="0"/>
              <w:rPr>
                <w:sz w:val="10"/>
                <w:szCs w:val="10"/>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81,036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81,036</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54,997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136,033</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81,036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54,997</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5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Acquisition related 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0"/>
              </w:rPr>
              <w:t>As of December 31, 2013</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Aggregate Fair</w:t>
            </w:r>
          </w:p>
        </w:tc>
        <w:tc>
          <w:tcPr>
            <w:tcW w:w="260" w:type="dxa"/>
            <w:vAlign w:val="bottom"/>
          </w:tcPr>
          <w:p>
            <w:pPr>
              <w:spacing w:after="0"/>
              <w:rPr>
                <w:sz w:val="10"/>
                <w:szCs w:val="10"/>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81,548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81,548</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54,429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54,429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135,977</w:t>
            </w:r>
          </w:p>
        </w:tc>
        <w:tc>
          <w:tcPr>
            <w:tcW w:w="2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The Company’s investments classified as level 2 are priced using quoted market prices for identical assets which are subject to infrequent transactions. Cash equivalents consist of balances in money market accounts which are classified as a level 1 measurement based on bank reporting. The Company reassesses the fair value of contingent consideration to be settled in cash related to the WebDAM acquisition on a quarterly basis using the Monte-Carlo simulation approach. This contingency is considered a level 3 measurement. Significant assumptions used in the measurement include probabilities of achieving certain milestones and discount rates which are based on unobservable inputs that are supported by little or no market activity and reflect the Company’s own assumptions in measuring fair value. As a result of a shorter discounting period, the Company recorded a change in the fair value of the contingent consideration in the amount of $40 during the three months ended June 30, 2014 which is included in other (expense) income, net. As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June 30, 2014, the fair value of the contingent consideration increased to $2,400 based on its current fair value and is included in other non-current liabilities.</w:t>
      </w:r>
    </w:p>
    <w:p>
      <w:pPr>
        <w:spacing w:after="0" w:line="234"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Cash, accounts receivable, restricted cash, accounts payable, accrued expenses and deferred revenue carrying amounts approximate fair value because of the short-term maturity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Information About Revenue By Geographic Area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revenue based on customer location:</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ind w:left="54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7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7"/>
              </w:rPr>
              <w:t>29,212</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8"/>
                <w:szCs w:val="18"/>
                <w:color w:val="auto"/>
              </w:rPr>
            </w:pP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28,596</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20,129</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55,212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39,181</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22,430</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15,850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42,027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29,544</w:t>
            </w:r>
          </w:p>
        </w:tc>
        <w:tc>
          <w:tcPr>
            <w:tcW w:w="80" w:type="dxa"/>
            <w:vAlign w:val="bottom"/>
            <w:shd w:val="clear" w:color="auto" w:fill="CCEEFF"/>
          </w:tcPr>
          <w:p>
            <w:pPr>
              <w:spacing w:after="0"/>
              <w:rPr>
                <w:sz w:val="18"/>
                <w:szCs w:val="18"/>
                <w:color w:val="auto"/>
              </w:rPr>
            </w:pPr>
          </w:p>
        </w:tc>
      </w:tr>
      <w:tr>
        <w:trPr>
          <w:trHeight w:val="210"/>
        </w:trPr>
        <w:tc>
          <w:tcPr>
            <w:tcW w:w="2700" w:type="dxa"/>
            <w:vAlign w:val="bottom"/>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7"/>
              </w:rPr>
              <w:t>80,238</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56,809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153,016</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Included in North America is the United States which comprises 32% and 33% of total revenue for the three months ended June 30, 2014 and 2013, respectively, and 32% and 32% of total revenue for the six months ended June 30, 2014 and 2013, respectively. No other country accounts for more than 10% of the Company’s revenue in any period. All long-lived assets are located 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Company’s goodwill balance is attributable to its Bigstockphoto, Inc. (“Bigstock”) and WebDAM reporting units and is tested for impairment at least annually on October 1 or upon a triggering event. The following table summarizes the changes in the Company’s goodwill balance through June 30, 2014:</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Bigstock</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WebDAM</w:t>
            </w: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Consolidated</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Goodwill related to acquisition</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8,763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8,763</w:t>
            </w: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2014</w:t>
            </w: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as of June 30, 2014 and December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3"/>
          </w:tcPr>
          <w:p>
            <w:pPr>
              <w:jc w:val="right"/>
              <w:ind w:right="1117"/>
              <w:spacing w:after="0"/>
              <w:rPr>
                <w:sz w:val="20"/>
                <w:szCs w:val="20"/>
                <w:color w:val="auto"/>
              </w:rPr>
            </w:pPr>
            <w:r>
              <w:rPr>
                <w:rFonts w:ascii="Arial" w:cs="Arial" w:eastAsia="Arial" w:hAnsi="Arial"/>
                <w:sz w:val="14"/>
                <w:szCs w:val="14"/>
                <w:b w:val="1"/>
                <w:bCs w:val="1"/>
                <w:color w:val="auto"/>
              </w:rPr>
              <w:t>As of June 30, 2014</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jc w:val="center"/>
              <w:ind w:left="330"/>
              <w:spacing w:after="0" w:line="119" w:lineRule="exact"/>
              <w:rPr>
                <w:sz w:val="20"/>
                <w:szCs w:val="20"/>
                <w:color w:val="auto"/>
              </w:rPr>
            </w:pPr>
            <w:r>
              <w:rPr>
                <w:rFonts w:ascii="Arial" w:cs="Arial" w:eastAsia="Arial" w:hAnsi="Arial"/>
                <w:sz w:val="13"/>
                <w:szCs w:val="13"/>
                <w:b w:val="1"/>
                <w:bCs w:val="1"/>
                <w:color w:val="auto"/>
                <w:w w:val="90"/>
              </w:rPr>
              <w:t>Gross</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0"/>
                <w:szCs w:val="10"/>
                <w:color w:val="auto"/>
              </w:rPr>
            </w:pPr>
          </w:p>
        </w:tc>
        <w:tc>
          <w:tcPr>
            <w:tcW w:w="1400" w:type="dxa"/>
            <w:vAlign w:val="bottom"/>
          </w:tcPr>
          <w:p>
            <w:pPr>
              <w:jc w:val="center"/>
              <w:ind w:right="457"/>
              <w:spacing w:after="0" w:line="119" w:lineRule="exact"/>
              <w:rPr>
                <w:sz w:val="20"/>
                <w:szCs w:val="20"/>
                <w:color w:val="auto"/>
              </w:rPr>
            </w:pPr>
            <w:r>
              <w:rPr>
                <w:rFonts w:ascii="Arial" w:cs="Arial" w:eastAsia="Arial" w:hAnsi="Arial"/>
                <w:sz w:val="13"/>
                <w:szCs w:val="13"/>
                <w:b w:val="1"/>
                <w:bCs w:val="1"/>
                <w:color w:val="auto"/>
              </w:rPr>
              <w:t>Net</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ind w:left="330"/>
              <w:spacing w:after="0" w:line="149"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437"/>
              <w:spacing w:after="0" w:line="149" w:lineRule="exact"/>
              <w:rPr>
                <w:sz w:val="20"/>
                <w:szCs w:val="20"/>
                <w:color w:val="auto"/>
              </w:rPr>
            </w:pPr>
            <w:r>
              <w:rPr>
                <w:rFonts w:ascii="Arial" w:cs="Arial" w:eastAsia="Arial" w:hAnsi="Arial"/>
                <w:sz w:val="14"/>
                <w:szCs w:val="14"/>
                <w:b w:val="1"/>
                <w:bCs w:val="1"/>
                <w:color w:val="auto"/>
                <w:w w:val="97"/>
              </w:rPr>
              <w:t>Carrying</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Average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center"/>
              <w:ind w:left="33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400" w:type="dxa"/>
            <w:vAlign w:val="bottom"/>
          </w:tcPr>
          <w:p>
            <w:pPr>
              <w:jc w:val="center"/>
              <w:ind w:right="457"/>
              <w:spacing w:after="0"/>
              <w:rPr>
                <w:sz w:val="20"/>
                <w:szCs w:val="20"/>
                <w:color w:val="auto"/>
              </w:rPr>
            </w:pPr>
            <w:r>
              <w:rPr>
                <w:rFonts w:ascii="Arial" w:cs="Arial" w:eastAsia="Arial" w:hAnsi="Arial"/>
                <w:sz w:val="14"/>
                <w:szCs w:val="14"/>
                <w:b w:val="1"/>
                <w:bCs w:val="1"/>
                <w:color w:val="auto"/>
                <w:w w:val="94"/>
              </w:rPr>
              <w:t>Amount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 assets:</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Customer relationship</w:t>
            </w:r>
          </w:p>
        </w:tc>
        <w:tc>
          <w:tcPr>
            <w:tcW w:w="2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3,400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(721)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2,679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734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Developed technology</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574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Contributor content</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307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Patents</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169</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3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118" w:right="279" w:bottom="0" w:gutter="0" w:footer="0" w:header="0"/>
        </w:sectPr>
      </w:pPr>
    </w:p>
    <w:bookmarkStart w:id="10" w:name="page11"/>
    <w:bookmarkEnd w:id="10"/>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Domain name</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As of December 31, 2013</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jc w:val="center"/>
              <w:ind w:left="328"/>
              <w:spacing w:after="0" w:line="119" w:lineRule="exact"/>
              <w:rPr>
                <w:sz w:val="20"/>
                <w:szCs w:val="20"/>
                <w:color w:val="auto"/>
              </w:rPr>
            </w:pPr>
            <w:r>
              <w:rPr>
                <w:rFonts w:ascii="Arial" w:cs="Arial" w:eastAsia="Arial" w:hAnsi="Arial"/>
                <w:sz w:val="13"/>
                <w:szCs w:val="13"/>
                <w:b w:val="1"/>
                <w:bCs w:val="1"/>
                <w:color w:val="auto"/>
                <w:w w:val="90"/>
              </w:rPr>
              <w:t>Gross</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0"/>
                <w:szCs w:val="10"/>
                <w:color w:val="auto"/>
              </w:rPr>
            </w:pPr>
          </w:p>
        </w:tc>
        <w:tc>
          <w:tcPr>
            <w:tcW w:w="14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Net</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Average Life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Amortizing intangible assets:</w:t>
            </w:r>
          </w:p>
        </w:tc>
        <w:tc>
          <w:tcPr>
            <w:tcW w:w="1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Customer relationship</w:t>
            </w:r>
          </w:p>
        </w:tc>
        <w:tc>
          <w:tcPr>
            <w:tcW w:w="222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Contributor content</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323</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color w:val="auto"/>
              </w:rPr>
              <w:t>Domain name</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9"/>
              </w:rPr>
              <w:t>15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Amortization expense was $167 and $55 for the three months ended June 30, 2014 and 2013, respectively, and $218 and $112 for the six months ended June 30, 2014 and 2013, respectively. The Company also determined that there was no indication of impairment for the intangible assets for all periods presented. Estimated amortization expense for the next five years is: $333 for the remaining six months of 2014, $665 in 2015, $665 in 2016, $665 in 2017, $635 in 2018 and $1,583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summarized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3"/>
              </w:rPr>
              <w:t>21,333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2,119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13,898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10,669</w:t>
            </w:r>
          </w:p>
        </w:tc>
        <w:tc>
          <w:tcPr>
            <w:tcW w:w="8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3"/>
              </w:rPr>
              <w:t>37,350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(7,109)</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3"/>
              </w:rPr>
              <w:t>27,575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Depreciation expense amounted to $1,914 and $889 for the three months ended June 30, 2014 and 2013, respectively, and $3,414 and $1,613 for the six months ended June 30, 2014 and 2013, respectively. Depreciation expense is included in cost of revenue and general and administrative expense based on the nature of the asset. In connection with its move to its new headquarters, the Company recorded a loss on disposal of certain fixed assets in the amount of $367 for the six months ended June 30, 2014. There was no loss on disposal for the three months ended June 30, 2014 and 2013 and for the six months ended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Royalty tax withholdings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Compensation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Non-income taxes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Construction costs</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w:t>
            </w:r>
          </w:p>
        </w:tc>
        <w:tc>
          <w:tcPr>
            <w:tcW w:w="100" w:type="dxa"/>
            <w:vAlign w:val="bottom"/>
            <w:shd w:val="clear" w:color="auto" w:fill="CCEEFF"/>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Company’s effective tax rates for the three months ended June 30, 2014 and 2013 are 42.2% and 37.4%, respectively. The Company’s effective tax rates for the six months ended June 30, 2014 and 2013 are 44.2% and 40.6%, respectively. The Company incurred a discrete tax expense relating to a change in its state apportionment percentage during the three and six months ended June 30, 2014, which increased the effective tax rate by 0.3% and 3.4%, respectively. Excluding this discrete expense, the effective rate would be 41.9% and 40.8%, respectively, for the three and six months ended June 30, 2014. The Company has computed the provision for income taxes based on the estimated annual effective tax rates and the application of discrete items, if any, in the applicable period. The effective tax rate differs from the statutory tax rate due primarily to non-deductible expenses related to non-cash equity-based compensation, and meals and entertainment.</w:t>
      </w:r>
    </w:p>
    <w:p>
      <w:pPr>
        <w:spacing w:after="0" w:line="18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During the three and six months ended June 30, 2014, the Company did not record additional unrecognized tax benefits. During the three and six months ended 2013, the Company recorded an unrecognized tax benefit in the amount of $973 for uncertain tax positions taken in prior years. To the extent these unrecognized tax benefits are ultimately recognized, the Company’s effective tax rate may be impacted in future periods.</w:t>
      </w:r>
    </w:p>
    <w:p>
      <w:pPr>
        <w:sectPr>
          <w:pgSz w:w="11900" w:h="16907" w:orient="portrait"/>
          <w:cols w:equalWidth="0" w:num="1">
            <w:col w:w="11460"/>
          </w:cols>
          <w:pgMar w:left="240" w:top="140" w:right="199" w:bottom="0" w:gutter="0" w:footer="0" w:header="0"/>
        </w:sectPr>
      </w:pPr>
    </w:p>
    <w:bookmarkStart w:id="11" w:name="page12"/>
    <w:bookmarkEnd w:id="11"/>
    <w:p>
      <w:pPr>
        <w:spacing w:after="0" w:line="2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 accrued interest and penalties in the amount of $25 and $2 related to unrecognized tax benefits for the three months ended June 30, 2014 and 2013, respectively, and during the six months ended June 30, 2014 and 2013, the Company accrued interest and penalties in the amount of $47 and $11 related to unrecognized tax benefits.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It is the Company’s practice and intention to indefinitely reinvest the earnings of its foreign subsidiaries in those operations. As of June 30, 2014, the excess of the amount for financial reporting over the tax basis of investment in these foreign subsidiaries is insignificant and the unrecognized deferred tax liability is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 Facility</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September 21, 2012, the Company entered into a Loan and Security Agreement with Silicon Valley Bank providing for a $12,000 term loan facility, which the Company refers to as the term loan facility. On December 24, 2012, the Company paid down $6,000 of the term loan facility. On March 25, 2013, the Company paid off the remaining $6,000 of the loan facility.</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capitalizes costs directly associated with acquiring third party financing. During the three months ended March 31, 2013, the Company accelerated and recognized $125 as a result of paying off the term loan facility.</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was in compliance with the financial covenants and other covenants applicable to it under the term loan facility during the three months ended March 31, 2013 prior to paying off the term loan facility on March 25,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leases facilities under agreements accounted for as operating leases. Rental expense, inclusive of operating leases, for the three months ended June 30, 2014 and 2013 was $976 and $531, respectively, and for the six months ended June 30, 2014 and 2013 was $2,167 and $1,029,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taxes and operating expense increases.</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March 21, 2013, the Company entered into an operating lease agreement to lease its new office facility in New York, New York. The Company took possession of the premises during the third quarter of 2013, and as a result, the lease commenced. The Company also entered into a letter of credit in the amount of $1,829 as a security deposit for the leased facilities. The letter of credit was collateralized by $1,829 of cash as of June 30, 2014 and December 31, 2013, and as such, is considered to be restricted cash and is included in other assets on the consolidated balance sheet. The lease term is eleven years from the commencement date and aggregate future minimum lease payments are approximately $38,200.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2014, the Company had no significant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June 30, 2014 and December 31, 2013, the Company had unconditional purchase obligations in the amount of $9,646 and $5,864, respectively, which consisted primarily of contracts related to infrastructure services.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June 30, 2014, the Company’s unconditional purchase obligations for the remainder of 2014 and for the years ending December 31, 2015, 2016 and 2017 are $3,354, $4,820, $1,408 and $64, respectively. As of December 31, 2013, the Company’s unconditional purchase obligations for the years ending December 31, 2014, 2015 and 2016 are $3,454, $1,845 and $565,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$10. The Company offers certain of its customers greater levels of indemnification, including unlimited indemnification. As of June 30, 2014 and as of December 31, 2013, the Company has recorded no</w:t>
      </w:r>
    </w:p>
    <w:p>
      <w:pPr>
        <w:sectPr>
          <w:pgSz w:w="11900" w:h="16867" w:orient="portrait"/>
          <w:cols w:equalWidth="0" w:num="1">
            <w:col w:w="11420"/>
          </w:cols>
          <w:pgMar w:left="240" w:top="341" w:right="239" w:bottom="0" w:gutter="0" w:footer="0" w:header="0"/>
        </w:sectPr>
      </w:pPr>
    </w:p>
    <w:bookmarkStart w:id="12" w:name="page13"/>
    <w:bookmarkEnd w:id="12"/>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has a 401(k) defined contribution plan (“401(k) Plan”) and provides for annual discretionary employer matching contributions not to exceed 3% of employees’ compensation per year. Matching contributions are fully vested and non-forfeitable at all times.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recorded employer matching contributions of $237 and $178 for the three months ended June 30, 2014 and 2013, respectively, and $445 and $317 for the six months ended June 30,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the Company’s stock option awards activity for the six months ended June 30, 2014:</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Plan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1,861,761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542,750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(243,757)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(70,536)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2,090,218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Vested and exercisable at June 30, 2014</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591,851</w:t>
            </w:r>
          </w:p>
        </w:tc>
        <w:tc>
          <w:tcPr>
            <w:tcW w:w="2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18.32</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66"/>
        <w:spacing w:after="0" w:line="264" w:lineRule="auto"/>
        <w:rPr>
          <w:sz w:val="20"/>
          <w:szCs w:val="20"/>
          <w:color w:val="auto"/>
        </w:rPr>
      </w:pPr>
      <w:r>
        <w:rPr>
          <w:rFonts w:ascii="Arial" w:cs="Arial" w:eastAsia="Arial" w:hAnsi="Arial"/>
          <w:sz w:val="18"/>
          <w:szCs w:val="18"/>
          <w:color w:val="auto"/>
        </w:rPr>
        <w:t>The intrinsic value of the total stock options outstanding at June 30, 2014 and at December 31, 2013 was approximately $91,800 and $107,100, respectively. The intrinsic value of the total stock options vested and exercisable at June 30, 2014 and at December 31, 2013 was approximately $38,300 and $38,900, respectively.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weighted average assumptions were used in the fair value calculation of stock options granted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center"/>
              <w:ind w:left="698"/>
              <w:spacing w:after="0"/>
              <w:rPr>
                <w:sz w:val="20"/>
                <w:szCs w:val="20"/>
                <w:color w:val="auto"/>
              </w:rPr>
            </w:pPr>
            <w:r>
              <w:rPr>
                <w:rFonts w:ascii="Arial" w:cs="Arial" w:eastAsia="Arial" w:hAnsi="Arial"/>
                <w:sz w:val="14"/>
                <w:szCs w:val="14"/>
                <w:b w:val="1"/>
                <w:bCs w:val="1"/>
                <w:color w:val="auto"/>
                <w:w w:val="93"/>
              </w:rPr>
              <w:t>Six Months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8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w w:val="91"/>
              </w:rPr>
              <w:t>Ended June 30,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8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2.1-2.8%</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April 24, 2014, the Company granted 500,000 stock options with a market-based condition to its Chief Executive Officer (“CEO”). The stock options have an exercise price of $80.94 per share and will not vest or become exercisable unless (i) the CEO remains continuously employed by the Company until the fifth anniversary of the date of grant and (ii) the average 90-day closing price of the Company’s common stock equals or exceeds $161.88 for any 90 consecutive calendar days during the period commencing on the fifth anniversary of the date of grant and ending on the tenth anniversary of the date of grant, inclusive provided that the CEO remains continuously employed by the Company until the date of satisfaction of such condition. The derived requisite service period was determined to be six years based on a valuation technique. The total fair value of the grant is $21,630 and is being recognized over the derived requisite service period. In the event that the market condition remains unsatisfied upon completion of the requisite service period, no charge will be reversed.</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recognized non-cash equity-based compensation expense of $2,043 and $1,130, net of forfeitures, in connection with the vesting of stock options during the three months ended June 30, 2014 and 2013. The Company recognized non-cash equity-based compensation expense of $3,729 and $1,744, net of forfeitures, in connection with the vesting of stock options during the six months ended June 30, 2014 and 2013. As of June 30, 2014, the total unrecognized compensation charge related to 2012 Plan non-vested options is approximately $34,700, which is expected to be recognized through fiscal year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and Restricted Stock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the Company’s RSUs activity for the six months ended June 30, 2014:</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524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December 31,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Units granted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583,725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83.67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Units vested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Units cancelled or forfeited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86.85</w:t>
            </w:r>
          </w:p>
        </w:tc>
      </w:tr>
      <w:tr>
        <w:trPr>
          <w:trHeight w:val="158"/>
        </w:trPr>
        <w:tc>
          <w:tcPr>
            <w:tcW w:w="52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bl>
    <w:p>
      <w:pPr>
        <w:sectPr>
          <w:pgSz w:w="11900" w:h="16900" w:orient="portrait"/>
          <w:cols w:equalWidth="0" w:num="1">
            <w:col w:w="11360"/>
          </w:cols>
          <w:pgMar w:left="240" w:top="125" w:right="299" w:bottom="0" w:gutter="0" w:footer="0" w:header="0"/>
        </w:sectPr>
      </w:pPr>
    </w:p>
    <w:bookmarkStart w:id="13" w:name="page14"/>
    <w:bookmarkEnd w:id="13"/>
    <w:p>
      <w:pPr>
        <w:spacing w:after="0" w:line="123" w:lineRule="exact"/>
        <w:rPr>
          <w:sz w:val="20"/>
          <w:szCs w:val="20"/>
          <w:color w:val="auto"/>
        </w:rPr>
      </w:pPr>
    </w:p>
    <w:p>
      <w:pPr>
        <w:ind w:left="1300"/>
        <w:spacing w:after="0"/>
        <w:tabs>
          <w:tab w:leader="none" w:pos="7300" w:val="left"/>
          <w:tab w:leader="none" w:pos="8180" w:val="left"/>
          <w:tab w:leader="none" w:pos="9140" w:val="left"/>
        </w:tabs>
        <w:rPr>
          <w:sz w:val="20"/>
          <w:szCs w:val="20"/>
          <w:color w:val="auto"/>
        </w:rPr>
      </w:pPr>
      <w:r>
        <w:rPr>
          <w:rFonts w:ascii="Arial" w:cs="Arial" w:eastAsia="Arial" w:hAnsi="Arial"/>
          <w:sz w:val="18"/>
          <w:szCs w:val="18"/>
          <w:color w:val="auto"/>
        </w:rPr>
        <w:t>Non-vested balance at June 30, 2014</w:t>
      </w:r>
      <w:r>
        <w:rPr>
          <w:sz w:val="20"/>
          <w:szCs w:val="20"/>
          <w:color w:val="auto"/>
        </w:rPr>
        <w:tab/>
      </w:r>
      <w:r>
        <w:rPr>
          <w:rFonts w:ascii="Arial" w:cs="Arial" w:eastAsia="Arial" w:hAnsi="Arial"/>
          <w:sz w:val="18"/>
          <w:szCs w:val="18"/>
          <w:color w:val="auto"/>
        </w:rPr>
        <w:t>587,425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530860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08600" cy="163195"/>
                    </a:xfrm>
                    <a:prstGeom prst="rect">
                      <a:avLst/>
                    </a:prstGeom>
                    <a:noFill/>
                  </pic:spPr>
                </pic:pic>
              </a:graphicData>
            </a:graphic>
          </wp:anchor>
        </w:drawing>
      </w:r>
    </w:p>
    <w:p>
      <w:pPr>
        <w:spacing w:after="0" w:line="246"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Company recognized non-cash stock-based compensation expense of $3,381 and $18, net of estimated forfeitures, in connection with the vesting of RSUs during the three months ended June 30, 2014 and 2013, respectively. The Company recognized non-cash stock-based compensation expense of $4,282 and $18, net of estimated forfeitures, in connection with the vesting of RSUs during the six months ended June 30, 2014 and 2013, respectively.</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connection with the Reorganization, membership interest in the LLC was exchanged for restricted and unrestricted shares of the Company’s stock. The Amended and Restated Restricted Stock Agreement entered into by the Company with an executive governs the terms of the restricted stock inclusive of service vesting terms. As the restricted shares vest, the award’s restrictions will be removed. The Company recognized non-cash equity-based compensation expense of $259, which is included in general and administrative expense, during the three months ended June 30, 2014 and 2013, in connection with the normal vesting of restricted stock. The Company recognized non-cash equity-based compensation expense of $518, which is included in general and administrative expense, during the six months ended June 30, 2014 and 2013, in connection with the normal vesting of restricted stock.</w:t>
      </w:r>
    </w:p>
    <w:p>
      <w:pPr>
        <w:spacing w:after="0" w:line="16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connection with the WebDAM acquisition, in order to retain the services of certain former WebDAM employees, the Company granted non-vested RSUs that will vest over two years from the date of acquisition. As these equity awards are subject to post-acquisition employment, the Company accounts for them as compensation expense. A portion of these equity awards are accounted for as liability-classified awards, because the obligations are based on fixed monetary amounts that are known at the inception of the obligation, to be settled with a variable number of shares of the Company’s common stock when the equity awards vest. The Company recognized non-cash stock-based compensation expense of $414 and $491, respectively, in connection with the vesting of these obligations during the three and six months ended June 30, 2014, respectively. There was no non-cash stock-based compensation expense related to these obligations during the three and six months ended June 30, 2013.</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April 24, 2014, the Company granted 100,000 RSUs with a market-based condition to its Chief Executive Officer (“CEO”). The RSUs will not vest or become exercisable unless (i) the CEO remains continuously employed by the Company until the fifth anniversary of the date of grant and (ii) the average 90-day closing price of the Company’s common stock equals or exceeds $161.88 for any 90 consecutive calendar days during the period commencing on the fifth anniversary of the date of grant and ending on the tenth anniversary of the date of grant, inclusive provided that the CEO remains continuously employed by the Company until the date of satisfaction of such condition. The derived requisite service period was determined to be six years based on a valuation technique. The total fair value of the grant is $5,870 and is being recognized over the derived requisite service period. In the event that the market condition remains unsatisfied upon completion of the requisite service period, no charge will be reversed.</w:t>
      </w:r>
    </w:p>
    <w:p>
      <w:pPr>
        <w:spacing w:after="0" w:line="1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June 30, 2014, the total unrecognized non-cash stock-based compensation charge related to the 2012 Plan non-vested restricted stock and RSUs is approximately $47,700, which is expected to be recognized through fiscal year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October 10, 2012, the Company’s 2012 ESPP became effective. The Company recognized non-cash stock-based compensation expense of $159 and $147, net of estimated forfeitures, for the three months ended June 30, 2014 and 2013, respectively. The Company recognized non-cash stock-based compensation expense of $373 and $290, net of estimated forfeitures, for the six months ended June 30, 2014 and 2013. As of June 30, 2014, 112,030 shares of the Company’s common stock have been issued under the 2012 ESPP.</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non-cash equity-based compensation expense included in the Company’s statement of operations for the three and six months ended June 30, 2014 and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Pr>
          <w:p>
            <w:pPr>
              <w:spacing w:after="0"/>
              <w:rPr>
                <w:sz w:val="14"/>
                <w:szCs w:val="14"/>
                <w:color w:val="auto"/>
              </w:rPr>
            </w:pPr>
          </w:p>
        </w:tc>
      </w:tr>
      <w:tr>
        <w:trPr>
          <w:trHeight w:val="142"/>
        </w:trPr>
        <w:tc>
          <w:tcPr>
            <w:tcW w:w="980" w:type="dxa"/>
            <w:vAlign w:val="bottom"/>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617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968</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1,870</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1,775</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2,724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3,145</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811</w:t>
            </w:r>
          </w:p>
        </w:tc>
        <w:tc>
          <w:tcPr>
            <w:tcW w:w="300" w:type="dxa"/>
            <w:vAlign w:val="bottom"/>
          </w:tcPr>
          <w:p>
            <w:pPr>
              <w:spacing w:after="0"/>
              <w:rPr>
                <w:sz w:val="18"/>
                <w:szCs w:val="18"/>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4,182</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1,314</w:t>
            </w:r>
          </w:p>
        </w:tc>
        <w:tc>
          <w:tcPr>
            <w:tcW w:w="13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9,393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82"/>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Cautionary Statement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interim consolidated financial statements contained elsewhere in this quarterly report on Form 10-Q and with information contained in our other filings, including the audited consolidated financial statements included in our Annual Report on Form 10-K for the year ended December 31, 2013.</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of this Quarterly Report on Form 10-Q and in other parts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operate an industry-leading global marketplace for commercial digital imagery and music. Commercial digital imagery consists of licensed photographs, illustrations and videos that companies use in their visual communications, such as websites, digital and print marketing materials, corporate</w:t>
      </w:r>
    </w:p>
    <w:p>
      <w:pPr>
        <w:sectPr>
          <w:pgSz w:w="11900" w:h="16962" w:orient="portrait"/>
          <w:cols w:equalWidth="0" w:num="1">
            <w:col w:w="11460"/>
          </w:cols>
          <w:pgMar w:left="240" w:top="125" w:right="199" w:bottom="0" w:gutter="0" w:footer="0" w:header="0"/>
        </w:sectPr>
      </w:pPr>
    </w:p>
    <w:bookmarkStart w:id="14" w:name="page15"/>
    <w:bookmarkEnd w:id="14"/>
    <w:p>
      <w:pPr>
        <w:ind w:right="480"/>
        <w:spacing w:after="0" w:line="342" w:lineRule="auto"/>
        <w:rPr>
          <w:sz w:val="20"/>
          <w:szCs w:val="20"/>
          <w:color w:val="auto"/>
        </w:rPr>
      </w:pPr>
      <w:r>
        <w:rPr>
          <w:rFonts w:ascii="Arial" w:cs="Arial" w:eastAsia="Arial" w:hAnsi="Arial"/>
          <w:sz w:val="16"/>
          <w:szCs w:val="16"/>
          <w:color w:val="auto"/>
        </w:rPr>
        <w:t>communications, books, publications and video content while music consists of high-quality music tracks which is often used to complement the digital imagery. Demand for commercial digital imagery and music comes primarily from businesses, marketing agencies and media organizations.</w:t>
      </w:r>
    </w:p>
    <w:p>
      <w:pPr>
        <w:spacing w:after="0" w:line="124"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Our global online marketplace brings together users of commercial digital imagery and music with creators from around the world. More than one million active, paying users contributed to revenue through June 30, 2014. We have historically benefitted from a high degree of revenue retention from both subscription-based and On Demand customers. For example, in 2013, 2012 and 2011, we experienced year-to-year revenue retention of 99%, 100%, and 102%, respectively. This means that customers that contributed to revenue in 2012 contributed, in the aggregate, 99% as much revenue in 2013 as they did in 2012. More than 60,000 approved contributors make their images available in our collection, which has grown to more than 38 million images as of June 30,</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2014. This makes our collection one of the largest of its kind and, in the twelve months ended December 31, 2013, we delivered more than 100 million paid downloads (including both commercial and editorial images) to our customers. We believe that we delivered the highest volume of commercial image downloads in this period of any single brand in our industry.</w:t>
      </w:r>
    </w:p>
    <w:p>
      <w:pPr>
        <w:spacing w:after="0" w:line="190" w:lineRule="exact"/>
        <w:rPr>
          <w:sz w:val="20"/>
          <w:szCs w:val="20"/>
          <w:color w:val="auto"/>
        </w:rPr>
      </w:pPr>
    </w:p>
    <w:p>
      <w:pPr>
        <w:ind w:left="660" w:right="640" w:hanging="328"/>
        <w:spacing w:after="0" w:line="264" w:lineRule="auto"/>
        <w:tabs>
          <w:tab w:leader="none" w:pos="83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2014, we announced a partnership with the New York based Art Directs Club (“ADC”) that will further both organizations’ commitment to empowering the creative community. The Company will serve as partner in presenting ADC’s highly regarded programs and initiatives including Young Guns, Portfolio Night and the Tomorrow Awards.</w:t>
      </w:r>
    </w:p>
    <w:p>
      <w:pPr>
        <w:spacing w:after="0" w:line="181" w:lineRule="exact"/>
        <w:rPr>
          <w:rFonts w:ascii="Arial" w:cs="Arial" w:eastAsia="Arial" w:hAnsi="Arial"/>
          <w:sz w:val="18"/>
          <w:szCs w:val="18"/>
          <w:color w:val="auto"/>
        </w:rPr>
      </w:pPr>
    </w:p>
    <w:p>
      <w:pPr>
        <w:ind w:left="660" w:right="160" w:hanging="328"/>
        <w:spacing w:after="0" w:line="277" w:lineRule="auto"/>
        <w:tabs>
          <w:tab w:leader="none" w:pos="83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2014, we surpassed contributor payouts of $200 million since our founding in 2003, illustrating our dynamic global marketplace and ability to connect artists to image buyers around the world.</w:t>
      </w:r>
    </w:p>
    <w:p>
      <w:pPr>
        <w:spacing w:after="0" w:line="170" w:lineRule="exact"/>
        <w:rPr>
          <w:rFonts w:ascii="Arial" w:cs="Arial" w:eastAsia="Arial" w:hAnsi="Arial"/>
          <w:sz w:val="18"/>
          <w:szCs w:val="18"/>
          <w:color w:val="auto"/>
        </w:rPr>
      </w:pPr>
    </w:p>
    <w:p>
      <w:pPr>
        <w:ind w:left="660" w:right="280" w:hanging="328"/>
        <w:spacing w:after="0" w:line="312" w:lineRule="auto"/>
        <w:tabs>
          <w:tab w:leader="none" w:pos="831"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March 2014, we acquired certain assets and liabilities of Virtual Moment, LLC (dba WebDAM) (“WebDAM”). WebDAM sells digital asset management software services through its cloud-based platform to marketing and creative enterprise organizations. WebDAM’s products help organizations manage, search, distribute and collaborate on creative files in order to grow its brands and reach new audiences.</w:t>
      </w:r>
    </w:p>
    <w:p>
      <w:pPr>
        <w:spacing w:after="0" w:line="146" w:lineRule="exact"/>
        <w:rPr>
          <w:rFonts w:ascii="Arial" w:cs="Arial" w:eastAsia="Arial" w:hAnsi="Arial"/>
          <w:sz w:val="16"/>
          <w:szCs w:val="16"/>
          <w:color w:val="auto"/>
        </w:rPr>
      </w:pPr>
    </w:p>
    <w:p>
      <w:pPr>
        <w:ind w:left="660" w:right="440" w:hanging="328"/>
        <w:spacing w:after="0" w:line="277" w:lineRule="auto"/>
        <w:tabs>
          <w:tab w:leader="none" w:pos="83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2014, we surpassed over 400 million licenses sold since our founding in 2003, highlighting our increasing role in powering business communications worldwide.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83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June 2014, we announced the launch of Shutterstock Music. This new product features thousands of high-quality audio tracks available through our strategic partner and offers simple and affordable license options, making it easier for businesses, marketers, producers and filmmakers to add quality sounds to commercial videos.</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83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2014, we launched a new image discovery tool called Palette. This latest addition to the Company’s Labs Site creates a unique experience for customers searching our collection using color themes.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an online marketplace, we generate revenue by licensing images, videos and music to our customers. We pay royalties to our contributors for each piece of their content that is downloaded. Approximately half of our revenue and the vast majority of our downloads come from subscription-based customers. These customers can download and use a large number of images in their creative process without concern for the incremental cost of each image download.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customers who need fewer images, we offer simple, affordable, On Demand pricing, which is presented as a fixed price across all images, clips and sizes. Since the launch of our On Demand purchase options in 2008, revenue from these purchase options has increased as a percentage of our overall revenue and we expect that this trend will continue.</w:t>
      </w:r>
    </w:p>
    <w:p>
      <w:pPr>
        <w:spacing w:after="0" w:line="181"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Each time an image, video clip or music track is downloaded, we record a royalty expense for the amount due to the associated contributor. Royalties are calculated using either a fixed dollar amount or a fixed percentage of revenue as described on our websites. Royalties are typically paid to contributors on a monthly basis subject to withholding taxes and certain payout minimums. Royalties represent the largest component of our operating expenses and tend to increase proportionally with revenue.</w:t>
      </w:r>
    </w:p>
    <w:p>
      <w:pPr>
        <w:spacing w:after="0" w:line="187" w:lineRule="exact"/>
        <w:rPr>
          <w:sz w:val="20"/>
          <w:szCs w:val="20"/>
          <w:color w:val="auto"/>
        </w:rPr>
      </w:pPr>
    </w:p>
    <w:p>
      <w:pPr>
        <w:ind w:right="60" w:firstLine="450"/>
        <w:spacing w:after="0" w:line="273" w:lineRule="auto"/>
        <w:rPr>
          <w:sz w:val="20"/>
          <w:szCs w:val="20"/>
          <w:color w:val="auto"/>
        </w:rPr>
      </w:pPr>
      <w:r>
        <w:rPr>
          <w:rFonts w:ascii="Arial" w:cs="Arial" w:eastAsia="Arial" w:hAnsi="Arial"/>
          <w:sz w:val="17"/>
          <w:szCs w:val="17"/>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so that contributors earn more per download from plans where we collect higher revenue per download. In other words, we strive to deliver a similar percentage of revenue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shifts in the relative popularity of these two purchase options will not materially impact our cost of revenue.</w:t>
      </w:r>
    </w:p>
    <w:p>
      <w:pPr>
        <w:spacing w:after="0" w:line="178"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We manage customer acquisition costs based on the expected blended customer lifetime value across our purchase options so we are able to manage our marketing expenses to achieve certain desired growth targets.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7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several years, we increased our investments in marketing as a percentage of revenue. Since we believe the market for commercial digital imagery and music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videos and music that they need, the degree to which we make use of the large quantity of data we collect about images, videos and music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The number of approved and licensable images in the Shutterstock collection exceeded 38 million images as of June 30, 2014, making it one of the largest libraries of its kind.</w:t>
      </w:r>
    </w:p>
    <w:p>
      <w:pPr>
        <w:sectPr>
          <w:pgSz w:w="11900" w:h="16838" w:orient="portrait"/>
          <w:cols w:equalWidth="0" w:num="1">
            <w:col w:w="11420"/>
          </w:cols>
          <w:pgMar w:left="240" w:top="125" w:right="239" w:bottom="52" w:gutter="0" w:footer="0" w:header="0"/>
        </w:sectPr>
      </w:pPr>
    </w:p>
    <w:bookmarkStart w:id="15" w:name="page16"/>
    <w:bookmarkEnd w:id="15"/>
    <w:p>
      <w:pPr>
        <w:spacing w:after="0" w:line="5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March 14, 2014, the Company acquired certain assets and liabilities of Virtual Moment, LLC (dba WebDAM) (“WebDAM”) pursuant to an asset purchase arrangement. The transaction was accounted for using the acquisition method, and accordingly, the results of the acquired business have been included in the Company’s results of operations from the acquisition date. WebDAM sells digital asset management software services through its cloud-based platform to marketing and creative enterprise organizations. WebDAM’s products help organizations manage, search, distribute and collaborate on creative digital files in order to grow its brands and reach new audiences. WebDAM’s offerings are particularly attractive to large enterprises, which make up a significant portion of their client base. We believe that this acquisition will increase our strategic position with our enterprise customers as well as broaden our product availability to seize market opportunity.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160" w:firstLine="414"/>
        <w:spacing w:after="0" w:line="312" w:lineRule="auto"/>
        <w:rPr>
          <w:sz w:val="20"/>
          <w:szCs w:val="20"/>
          <w:color w:val="auto"/>
        </w:rPr>
      </w:pPr>
      <w:r>
        <w:rPr>
          <w:rFonts w:ascii="Arial" w:cs="Arial" w:eastAsia="Arial" w:hAnsi="Arial"/>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three and six months ended June 30, 2014 and 2013:</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left="66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66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20"/>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31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millions, except revenue per download)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00" w:type="dxa"/>
            <w:vAlign w:val="bottom"/>
            <w:gridSpan w:val="3"/>
          </w:tcPr>
          <w:p>
            <w:pPr>
              <w:jc w:val="center"/>
              <w:ind w:right="54"/>
              <w:spacing w:after="0" w:line="142" w:lineRule="exact"/>
              <w:rPr>
                <w:sz w:val="20"/>
                <w:szCs w:val="20"/>
                <w:color w:val="auto"/>
              </w:rPr>
            </w:pPr>
            <w:r>
              <w:rPr>
                <w:rFonts w:ascii="Arial" w:cs="Arial" w:eastAsia="Arial" w:hAnsi="Arial"/>
                <w:sz w:val="14"/>
                <w:szCs w:val="14"/>
                <w:b w:val="1"/>
                <w:bCs w:val="1"/>
                <w:color w:val="auto"/>
                <w:w w:val="91"/>
              </w:rPr>
              <w:t>(in millions, except revenue per download)</w:t>
            </w:r>
          </w:p>
        </w:tc>
        <w:tc>
          <w:tcPr>
            <w:tcW w:w="12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Paid downloads (during the period)</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31.5</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Revenue per download (during the period)</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77"/>
              <w:spacing w:after="0"/>
              <w:rPr>
                <w:sz w:val="20"/>
                <w:szCs w:val="20"/>
                <w:color w:val="auto"/>
              </w:rPr>
            </w:pPr>
            <w:r>
              <w:rPr>
                <w:rFonts w:ascii="Arial" w:cs="Arial" w:eastAsia="Arial" w:hAnsi="Arial"/>
                <w:sz w:val="18"/>
                <w:szCs w:val="18"/>
                <w:color w:val="auto"/>
              </w:rPr>
              <w:t>2.52</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60"/>
              <w:spacing w:after="0"/>
              <w:rPr>
                <w:sz w:val="20"/>
                <w:szCs w:val="20"/>
                <w:color w:val="auto"/>
              </w:rPr>
            </w:pPr>
            <w:r>
              <w:rPr>
                <w:rFonts w:ascii="Arial" w:cs="Arial" w:eastAsia="Arial" w:hAnsi="Arial"/>
                <w:sz w:val="18"/>
                <w:szCs w:val="18"/>
                <w:color w:val="auto"/>
              </w:rPr>
              <w:t>2.49</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Images in collection (end of period)</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38.8</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the customer will renew. We define paid downloads as the number of downloads that our customers make in a given period of our photographs, vectors, illustrations, video clips or music tracks, excluding re-downloads of images, video clips or music tracks that a customer has downloaded in the past (which do not generate incremental revenue or contributor royalty expense) and downloads of our free image of the week (which we make available as a means of acquiring new customers and attracting existing customers to return to our websites more frequently).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define revenue per download as the amount of revenue recognized in a given period divided by the number of paid downloads in that period. Revenue per download metric excludes the impact of revenue that is not derived or associated with the download of images, video clips or music tracks. This metric captures both changes in our pricing, if any,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per download). Over the last three years, revenue from each of our purchase options has grown, however our fastest growing purchase options have been those that generate more revenue per download, most notably our On Demand purchase options. Revenue per download has increased steadily over the last three years, almost entirely due to the change in product mix. During this period, pricing has remained relatively constant.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Images in Collection</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define images in our collection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vast majority of our revenue is generated by licensing commercial digital imagery and music. The significant majority of our revenue is generated via either subscription or On Demand purchase options. We generate subscription revenue through the sale of subscriptions varying in length from 30 days to one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one image to 25 images, one video clip to 25 video clips or single music tracks. We also generate On Demand revenue through Bigstock via the sale of both credits plans (which enable a customer to purchase a fixed number of credits which can then be utilized to download images anytime within one year). We typically receive the full amount of the purchase at the time of sale; however, revenue is recognized as images are downloaded or when the right to download images expires (typically 365 days after purchase). We provide a number of other purchase options which together represented approximately 14% and 10% of our revenue in 2013 and 2012, respectively. These purchase options include custom accounts (for customers that need multi-seat access, invoicing, greater or unlimited indemnification, or a higher volume of images) and video footage (which are sold both individually and in fixed packages). We typically receive the full amount of the purchase at the time of sale; however, revenue is recognized as images, video clips or music tracks are downloaded or when the right to download expires (typically 365 days after purchase). Some of our larger custom accounts are invoiced at or after the time of sale and pay us on credit terms.</w:t>
      </w:r>
    </w:p>
    <w:p>
      <w:pPr>
        <w:sectPr>
          <w:pgSz w:w="11900" w:h="16897" w:orient="portrait"/>
          <w:cols w:equalWidth="0" w:num="1">
            <w:col w:w="11420"/>
          </w:cols>
          <w:pgMar w:left="240" w:top="125" w:right="239" w:bottom="0" w:gutter="0" w:footer="0" w:header="0"/>
        </w:sectPr>
      </w:pPr>
    </w:p>
    <w:bookmarkStart w:id="16" w:name="page17"/>
    <w:bookmarkEnd w:id="16"/>
    <w:p>
      <w:pPr>
        <w:spacing w:after="0" w:line="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Some custom accounts pay in quarterly installments over the course of an annual commitment. We also generate revenue through WebDAM which was acquired in March 2014. WebDAM licenses digital asset management software services through its cloud-based platform to marketing and creative enterprise organizations. The product offerings typically have a license contract of one year.</w:t>
      </w:r>
    </w:p>
    <w:p>
      <w:pPr>
        <w:spacing w:after="0" w:line="181" w:lineRule="exact"/>
        <w:rPr>
          <w:sz w:val="20"/>
          <w:szCs w:val="20"/>
          <w:color w:val="auto"/>
        </w:rPr>
      </w:pPr>
    </w:p>
    <w:p>
      <w:pPr>
        <w:ind w:right="40" w:firstLine="450"/>
        <w:spacing w:after="0" w:line="286" w:lineRule="auto"/>
        <w:rPr>
          <w:sz w:val="20"/>
          <w:szCs w:val="20"/>
          <w:color w:val="auto"/>
        </w:rPr>
      </w:pPr>
      <w:r>
        <w:rPr>
          <w:rFonts w:ascii="Arial" w:cs="Arial" w:eastAsia="Arial" w:hAnsi="Arial"/>
          <w:sz w:val="17"/>
          <w:szCs w:val="17"/>
          <w:color w:val="auto"/>
        </w:rPr>
        <w:t>Our deferred revenue consists of paid but unrecognized subscription revenue, On Demand revenue, and other revenue. Deferred revenue is recognized as revenue when images, video clips or music tracks are downloaded (On Demand), through the passage of time (subscriptions) or when credits or the right to download images, video clips or music tracks expire, and when all other revenue recognition criteria have been met.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image and video clip review costs,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expenses, the infrastructure costs related to maintaining our websites and associated employee compensation, including non-cash equity-based compensation, bonuses and benefits, allocated facility costs and other supporting overhead costs. We expect that our cost of revenue will increase in absolute dollars in the foreseeable future as our revenue grows.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including non-cash equity-based compensation, bonuses and benefits, and commissions as well as allocated facility and other supporting overhead costs. We expect sales and marketing expenses to increase in absolute dollars in the foreseeable future as we continue to invest in new customer acquisition.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consist of employee compensation, including non-cash equity-based compensation,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and bonuses, and expenses related to contractors engaged in product management, design, development and testing of our websites and products. Product development costs also include allocated facility and other supporting overhead costs. We expense product development expenses as incurred, except for costs that are capitalized for certain software development projects that have demonstrated technological feasibility. We expect product development expenses to increase in absolute dollars in the foreseeable future as we continue to invest in developing new products and enhancing the functionality of our existing products.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employee compensation, including, non-cash equity-based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and benefits for executive, finance, business development, accounting, legal, human resources, internal information technology, business intelligence and other administrative personnel. In addition, general and administrative expenses include outside legal and accounting services, insurance, facilities costs and other supporting overhead costs. We expect to incur incremental general and administrative expenses to support our growth and to support operating as a public company.</w:t>
      </w:r>
    </w:p>
    <w:p>
      <w:pPr>
        <w:spacing w:after="0" w:line="188"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Historically, we filed our income tax return as a “pass through” New York limited liability company for federal and state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and were subject to taxation on allocable portions of our net income and other taxes based on various methodologies employed by taxing authorities in certain localities. As a limited liability company (“LLC”), we recognized no federal and state income taxes, as the members of the LLC, and not the entity itself, were subject to income tax on their allocated share of our earnings. On October 5, 2012, we reorganized from a limited liability company to a Delaware corporation. Consequently, our corporate income tax rate has increased significantly now that we are subject to federal, state and additional city income taxes.</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we continue to expand our operations outside of the United States, we will likely become subject to taxation in additional non-U.S. jurisdictions and our effective tax rate could fluctuate accordingly.</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GAAP income taxes are computed using the asset and liability method, under which deferred tax assets and liabilities are 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prepare our consolidated financial statements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goodwill, intangibles, non-cash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79" w:lineRule="exact"/>
        <w:rPr>
          <w:sz w:val="20"/>
          <w:szCs w:val="20"/>
          <w:color w:val="auto"/>
        </w:rPr>
      </w:pPr>
    </w:p>
    <w:p>
      <w:pPr>
        <w:ind w:right="480" w:firstLine="450"/>
        <w:spacing w:after="0" w:line="264" w:lineRule="auto"/>
        <w:rPr>
          <w:sz w:val="20"/>
          <w:szCs w:val="20"/>
          <w:color w:val="auto"/>
        </w:rPr>
      </w:pPr>
      <w:r>
        <w:rPr>
          <w:rFonts w:ascii="Arial" w:cs="Arial" w:eastAsia="Arial" w:hAnsi="Arial"/>
          <w:sz w:val="18"/>
          <w:szCs w:val="18"/>
          <w:color w:val="auto"/>
        </w:rPr>
        <w:t>We believe that the assumptions and estimates associated with our revenue recognition, allowance for doubtful accounts, non-cash equity-based compensation, accounting for income taxes, goodwill and intangible assets have the greatest potential impact on our financial statements. Therefore, we consider these to be our critical accounting policies and estimates.</w:t>
      </w:r>
    </w:p>
    <w:p>
      <w:pPr>
        <w:spacing w:after="0" w:line="181"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A description of our critical accounting policies that involve significant management judgments appears in our Annual Report on Form 10-K for the year ended December 31, 2013 under “Management’s Discussion and Analysis of Financial Condition and Results of Operations—Critical Accounting Policies and Estimates.” There have been no material changes to our critical accounting policies and estimates as compared to our critical accounting policies and estimates included in our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80" w:firstLine="450"/>
        <w:spacing w:after="0" w:line="342" w:lineRule="auto"/>
        <w:rPr>
          <w:sz w:val="20"/>
          <w:szCs w:val="20"/>
          <w:color w:val="auto"/>
        </w:rPr>
      </w:pPr>
      <w:r>
        <w:rPr>
          <w:rFonts w:ascii="Arial" w:cs="Arial" w:eastAsia="Arial" w:hAnsi="Arial"/>
          <w:sz w:val="16"/>
          <w:szCs w:val="16"/>
          <w:color w:val="auto"/>
        </w:rPr>
        <w:t>Section 107 of the Jumpstart Our Business Startups Act of 2012, or the JOBS Act, provides that an “emerging growth company” can take advantage of the extended transition period provided in Section 7(a)(2)(B) of the Securities Act of 1933, as amended, for complying with new or revised accounting</w:t>
      </w:r>
    </w:p>
    <w:p>
      <w:pPr>
        <w:sectPr>
          <w:pgSz w:w="11900" w:h="16908" w:orient="portrait"/>
          <w:cols w:equalWidth="0" w:num="1">
            <w:col w:w="11420"/>
          </w:cols>
          <w:pgMar w:left="240" w:top="125" w:right="239" w:bottom="0" w:gutter="0" w:footer="0" w:header="0"/>
        </w:sectPr>
      </w:pPr>
    </w:p>
    <w:bookmarkStart w:id="17" w:name="page18"/>
    <w:bookmarkEnd w:id="17"/>
    <w:p>
      <w:pPr>
        <w:spacing w:after="0" w:line="6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standards. However, we have chosen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chosen to rely on certain reduced reporting requirements provided by the JOBS Act. Specifically, as an “emerging growth company,” we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 required to, among other things, (i) provide an auditor’s attestation report on our system of internal controls over financial reporting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(ii) provide all of the compensation disclosure that may be required of non-emerging growth public companies under the Dodd-Frank Wall Street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Reform and Consumer Protection Act, (iii) comply with any requirement that may be adopted by the Public Company Accounting Oversight Board, 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PCAOB, regarding mandatory audit firm rotation or a supplement to the auditor’s report providing additional information about the audit and the financial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statements (auditor discussion and analysis), and (iv) disclose certain executive compensation related items such as the correlation between executive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performance and comparisons of the CEO’s compensation to median employee compensation.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gridSpan w:val="5"/>
          </w:tcPr>
          <w:p>
            <w:pPr>
              <w:jc w:val="right"/>
              <w:ind w:right="5"/>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gridSpan w:val="4"/>
          </w:tcPr>
          <w:p>
            <w:pPr>
              <w:jc w:val="right"/>
              <w:ind w:right="505"/>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Revenue</w:t>
            </w:r>
          </w:p>
        </w:tc>
        <w:tc>
          <w:tcPr>
            <w:tcW w:w="162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80,238</w:t>
            </w:r>
          </w:p>
        </w:tc>
        <w:tc>
          <w:tcPr>
            <w:tcW w:w="98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56,809</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153,016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107,926</w:t>
            </w: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32,047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21,768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61,159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41,589</w:t>
            </w: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20,492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13,314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39,768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25,292</w:t>
            </w: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9,275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5,060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17,052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9,615</w:t>
            </w: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9,994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10,514</w:t>
            </w:r>
          </w:p>
        </w:tc>
      </w:tr>
      <w:tr>
        <w:trPr>
          <w:trHeight w:val="210"/>
        </w:trPr>
        <w:tc>
          <w:tcPr>
            <w:tcW w:w="3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71,808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45,876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135,487</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100" w:type="dxa"/>
            <w:vAlign w:val="bottom"/>
            <w:tcBorders>
              <w:bottom w:val="single" w:sz="8" w:color="CCEEFF"/>
            </w:tcBorders>
          </w:tcPr>
          <w:p>
            <w:pPr>
              <w:spacing w:after="0"/>
              <w:rPr>
                <w:sz w:val="18"/>
                <w:szCs w:val="18"/>
                <w:color w:val="auto"/>
              </w:rPr>
            </w:pPr>
          </w:p>
        </w:tc>
      </w:tr>
      <w:tr>
        <w:trPr>
          <w:trHeight w:val="21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0"/>
        </w:trPr>
        <w:tc>
          <w:tcPr>
            <w:tcW w:w="3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7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10,953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4,090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7,753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8,496</w:t>
            </w:r>
          </w:p>
        </w:tc>
      </w:tr>
      <w:tr>
        <w:trPr>
          <w:trHeight w:val="210"/>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6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gridSpan w:val="4"/>
          </w:tcPr>
          <w:p>
            <w:pPr>
              <w:jc w:val="right"/>
              <w:ind w:right="73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9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166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9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96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40</w:t>
            </w:r>
          </w:p>
        </w:tc>
        <w:tc>
          <w:tcPr>
            <w:tcW w:w="9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38</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Product development</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9</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45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Other (expense) income, net</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r>
      <w:tr>
        <w:trPr>
          <w:trHeight w:val="210"/>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Provision for income taxes</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7</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r>
      <w:tr>
        <w:trPr>
          <w:trHeight w:val="223"/>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4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45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 Change</w:t>
            </w:r>
          </w:p>
        </w:tc>
        <w:tc>
          <w:tcPr>
            <w:tcW w:w="136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80,238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56,809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23,429</w:t>
            </w:r>
          </w:p>
        </w:tc>
        <w:tc>
          <w:tcPr>
            <w:tcW w:w="1620" w:type="dxa"/>
            <w:vAlign w:val="bottom"/>
            <w:gridSpan w:val="2"/>
          </w:tcPr>
          <w:p>
            <w:pPr>
              <w:ind w:left="1180"/>
              <w:spacing w:after="0"/>
              <w:rPr>
                <w:sz w:val="20"/>
                <w:szCs w:val="20"/>
                <w:color w:val="auto"/>
              </w:rPr>
            </w:pPr>
            <w:r>
              <w:rPr>
                <w:rFonts w:ascii="Arial" w:cs="Arial" w:eastAsia="Arial" w:hAnsi="Arial"/>
                <w:sz w:val="18"/>
                <w:szCs w:val="18"/>
                <w:color w:val="auto"/>
              </w:rPr>
              <w:t>41%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32,047</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21,768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10,279</w:t>
            </w:r>
          </w:p>
        </w:tc>
        <w:tc>
          <w:tcPr>
            <w:tcW w:w="1360" w:type="dxa"/>
            <w:vAlign w:val="bottom"/>
          </w:tcPr>
          <w:p>
            <w:pPr>
              <w:ind w:left="1180"/>
              <w:spacing w:after="0"/>
              <w:rPr>
                <w:sz w:val="20"/>
                <w:szCs w:val="20"/>
                <w:color w:val="auto"/>
              </w:rPr>
            </w:pPr>
            <w:r>
              <w:rPr>
                <w:rFonts w:ascii="Arial" w:cs="Arial" w:eastAsia="Arial" w:hAnsi="Arial"/>
                <w:sz w:val="18"/>
                <w:szCs w:val="18"/>
                <w:color w:val="auto"/>
                <w:w w:val="79"/>
              </w:rPr>
              <w:t>47</w:t>
            </w:r>
          </w:p>
        </w:tc>
        <w:tc>
          <w:tcPr>
            <w:tcW w:w="260" w:type="dxa"/>
            <w:vAlign w:val="bottom"/>
          </w:tcPr>
          <w:p>
            <w:pPr>
              <w:spacing w:after="0"/>
              <w:rPr>
                <w:sz w:val="18"/>
                <w:szCs w:val="18"/>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20,492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7,178</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79"/>
              </w:rPr>
              <w:t>54</w:t>
            </w:r>
          </w:p>
        </w:tc>
        <w:tc>
          <w:tcPr>
            <w:tcW w:w="260" w:type="dxa"/>
            <w:vAlign w:val="bottom"/>
            <w:shd w:val="clear" w:color="auto" w:fill="CCEEFF"/>
          </w:tcPr>
          <w:p>
            <w:pPr>
              <w:spacing w:after="0"/>
              <w:rPr>
                <w:sz w:val="18"/>
                <w:szCs w:val="18"/>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9,275</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4,215</w:t>
            </w:r>
          </w:p>
        </w:tc>
        <w:tc>
          <w:tcPr>
            <w:tcW w:w="1360" w:type="dxa"/>
            <w:vAlign w:val="bottom"/>
          </w:tcPr>
          <w:p>
            <w:pPr>
              <w:ind w:left="1180"/>
              <w:spacing w:after="0"/>
              <w:rPr>
                <w:sz w:val="20"/>
                <w:szCs w:val="20"/>
                <w:color w:val="auto"/>
              </w:rPr>
            </w:pPr>
            <w:r>
              <w:rPr>
                <w:rFonts w:ascii="Arial" w:cs="Arial" w:eastAsia="Arial" w:hAnsi="Arial"/>
                <w:sz w:val="18"/>
                <w:szCs w:val="18"/>
                <w:color w:val="auto"/>
                <w:w w:val="79"/>
              </w:rPr>
              <w:t>83</w:t>
            </w:r>
          </w:p>
        </w:tc>
        <w:tc>
          <w:tcPr>
            <w:tcW w:w="260" w:type="dxa"/>
            <w:vAlign w:val="bottom"/>
          </w:tcPr>
          <w:p>
            <w:pPr>
              <w:spacing w:after="0"/>
              <w:rPr>
                <w:sz w:val="18"/>
                <w:szCs w:val="18"/>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4,260</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79"/>
              </w:rPr>
              <w:t>74</w:t>
            </w:r>
          </w:p>
        </w:tc>
        <w:tc>
          <w:tcPr>
            <w:tcW w:w="260" w:type="dxa"/>
            <w:vAlign w:val="bottom"/>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71,808</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25,932</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79"/>
              </w:rPr>
              <w:t>57</w:t>
            </w:r>
          </w:p>
        </w:tc>
        <w:tc>
          <w:tcPr>
            <w:tcW w:w="260" w:type="dxa"/>
            <w:vAlign w:val="bottom"/>
            <w:tcBorders>
              <w:bottom w:val="single" w:sz="8" w:color="CCEEFF"/>
            </w:tcBorders>
          </w:tcPr>
          <w:p>
            <w:pPr>
              <w:spacing w:after="0"/>
              <w:rPr>
                <w:sz w:val="18"/>
                <w:szCs w:val="18"/>
                <w:color w:val="auto"/>
              </w:rPr>
            </w:pPr>
          </w:p>
        </w:tc>
      </w:tr>
      <w:tr>
        <w:trPr>
          <w:trHeight w:val="23"/>
        </w:trPr>
        <w:tc>
          <w:tcPr>
            <w:tcW w:w="3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ectPr>
          <w:pgSz w:w="11900" w:h="16900" w:orient="portrait"/>
          <w:cols w:equalWidth="0" w:num="1">
            <w:col w:w="11460"/>
          </w:cols>
          <w:pgMar w:left="240" w:top="125" w:right="199" w:bottom="0" w:gutter="0" w:footer="0" w:header="0"/>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8,430</w:t>
            </w:r>
          </w:p>
        </w:tc>
        <w:tc>
          <w:tcPr>
            <w:tcW w:w="4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10,933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(2,503)</w:t>
            </w:r>
          </w:p>
        </w:tc>
        <w:tc>
          <w:tcPr>
            <w:tcW w:w="1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(195)</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8,411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3,550</w:t>
            </w: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4"/>
              </w:rPr>
              <w:t>4,861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5"/>
        </w:trPr>
        <w:tc>
          <w:tcPr>
            <w:tcW w:w="4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Revenue increased by $23.4 million, or 41%, to $80.2 million in the three months ended June 30, 2014 compared to the same period in 2013. This increase in revenue was primarily attributable to growth in the number of paid downloads and an increase in revenue per download. In the three months ended June 30, 2014 and 2013, respectively, we delivered 31.5 million and 24.3 million paid downloads, and our average revenue per download during these periods increased to $2.52 from $2.33. Paid downloads increased primarily due to the acquisition of new customers. Revenue per download increased primarily due to growth in our On Demand offerings, which capture a higher effective price per image. In the three months ended June 30, 2014 compared to the same period in 2013, revenue from North America decreased to 36% from 37% while revenue from Europe increased to 36% from 35% and revenue from the rest of the world remained flat at 28%.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80" w:firstLine="450"/>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$10.3 million, or 47%, to $32.0 million in the three months ended June 30, 2014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2013. Royalties increased $6.5 million, or 41%, driven by an increase in the number of downloads from customers. We anticipate royalties growing in line with revenues for the remainder of 2014 and beyond, although royalties as a percentage of revenue may vary somewhat from period to period primarily due to the contributor’s achievement level of royalty target thresholds. Credit card charges increased by $0.7 million, or 35%, to $2.7 million as a result of an increased card volume in the three months ended June 30, 2014. We anticipate credit card charges increasing for the remainder of 2014 and beyond as credit card transaction volume increases. Employee-related expenses increased $1.2 million, or 79%, driven by an increase in headcount in customer service, content and website operations to support increased customer volume and a more robust hosting infrastructure. Other costs associated with website hosting, content consulting and allocation of depreciation and amortization expense increased by $1.4 million, or 88%, to $2.9 million in the three months ended June 30, 2014 compared to the same period in 2013.</w:t>
      </w:r>
    </w:p>
    <w:p>
      <w:pPr>
        <w:spacing w:after="0" w:line="182"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$7.2 million, or 54%, to $20.5 million in the three months ended June 30, 2014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2013. Advertising expenses, the largest component of our sales and marketing expenses, increased by $3.3 million, or 41%, as compared to the same period in 2013 as a result of increased spending on both affiliate and search advertising and new channels in the current period. We anticipate that our global advertising spend will continue to increase in absolute dollars for the remainder of 2014 and beyond, as we further our international expansion. Employee-related expenses, including travel and entertainment, increased by $3.2 million, or 74%, driven by an increase in sales and marketing headcount to support our expansion into new markets and increased sales commissions as a result of growing revenue from our direct sales force.</w:t>
      </w:r>
    </w:p>
    <w:p>
      <w:pPr>
        <w:spacing w:after="0" w:line="165"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by $4.2 million, or 83%, to $9.3 million in the three months ended June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2013. Employee-related expenses increased by $3.5 million, or 94%, driven by an increase in headcount in product, engineering and quality assurance to support our increasing number of product development initiatives for our websites, as well as ongoing efforts to improve our search capabilities.</w:t>
      </w:r>
    </w:p>
    <w:p>
      <w:pPr>
        <w:spacing w:after="0" w:line="18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$4.3 million, or 74%, to $10.0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compared to the same period in 2013. Employee-related expenses, excluding non-cash equity based compensation, increased by $0.7 million, or 35%, driven by as increase in headcount in finance, legal, human resources, internal information technology and business intelligence personnel to support the growth in our business and the infrastructure necessary to operate as a public company. Non-cash equity based compensation increased by $2.3 million to $3.1 million primarily due to the equity awards granted to our CEO, as well as increases in equity awards granted as a result of the WebDAM acquisition and equity awards to both new and existing employees.</w:t>
      </w:r>
    </w:p>
    <w:p>
      <w:pPr>
        <w:spacing w:after="0" w:line="193" w:lineRule="exact"/>
        <w:rPr>
          <w:sz w:val="20"/>
          <w:szCs w:val="20"/>
          <w:color w:val="auto"/>
        </w:rPr>
      </w:pPr>
    </w:p>
    <w:p>
      <w:pPr>
        <w:ind w:right="80" w:firstLine="450"/>
        <w:spacing w:after="0" w:line="28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decreased by $0.5 million, or 13%, to $3.6 million in the three months ended June 30, 2014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2013. Our effective tax rates for the three months ended June 30, 2014 and 2013 are 42.2% and 37.4%, respectively. During the three months ended June 30, 2014, we incurred a discrete tax expense related primarily to a change in state tax rates and our state apportionment percentage increasing our effective tax rate by 0.3%. During the three months ended June 30, 2013, we recognized a discrete tax benefit upon filing our final LLC tax return for the</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2012 fiscal period which decreased our effective tax rate by 1.4%. Excluding these discrete items, the effective rate would have been 41.9% and 38.8% during the three months ended June 30, 2014 and 2013,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c>
          <w:tcPr>
            <w:tcW w:w="1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37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 Change</w:t>
            </w:r>
          </w:p>
        </w:tc>
        <w:tc>
          <w:tcPr>
            <w:tcW w:w="138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153,016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107,926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45,090</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42%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61,159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41,589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19,570</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47</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25,292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14,476</w:t>
            </w: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57</w:t>
            </w: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17,052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9,615</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7,437</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77</w:t>
            </w: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6,994</w:t>
            </w: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67</w:t>
            </w:r>
          </w:p>
        </w:tc>
      </w:tr>
      <w:tr>
        <w:trPr>
          <w:trHeight w:val="210"/>
        </w:trPr>
        <w:tc>
          <w:tcPr>
            <w:tcW w:w="4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135,487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48,477</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79"/>
              </w:rPr>
              <w:t>56</w:t>
            </w:r>
          </w:p>
        </w:tc>
        <w:tc>
          <w:tcPr>
            <w:tcW w:w="240" w:type="dxa"/>
            <w:vAlign w:val="bottom"/>
            <w:tcBorders>
              <w:bottom w:val="single" w:sz="8" w:color="CCEEFF"/>
            </w:tcBorders>
          </w:tcPr>
          <w:p>
            <w:pPr>
              <w:spacing w:after="0"/>
              <w:rPr>
                <w:sz w:val="18"/>
                <w:szCs w:val="18"/>
                <w:color w:val="auto"/>
              </w:rPr>
            </w:pPr>
          </w:p>
        </w:tc>
      </w:tr>
      <w:tr>
        <w:trPr>
          <w:trHeight w:val="118"/>
        </w:trPr>
        <w:tc>
          <w:tcPr>
            <w:tcW w:w="40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40" w:right="239" w:bottom="0" w:gutter="0" w:footer="0" w:header="0"/>
        </w:sectPr>
      </w:pPr>
    </w:p>
    <w:bookmarkStart w:id="19" w:name="page20"/>
    <w:bookmarkEnd w:id="19"/>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17,529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20,916</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(3,387)</w:t>
            </w:r>
          </w:p>
        </w:tc>
        <w:tc>
          <w:tcPr>
            <w:tcW w:w="1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(75)</w:t>
            </w: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8,496</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23"/>
        </w:trPr>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5"/>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Revenue increased by $45.1 million, or 42%, to $153.0 million in the six months ended June 30, 2014 compared to the same period in 2013. This increase in revenue is primarily attributable to growth in the number of paid downloads and an increase in revenue per download. In the six months ended June 30, 2014 and 2013, respectively, we delivered 61.1 million and 46.7 million paid downloads, and our average revenue per download during these periods increased to $2.48 from $2.31. Paid downloads increased primarily due to the acquisition of new customers. Revenue per download increased primarily due to growth in our On Demand offerings, which capture a higher effective price per image. In the six months ended June 30, 2014 compared to the same period in 2013, revenue from North America increased to 37% from 36% while revenue from Europe remained flat at 36% and revenue from the rest of the world decreased to 27% from 28%.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60" w:firstLine="454"/>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$19.6 million, or 47%, to $61.2 million in the six months ended June 30, 2014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2013. Royalties increased $12.3 million, or 40%, driven by an increase in the number of downloads from customers. We anticipate royalties growing in line with revenues for the remainder of 2014 and beyond, although royalties as a percentage of revenue may vary somewhat from period to period primarily due to the contributor’s achievement level of royalty target thresholds. Credit card charges increased by $1.5 million, or 40%, to $5.3 million as a result of an increased card volume in the six months ended June 30, 2014. We anticipate credit card charges increasing for the remainder of 2014 and beyond as credit card transaction volume increases. Employee-related expenses increased by $2.3 million, or 82%, driven by an increase in headcount in customer service, content and website operations to support increased customer volume and a more robust hosting infrastructure. Other costs associated with website hosting, content consulting and allocation of depreciation and amortization expense increased by $2.5 million, or 90%, to $5.4 million in the six months ended June 30, 2014 as compared to the same period in 2013.</w:t>
      </w:r>
    </w:p>
    <w:p>
      <w:pPr>
        <w:spacing w:after="0" w:line="182" w:lineRule="exact"/>
        <w:rPr>
          <w:sz w:val="20"/>
          <w:szCs w:val="20"/>
          <w:color w:val="auto"/>
        </w:rPr>
      </w:pPr>
    </w:p>
    <w:p>
      <w:pPr>
        <w:ind w:firstLine="454"/>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$14.5 million, or 57%, to $39.8 million in the six months ended June 30, 2014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2013. Advertising expenses, the largest component of our sales and marketing expenses, increased by $6.4 million, or 40%, as compared to the same period in 2013 as a result of increased spending on affiliate and search advertising and new channels in the current period. We anticipate that our global advertising spend will continue to increase in absolute dollars for the remainder of 2014 and beyond, as we further our international expansion. Employee-related expenses, including travel and entertainment, increased by $6.4 million, or 84%, driven by an increase in sales and marketing headcount to support our expansion into new markets and increased sales commissions as a result of an increase revenue from our direct sales force.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by $7.4 million, or 77%, to $17.1 million in the six months ended June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2013. Employee-related expenses increased by $5.8 million, or 82%, driven by an increase in headcount in product, engineering and quality assurance to support our increasing number of product development initiatives for our websites, as well as ongoing efforts to improve our search capabilities. Consulting costs and hosting costs increased by $1.0 million, or 118%, primarily due to costs associated with outsourced and internal product development and quality assurance services.</w:t>
      </w:r>
    </w:p>
    <w:p>
      <w:pPr>
        <w:spacing w:after="0" w:line="188" w:lineRule="exact"/>
        <w:rPr>
          <w:sz w:val="20"/>
          <w:szCs w:val="20"/>
          <w:color w:val="auto"/>
        </w:rPr>
      </w:pPr>
    </w:p>
    <w:p>
      <w:pPr>
        <w:jc w:val="center"/>
        <w:ind w:right="180"/>
        <w:spacing w:after="0"/>
        <w:tabs>
          <w:tab w:leader="none" w:pos="100" w:val="left"/>
        </w:tabs>
        <w:rPr>
          <w:sz w:val="20"/>
          <w:szCs w:val="20"/>
          <w:color w:val="auto"/>
        </w:rPr>
      </w:pPr>
      <w:r>
        <w:rPr>
          <w:rFonts w:ascii="Arial" w:cs="Arial" w:eastAsia="Arial" w:hAnsi="Arial"/>
          <w:sz w:val="18"/>
          <w:szCs w:val="18"/>
          <w:i w:val="1"/>
          <w:iCs w:val="1"/>
          <w:color w:val="auto"/>
        </w:rPr>
        <w:t>General and Administrative.</w:t>
      </w:r>
      <w:r>
        <w:rPr>
          <w:sz w:val="20"/>
          <w:szCs w:val="20"/>
          <w:color w:val="auto"/>
        </w:rPr>
        <w:tab/>
      </w:r>
      <w:r>
        <w:rPr>
          <w:rFonts w:ascii="Arial" w:cs="Arial" w:eastAsia="Arial" w:hAnsi="Arial"/>
          <w:sz w:val="16"/>
          <w:szCs w:val="16"/>
          <w:color w:val="auto"/>
        </w:rPr>
        <w:t>General and administrative expenses increased by $7.0 million, or 67%, to $17.5 million in the six months ended</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June 30, 2014 compared to the same period in 2013. Employee-related expenses, excluding non-cash equity based compensation, increased by $1.2 million, or 32%, driven by an increase in headcount in finance, legal, human resources, internal information technology and business intelligence personnel to support the growth of our business and the infrastructure necessary to operate as a public company. Non-cash equity based compensation increased by $2.9 million to $4.2 million primarily due to the equity awards granted to our CEO as well as increases in equity awards granted as a result of the WebDAM acquisition and equity awards to both new and existing employees. Professional fees and depreciation expense increased by $1.6 million, or 74%, primarily due to tax and legal fees incurred as the result of our international expansion and increased property and equipment as a result of our new office facilities. Transaction costs increased $0.4 million as a result of the WebDAM acquisition. Costs related to our re-location to our new office facility, including exit, disposal, and moving costs, increased $0.4 million.</w:t>
      </w:r>
    </w:p>
    <w:p>
      <w:pPr>
        <w:spacing w:after="0" w:line="184"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decreased by $0.7 million, or 9%, to $7.8 million in the six months ended June 30, 2014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2013. Our effective tax rates for the six months ended June 30, 2014 and 2013 are 44.2% and 40.6%, respectively. During the six months ended June 30, 2014, we incurred a discrete tax expense related primarily to a change in state tax rates and our state apportionment percentage increasing our effective tax rate by 3.4%. During the six months ended June 30, 2013, we incurred a discrete tax expense primarily to a change in state tax rates and our state apportionment percentage offset by a discrete tax benefit recognized upon filing our final LLC tax return for the 2012 fiscal period. These discrete items increased our effective tax rate by 1.3% during the six months ended June 30, 2013. Excluding these discrete items, the effective rate would have been 40.8% and 39.3% during the six months ended June 30, 2014 and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225"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Our operating results may fluctuate from quarter to quarter as a result of a variety of factors, including, but not limited to, the effects of some seasonal trends in customer behavior. For example, we expect usage to decrease during the fourth quarter of each calendar year due to the year-end holiday vacation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ectPr>
          <w:pgSz w:w="11900" w:h="16838" w:orient="portrait"/>
          <w:cols w:equalWidth="0" w:num="1">
            <w:col w:w="11420"/>
          </w:cols>
          <w:pgMar w:left="240" w:top="140" w:right="239" w:bottom="0" w:gutter="0" w:footer="0" w:header="0"/>
        </w:sectPr>
      </w:pPr>
    </w:p>
    <w:bookmarkStart w:id="20" w:name="page21"/>
    <w:bookmarkEnd w:id="20"/>
    <w:p>
      <w:pPr>
        <w:spacing w:after="0" w:line="74" w:lineRule="exact"/>
        <w:rPr>
          <w:sz w:val="20"/>
          <w:szCs w:val="20"/>
          <w:color w:val="auto"/>
        </w:rPr>
      </w:pPr>
    </w:p>
    <w:p>
      <w:pPr>
        <w:ind w:right="80" w:firstLine="450"/>
        <w:spacing w:after="0" w:line="312" w:lineRule="auto"/>
        <w:rPr>
          <w:sz w:val="20"/>
          <w:szCs w:val="20"/>
          <w:color w:val="auto"/>
        </w:rPr>
      </w:pPr>
      <w:r>
        <w:rPr>
          <w:rFonts w:ascii="Arial" w:cs="Arial" w:eastAsia="Arial" w:hAnsi="Arial"/>
          <w:sz w:val="16"/>
          <w:szCs w:val="16"/>
          <w:color w:val="auto"/>
        </w:rPr>
        <w:t>In addition, expenditures on digital imagery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60" w:firstLine="450"/>
        <w:spacing w:after="0" w:line="259" w:lineRule="auto"/>
        <w:rPr>
          <w:sz w:val="20"/>
          <w:szCs w:val="20"/>
          <w:color w:val="auto"/>
        </w:rPr>
      </w:pPr>
      <w:r>
        <w:rPr>
          <w:rFonts w:ascii="Arial" w:cs="Arial" w:eastAsia="Arial" w:hAnsi="Arial"/>
          <w:sz w:val="18"/>
          <w:szCs w:val="18"/>
          <w:color w:val="auto"/>
        </w:rPr>
        <w:t>As of June 30, 2014, we had cash and cash equivalents of $180.9 million, which consists primarily of money market mutual funds and checking accounts. Additionally, we held short-term investments in the amount of $55.0 million all of which mature in 90 days or less. Since inception, we have financed our operations primarily through cash flow generated from operations. Historically, our principal uses of cash have been funding our operations, capital expenditures, business acquisitions, and distributions to members.</w:t>
      </w:r>
    </w:p>
    <w:p>
      <w:pPr>
        <w:spacing w:after="0" w:line="18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Our initial public offering in 2012 and subsequent follow-on offering in 2013 raised approximately $147.7 million. We plan to finance our operations and capital expenses largely through our operations. Since our results of operations are sensitive to the level of competition we face, increased competition could adversely affect our liquidity and capital resources, by reducing both our revenues and our net income, as a result of reduced sales, reduced prices and increased promotional activities, among other factors, as well as by requiring us to spend more money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6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on our financial condition, results of operations, contractual restrictions, capital requirements, business prospects and other factors our board of directors may deem relevant.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225" w:lineRule="exact"/>
        <w:rPr>
          <w:sz w:val="20"/>
          <w:szCs w:val="20"/>
          <w:color w:val="auto"/>
        </w:rPr>
      </w:pPr>
    </w:p>
    <w:p>
      <w:pPr>
        <w:ind w:firstLine="504"/>
        <w:spacing w:after="0" w:line="255"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 Consistent with previous periods, we expect that future capital expenditures will primarily relate to acquiring additional servers and network connectivity hardware and software, leasehold improvements and furniture and fixtures related to office expansion and relocation and general corporate infrastructure. We anticipate capital expenditures of approximately $5 million for the remainder of 2014. See Note 9 to our Unaudited Consolidated Financial Statements included in Part I, Item 1 of this Quarterly Report on Form 10-Q for information regarding capital expenditures for the six months ended June 30, 2014 and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320" w:firstLine="450"/>
        <w:spacing w:after="0" w:line="264" w:lineRule="auto"/>
        <w:rPr>
          <w:sz w:val="20"/>
          <w:szCs w:val="20"/>
          <w:color w:val="auto"/>
        </w:rPr>
      </w:pPr>
      <w:r>
        <w:rPr>
          <w:rFonts w:ascii="Arial" w:cs="Arial" w:eastAsia="Arial" w:hAnsi="Arial"/>
          <w:sz w:val="18"/>
          <w:szCs w:val="18"/>
          <w:color w:val="auto"/>
        </w:rPr>
        <w:t>Our primary source of cash from operating activities is cash collections from our customers. The majority of our revenues are generated from credit card transactions and are typically settled within one to five business days. Our primary uses of cash for operating activities are for settlement of accounts payable to contributors, vendors and employee-related expenditures.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six months ended June 30, 2014, net cash provided by operating activities was $36.8 million including net income of $9.8 million and non-cash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equity-based compensation of $9.4 million. Cash inflows from changes in operating assets and liabilities included an increase in deferred revenue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$13.3 million, primarily related to an increase in purchases for both subscription and On Demand products. Accounts payable and other operating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by $6.6 million as trade payables grew in volume and payroll costs increased due to headcount expansion. Contributor royalties payable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$1.7 million due to increasing royalty expenses as the result of increased customer download activity.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Cash used in investing activities in the six months ended June 30, 2014 was $25.5 million consisting of capital expenditures to purchase software and equipment related to our data centers, as well as capitalization of leasehold improvements and software and website development costs in the amount of $14.8 million. We paid $10.1 million to acquire certain assets and certain liabilities of WebDAM. Additionally, we purchased short-term investments, net of sales, in the amount of $0.6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20" w:firstLine="450"/>
        <w:spacing w:after="0" w:line="286" w:lineRule="auto"/>
        <w:rPr>
          <w:sz w:val="20"/>
          <w:szCs w:val="20"/>
          <w:color w:val="auto"/>
        </w:rPr>
      </w:pPr>
      <w:r>
        <w:rPr>
          <w:rFonts w:ascii="Arial" w:cs="Arial" w:eastAsia="Arial" w:hAnsi="Arial"/>
          <w:sz w:val="17"/>
          <w:szCs w:val="17"/>
          <w:color w:val="auto"/>
        </w:rPr>
        <w:t>Cash provided by financing activities in the six months ended June 30, 2014 was $14.2 million consisting of proceeds in the amount of $5.4 million from the issuance of common stock in connection with the exercise of stock options and purchase of common stock pursuant to our 2012 ESPP and the corresponding excess tax benefit of $8.7 million as result of the subsequent disposition of the common stock issued.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We lease office facilities under operating lease agreements that expire on various dates between 2014 and 2024. We also have several co-location agreements with third-party hosting facilities that expire between 2014 and 2017. We do not have any material capital lease obligations, and our property, equipment and software have been purchased primarily with cash. We anticipate expanding our office and co-location facilities as our revenue and customer base continue to grow and diversify.</w:t>
      </w:r>
    </w:p>
    <w:p>
      <w:pPr>
        <w:sectPr>
          <w:pgSz w:w="11900" w:h="16912" w:orient="portrait"/>
          <w:cols w:equalWidth="0" w:num="1">
            <w:col w:w="11420"/>
          </w:cols>
          <w:pgMar w:left="240" w:top="125" w:right="239" w:bottom="0" w:gutter="0" w:footer="0" w:header="0"/>
        </w:sectPr>
      </w:pPr>
    </w:p>
    <w:bookmarkStart w:id="21" w:name="page22"/>
    <w:bookmarkEnd w:id="21"/>
    <w:p>
      <w:pPr>
        <w:ind w:right="140" w:firstLine="486"/>
        <w:spacing w:after="0" w:line="279" w:lineRule="auto"/>
        <w:rPr>
          <w:sz w:val="20"/>
          <w:szCs w:val="20"/>
          <w:color w:val="auto"/>
        </w:rPr>
      </w:pPr>
      <w:r>
        <w:rPr>
          <w:rFonts w:ascii="Arial" w:cs="Arial" w:eastAsia="Arial" w:hAnsi="Arial"/>
          <w:sz w:val="17"/>
          <w:szCs w:val="17"/>
          <w:color w:val="auto"/>
        </w:rPr>
        <w:t>On March 21, 2013, we entered into an operating lease agreement to lease our office facility in New York City. The lease commenced in August 2013 and has a lease term of 11 years. The aggregate future minimum lease payments are approximately $38.2 million. The Company also entered into a letter of credit in the amount of $1.8 million as a security deposit for the leased facility. The letter of credit is collateralized by $1.8 million of cash as of June 30, 2014, and as such, is reported as restricted cash on the consolidated balance sheet as of June 30, 2014.</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June 30, 2014, our unconditional purchase obligations for the remainder of 2014 and for the years ending December 31, 2015, 2016 and 2017 are $3,354, $4,820, $1,408 and $64,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we did not have any off-balance sheet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investments include cash, cash equivalents and short-term investments which consist of commercial paper. Our cash and cash equivalents consist of cash and money market accounts. The primary objective of our investment activities is to preserve principal while maximizing income without significantly increasing risk. Because our cash, cash equivalents and short-term investments have a maximum term of ninety days, our portfolio’s fair value is not particularly sensitive to interest rate changes. We do not enter into investments for speculative purposes. We determined that the nominal difference in basis points for investing our cash, cash equivalents and short-term investments in longer-term investments did not warrant a change in our investment strategy. In future periods, we will continue to evaluate our investment policy in order to ensure that we continue to meet our overall objectives.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borrowings as of June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Revenues derived from customers residing outside North America as a percentage of total revenue was 64% and 63%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2014 and 2013, respectively, and 63% and 64% for the six months ended June 30, 2014 and 2013, respectively. Our sales to international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denominated in multiple currencies, including but not limited to the U.S. Dollar, the Euro, the British Pound and the Yen. Revenue denominated in 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currencies as a percentage of total revenue was 33% and 34% for the three and six months ended June 30, 2014, respectively, and 32% and 33%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six months ended June 30, 2013, respectively. We have foreign currency exchange risks related to non-U.S Dollar denominated revenues. All amounts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earned by and paid to our foreign contributors are denominated in the U.S. Dollar and therefore do not create foreign currency exchange risk. However,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changes in exchange rates will affect our revenue and certain operating expenses, primarily employee-related expenses for our non-U.S employees.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foreign currency denominated revenue for the three and six months ended June 30, 2014, a 10% change in the exchange rate of the U.S. Dollar against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denominated revenues would result in an approximately 3% impact on our revenue.</w:t>
      </w:r>
    </w:p>
    <w:p>
      <w:pPr>
        <w:spacing w:after="0" w:line="21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Because the majority of our revenue and expenses are incurred in the U.S. Dollar, we have not experienced material fluctuations in our net income as a result of foreign currency transaction gains or losses. During the three and six months ended June 30, 2014 and 2013,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71" w:lineRule="exact"/>
        <w:rPr>
          <w:sz w:val="20"/>
          <w:szCs w:val="20"/>
          <w:color w:val="auto"/>
        </w:rPr>
      </w:pPr>
    </w:p>
    <w:p>
      <w:pPr>
        <w:ind w:firstLine="396"/>
        <w:spacing w:after="0" w:line="254" w:lineRule="auto"/>
        <w:rPr>
          <w:sz w:val="20"/>
          <w:szCs w:val="20"/>
          <w:color w:val="auto"/>
        </w:rPr>
      </w:pPr>
      <w:r>
        <w:rPr>
          <w:rFonts w:ascii="Arial" w:cs="Arial" w:eastAsia="Arial" w:hAnsi="Arial"/>
          <w:sz w:val="18"/>
          <w:szCs w:val="18"/>
          <w:color w:val="auto"/>
        </w:rPr>
        <w:t>The Company has established foreign subsidiaries in various countries around the world, and as a result the financial statements of these recently created foreign subsidiaries are recorded in the applicable foreign currency (functional currencies). Financial information is translated from the applicable functional currency to the U.S. Dollar (the reporting currency) for inclusion in the Company’s consolidated financial statements. Income, expenses and cash flows are translated at average exchange rates prevailing during the fiscal period, and assets and liabilities are translated at fiscal period-end exchange rates. Resulting translation adjustments are included as a component of accumulated other comprehensive income (loss) in stockholders’ equity. During the three and six months ended June 30, 2013, our foreign subsidiaries did not have any material activity and therefore we did not have any foreign currency translation adjustment during these periods. During the three and six months ended June 30, 2014, the Company’s foreign currency transaction activity was immaterial to its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ectPr>
          <w:pgSz w:w="11900" w:h="16838" w:orient="portrait"/>
          <w:cols w:equalWidth="0" w:num="1">
            <w:col w:w="11420"/>
          </w:cols>
          <w:pgMar w:left="240" w:top="341" w:right="239" w:bottom="32" w:gutter="0" w:footer="0" w:header="0"/>
        </w:sectPr>
      </w:pPr>
    </w:p>
    <w:bookmarkStart w:id="22" w:name="page23"/>
    <w:bookmarkEnd w:id="22"/>
    <w:p>
      <w:pPr>
        <w:ind w:right="20" w:firstLine="324"/>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2014,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Although we are not currently a party to any material active litigation, 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Annual Report on Form 10-K for the fiscal year ended December 31, 2013 filed with SEC on February 28, 2014, which could materially affect our business, financial condition or future results. There are no material changes to the risk factors described in our Annual Report.</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has been no material change in the planned use of proceeds from the Company’s IPO and follow-on offering from that described in the final prospectuses filed with the SEC pursuant to Rule 424(b) on October 11, 2012 and September 20, 2013, respectively. On March 25, 2013, we used a portion of our IPO proceeds, together with a portion of our cash from operations, to pay off the remaining outstanding balance of $6.0 million on our term loan facility. See Part II, Item 7 of the Annual Report on Form 10-K under the heading “Management’s Discussion and Analysis of Financial Condition and Results of Operations—Liquidity and Capital Resources.”</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center"/>
        <w:ind w:right="9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the Exhibit Index immediately following the signature page of this Quarterly Report on Form 10-Q, which is incorporated herein by reference.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80"/>
          </w:cols>
          <w:pgMar w:left="240" w:top="125" w:right="27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40" w:type="dxa"/>
            <w:vAlign w:val="bottom"/>
            <w:gridSpan w:val="3"/>
          </w:tcPr>
          <w:p>
            <w:pPr>
              <w:ind w:left="1440"/>
              <w:spacing w:after="0"/>
              <w:rPr>
                <w:sz w:val="20"/>
                <w:szCs w:val="20"/>
                <w:color w:val="auto"/>
              </w:rPr>
            </w:pPr>
            <w:r>
              <w:rPr>
                <w:rFonts w:ascii="Arial" w:cs="Arial" w:eastAsia="Arial" w:hAnsi="Arial"/>
                <w:sz w:val="18"/>
                <w:szCs w:val="18"/>
                <w:b w:val="1"/>
                <w:bCs w:val="1"/>
                <w:color w:val="auto"/>
              </w:rPr>
              <w:t>SHUTTERSTOCK,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w w:val="91"/>
              </w:rPr>
              <w:t>Dated: August 8, 2014</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ind w:left="14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Oringer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100" w:type="dxa"/>
            <w:vAlign w:val="bottom"/>
            <w:gridSpan w:val="2"/>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660" w:type="dxa"/>
            <w:vAlign w:val="bottom"/>
            <w:gridSpan w:val="4"/>
          </w:tcPr>
          <w:p>
            <w:pPr>
              <w:spacing w:after="0"/>
              <w:rPr>
                <w:sz w:val="20"/>
                <w:szCs w:val="20"/>
                <w:color w:val="auto"/>
              </w:rPr>
            </w:pPr>
            <w:r>
              <w:rPr>
                <w:rFonts w:ascii="Arial" w:cs="Arial" w:eastAsia="Arial" w:hAnsi="Arial"/>
                <w:sz w:val="18"/>
                <w:szCs w:val="18"/>
                <w:color w:val="auto"/>
                <w:w w:val="91"/>
              </w:rPr>
              <w:t>Dated: August 8, 2014</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ind w:left="14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E. Bixby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100" w:type="dxa"/>
            <w:vAlign w:val="bottom"/>
            <w:gridSpan w:val="2"/>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3"/>
          </w:tcPr>
          <w:p>
            <w:pPr>
              <w:ind w:left="3960"/>
              <w:spacing w:after="0"/>
              <w:rPr>
                <w:sz w:val="20"/>
                <w:szCs w:val="20"/>
                <w:color w:val="auto"/>
              </w:rPr>
            </w:pPr>
            <w:r>
              <w:rPr>
                <w:rFonts w:ascii="Arial" w:cs="Arial" w:eastAsia="Arial" w:hAnsi="Arial"/>
                <w:sz w:val="18"/>
                <w:szCs w:val="18"/>
                <w:color w:val="auto"/>
              </w:rPr>
              <w:t>35</w:t>
            </w: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4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140" w:type="dxa"/>
            <w:vAlign w:val="bottom"/>
            <w:gridSpan w:val="3"/>
            <w:vMerge w:val="restart"/>
          </w:tcPr>
          <w:p>
            <w:pPr>
              <w:ind w:left="166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w w:val="91"/>
              </w:rPr>
              <w:t>Certification of Chief Executive Officer pursuant to Exchange Act Rules 13a-14(a) and 15d-14(a), as adopted pursuant to Section 302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of the Sarbanes-Oxley Act of 2002</w:t>
            </w:r>
          </w:p>
        </w:tc>
        <w:tc>
          <w:tcPr>
            <w:tcW w:w="8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2"/>
              </w:rPr>
              <w:t>Certification of Chief Financial Officer pursuant to Exchange Act Rules 13a-14(a) and 15d-14(a), as adopted pursuant to Section 302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of the Sarbanes-Oxley Act of 2002</w:t>
            </w:r>
          </w:p>
        </w:tc>
        <w:tc>
          <w:tcPr>
            <w:tcW w:w="8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4"/>
              </w:rPr>
              <w:t>Certifications of Chief Executive Officer pursuant to 18 U.S.C. Section 1350, as adopted pursuant to Section 906 of the Sarbanes-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Oxley Act of 2002</w:t>
            </w:r>
          </w:p>
        </w:tc>
        <w:tc>
          <w:tcPr>
            <w:tcW w:w="8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0"/>
              </w:rPr>
              <w:t>Certifications of Chief Financial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Act of 2002</w:t>
            </w:r>
          </w:p>
        </w:tc>
        <w:tc>
          <w:tcPr>
            <w:tcW w:w="8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46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46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4660" w:type="dxa"/>
            <w:vAlign w:val="bottom"/>
            <w:gridSpan w:val="3"/>
          </w:tcPr>
          <w:p>
            <w:pPr>
              <w:spacing w:after="0"/>
              <w:rPr>
                <w:sz w:val="20"/>
                <w:szCs w:val="20"/>
                <w:color w:val="auto"/>
              </w:rPr>
            </w:pPr>
            <w:r>
              <w:rPr>
                <w:rFonts w:ascii="Arial" w:cs="Arial" w:eastAsia="Arial" w:hAnsi="Arial"/>
                <w:sz w:val="18"/>
                <w:szCs w:val="18"/>
                <w:color w:val="auto"/>
                <w:w w:val="97"/>
              </w:rPr>
              <w:t>XBRL Taxonomy Extension Calculation Linkbase Document</w:t>
            </w: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4660" w:type="dxa"/>
            <w:vAlign w:val="bottom"/>
            <w:gridSpan w:val="3"/>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6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4660" w:type="dxa"/>
            <w:vAlign w:val="bottom"/>
            <w:gridSpan w:val="3"/>
          </w:tcPr>
          <w:p>
            <w:pPr>
              <w:spacing w:after="0"/>
              <w:rPr>
                <w:sz w:val="20"/>
                <w:szCs w:val="20"/>
                <w:color w:val="auto"/>
              </w:rPr>
            </w:pPr>
            <w:r>
              <w:rPr>
                <w:rFonts w:ascii="Arial" w:cs="Arial" w:eastAsia="Arial" w:hAnsi="Arial"/>
                <w:sz w:val="18"/>
                <w:szCs w:val="18"/>
                <w:color w:val="auto"/>
                <w:w w:val="94"/>
              </w:rPr>
              <w:t>XBRL Taxonomy Extension Presentation Linkbase Document</w:t>
            </w: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-4375150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-4375150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0"/>
          <w:szCs w:val="20"/>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340" w:right="260" w:hanging="332"/>
        <w:spacing w:after="0" w:line="281" w:lineRule="auto"/>
        <w:tabs>
          <w:tab w:leader="none" w:pos="55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 w:lineRule="exact"/>
        <w:rPr>
          <w:sz w:val="20"/>
          <w:szCs w:val="20"/>
          <w:color w:val="auto"/>
        </w:rPr>
      </w:pPr>
    </w:p>
    <w:p>
      <w:pPr>
        <w:ind w:left="340" w:right="160" w:hanging="332"/>
        <w:spacing w:after="0" w:line="277" w:lineRule="auto"/>
        <w:tabs>
          <w:tab w:leader="none" w:pos="5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Jonathan Oringer, certify that:</w:t>
      </w:r>
    </w:p>
    <w:p>
      <w:pPr>
        <w:spacing w:after="0" w:line="225" w:lineRule="exact"/>
        <w:rPr>
          <w:sz w:val="20"/>
          <w:szCs w:val="20"/>
          <w:color w:val="auto"/>
        </w:rPr>
      </w:pPr>
    </w:p>
    <w:p>
      <w:pPr>
        <w:ind w:left="920" w:hanging="588"/>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9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921"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60" w:hanging="328"/>
        <w:spacing w:after="0" w:line="264" w:lineRule="auto"/>
        <w:tabs>
          <w:tab w:leader="none" w:pos="9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60" w:hanging="324"/>
        <w:spacing w:after="0" w:line="264" w:lineRule="auto"/>
        <w:tabs>
          <w:tab w:leader="none" w:pos="12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00" w:hanging="324"/>
        <w:spacing w:after="0" w:line="264" w:lineRule="auto"/>
        <w:tabs>
          <w:tab w:leader="none" w:pos="12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20" w:hanging="324"/>
        <w:spacing w:after="0" w:line="342" w:lineRule="auto"/>
        <w:tabs>
          <w:tab w:leader="none" w:pos="123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12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42" w:lineRule="auto"/>
        <w:tabs>
          <w:tab w:leader="none" w:pos="91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60" w:hanging="324"/>
        <w:spacing w:after="0" w:line="308" w:lineRule="auto"/>
        <w:tabs>
          <w:tab w:leader="none" w:pos="1221"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40" w:hanging="324"/>
        <w:spacing w:after="0" w:line="277" w:lineRule="auto"/>
        <w:tabs>
          <w:tab w:leader="none" w:pos="12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2014</w:t>
            </w:r>
          </w:p>
        </w:tc>
        <w:tc>
          <w:tcPr>
            <w:tcW w:w="7780" w:type="dxa"/>
            <w:vAlign w:val="bottom"/>
            <w:gridSpan w:val="2"/>
          </w:tcPr>
          <w:p>
            <w:pPr>
              <w:ind w:left="210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Timothy E. Bixby, certify that:</w:t>
      </w:r>
    </w:p>
    <w:p>
      <w:pPr>
        <w:spacing w:after="0" w:line="225" w:lineRule="exact"/>
        <w:rPr>
          <w:sz w:val="20"/>
          <w:szCs w:val="20"/>
          <w:color w:val="auto"/>
        </w:rPr>
      </w:pPr>
    </w:p>
    <w:p>
      <w:pPr>
        <w:ind w:left="920" w:hanging="588"/>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9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921"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60" w:hanging="328"/>
        <w:spacing w:after="0" w:line="264" w:lineRule="auto"/>
        <w:tabs>
          <w:tab w:leader="none" w:pos="9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60" w:hanging="324"/>
        <w:spacing w:after="0" w:line="264" w:lineRule="auto"/>
        <w:tabs>
          <w:tab w:leader="none" w:pos="12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00" w:hanging="324"/>
        <w:spacing w:after="0" w:line="264" w:lineRule="auto"/>
        <w:tabs>
          <w:tab w:leader="none" w:pos="124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20" w:hanging="324"/>
        <w:spacing w:after="0" w:line="342" w:lineRule="auto"/>
        <w:tabs>
          <w:tab w:leader="none" w:pos="123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124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42" w:lineRule="auto"/>
        <w:tabs>
          <w:tab w:leader="none" w:pos="9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60" w:hanging="324"/>
        <w:spacing w:after="0" w:line="308" w:lineRule="auto"/>
        <w:tabs>
          <w:tab w:leader="none" w:pos="1221"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40" w:hanging="324"/>
        <w:spacing w:after="0" w:line="277" w:lineRule="auto"/>
        <w:tabs>
          <w:tab w:leader="none" w:pos="12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8, 2014</w:t>
            </w:r>
          </w:p>
        </w:tc>
        <w:tc>
          <w:tcPr>
            <w:tcW w:w="7800" w:type="dxa"/>
            <w:vAlign w:val="bottom"/>
            <w:gridSpan w:val="2"/>
          </w:tcPr>
          <w:p>
            <w:pPr>
              <w:ind w:left="208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620" w:type="dxa"/>
            <w:vAlign w:val="bottom"/>
            <w:tcBorders>
              <w:bottom w:val="single" w:sz="8" w:color="010101"/>
            </w:tcBorders>
          </w:tcPr>
          <w:p>
            <w:pPr>
              <w:spacing w:after="0"/>
              <w:rPr>
                <w:sz w:val="24"/>
                <w:szCs w:val="24"/>
                <w:color w:val="auto"/>
              </w:rPr>
            </w:pPr>
          </w:p>
        </w:tc>
        <w:tc>
          <w:tcPr>
            <w:tcW w:w="254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6" w:name="page27"/>
    <w:bookmarkEnd w:id="26"/>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connection with the Quarterly Report on Form 10-Q of Shutterstock, Inc., for the quarterly period ended June 30, 2014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2014</w:t>
            </w:r>
          </w:p>
        </w:tc>
        <w:tc>
          <w:tcPr>
            <w:tcW w:w="7780" w:type="dxa"/>
            <w:vAlign w:val="bottom"/>
            <w:gridSpan w:val="2"/>
          </w:tcPr>
          <w:p>
            <w:pPr>
              <w:ind w:left="210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7" w:name="page28"/>
    <w:bookmarkEnd w:id="27"/>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connection with the Quarterly Report on Form 10-Q of Shutterstock, Inc., for the quarterly period ended June 30, 2014 as filed with the Securities and Exchange Commission on the date hereof (the “Report”), I, Timothy E. Bixby,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8, 2014</w:t>
            </w:r>
          </w:p>
        </w:tc>
        <w:tc>
          <w:tcPr>
            <w:tcW w:w="7800" w:type="dxa"/>
            <w:vAlign w:val="bottom"/>
            <w:gridSpan w:val="2"/>
          </w:tcPr>
          <w:p>
            <w:pPr>
              <w:ind w:left="208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62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2019-12-08T05:10:58Z</dcterms:created>
  <dcterms:modified xsi:type="dcterms:W3CDTF">2019-12-08T05:10:58Z</dcterms:modified>
</cp:coreProperties>
</file>