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5477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477510"/>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Hennessy Paul J.</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SHUTTERSTOCK,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350 FIFTH AVENUE, 20TH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Shutterstock,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SSTK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07/01/2025</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50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8" w:lineRule="exact"/>
        <w:rPr>
          <w:sz w:val="24"/>
          <w:szCs w:val="24"/>
          <w:color w:val="auto"/>
        </w:rPr>
      </w:pPr>
    </w:p>
    <w:p>
      <w:pPr>
        <w:sectPr>
          <w:pgSz w:w="11900" w:h="16838" w:orient="portrait"/>
          <w:cols w:equalWidth="0" w:num="3">
            <w:col w:w="3180" w:space="720"/>
            <w:col w:w="3111" w:space="720"/>
            <w:col w:w="3349"/>
          </w:cols>
          <w:pgMar w:left="460" w:top="215" w:right="359" w:bottom="144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10118</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2"/>
          </w:tcPr>
          <w:p>
            <w:pPr>
              <w:jc w:val="center"/>
              <w:ind w:left="572"/>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35"/>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2"/>
                <w:szCs w:val="22"/>
                <w:color w:val="auto"/>
              </w:rPr>
            </w:pPr>
          </w:p>
        </w:tc>
        <w:tc>
          <w:tcPr>
            <w:tcW w:w="1840" w:type="dxa"/>
            <w:vAlign w:val="bottom"/>
            <w:gridSpan w:val="2"/>
          </w:tcPr>
          <w:p>
            <w:pPr>
              <w:jc w:val="center"/>
              <w:ind w:left="592"/>
              <w:spacing w:after="0"/>
              <w:rPr>
                <w:sz w:val="20"/>
                <w:szCs w:val="20"/>
                <w:color w:val="auto"/>
              </w:rPr>
            </w:pPr>
            <w:r>
              <w:rPr>
                <w:rFonts w:ascii="Times New Roman" w:cs="Times New Roman" w:eastAsia="Times New Roman" w:hAnsi="Times New Roman"/>
                <w:sz w:val="16"/>
                <w:szCs w:val="16"/>
                <w:color w:val="0000FF"/>
              </w:rPr>
              <w:t>07/01/2025</w:t>
            </w: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0000FF"/>
                <w:w w:val="99"/>
              </w:rPr>
              <w:t>275,113</w:t>
            </w:r>
          </w:p>
        </w:tc>
        <w:tc>
          <w:tcPr>
            <w:tcW w:w="58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left="7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406,795</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2"/>
                <w:szCs w:val="22"/>
                <w:color w:val="auto"/>
              </w:rPr>
            </w:pPr>
          </w:p>
        </w:tc>
        <w:tc>
          <w:tcPr>
            <w:tcW w:w="1840" w:type="dxa"/>
            <w:vAlign w:val="bottom"/>
            <w:gridSpan w:val="2"/>
          </w:tcPr>
          <w:p>
            <w:pPr>
              <w:jc w:val="center"/>
              <w:ind w:left="592"/>
              <w:spacing w:after="0"/>
              <w:rPr>
                <w:sz w:val="20"/>
                <w:szCs w:val="20"/>
                <w:color w:val="auto"/>
              </w:rPr>
            </w:pPr>
            <w:r>
              <w:rPr>
                <w:rFonts w:ascii="Times New Roman" w:cs="Times New Roman" w:eastAsia="Times New Roman" w:hAnsi="Times New Roman"/>
                <w:sz w:val="16"/>
                <w:szCs w:val="16"/>
                <w:color w:val="0000FF"/>
              </w:rPr>
              <w:t>07/01/2025</w:t>
            </w: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137,340</w:t>
            </w:r>
          </w:p>
        </w:tc>
        <w:tc>
          <w:tcPr>
            <w:tcW w:w="58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ind w:left="7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20.1</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269,455</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2"/>
                <w:szCs w:val="22"/>
                <w:color w:val="auto"/>
              </w:rPr>
            </w:pPr>
          </w:p>
        </w:tc>
        <w:tc>
          <w:tcPr>
            <w:tcW w:w="1840" w:type="dxa"/>
            <w:vAlign w:val="bottom"/>
            <w:gridSpan w:val="2"/>
          </w:tcPr>
          <w:p>
            <w:pPr>
              <w:jc w:val="center"/>
              <w:ind w:left="592"/>
              <w:spacing w:after="0"/>
              <w:rPr>
                <w:sz w:val="20"/>
                <w:szCs w:val="20"/>
                <w:color w:val="auto"/>
              </w:rPr>
            </w:pPr>
            <w:r>
              <w:rPr>
                <w:rFonts w:ascii="Times New Roman" w:cs="Times New Roman" w:eastAsia="Times New Roman" w:hAnsi="Times New Roman"/>
                <w:sz w:val="16"/>
                <w:szCs w:val="16"/>
                <w:color w:val="0000FF"/>
              </w:rPr>
              <w:t>07/01/2025</w:t>
            </w: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87,597</w:t>
            </w:r>
          </w:p>
        </w:tc>
        <w:tc>
          <w:tcPr>
            <w:tcW w:w="58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left="7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357,052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2"/>
                <w:szCs w:val="22"/>
                <w:color w:val="auto"/>
              </w:rPr>
            </w:pPr>
          </w:p>
        </w:tc>
        <w:tc>
          <w:tcPr>
            <w:tcW w:w="1840" w:type="dxa"/>
            <w:vAlign w:val="bottom"/>
            <w:gridSpan w:val="2"/>
          </w:tcPr>
          <w:p>
            <w:pPr>
              <w:jc w:val="center"/>
              <w:ind w:left="592"/>
              <w:spacing w:after="0"/>
              <w:rPr>
                <w:sz w:val="20"/>
                <w:szCs w:val="20"/>
                <w:color w:val="auto"/>
              </w:rPr>
            </w:pPr>
            <w:r>
              <w:rPr>
                <w:rFonts w:ascii="Times New Roman" w:cs="Times New Roman" w:eastAsia="Times New Roman" w:hAnsi="Times New Roman"/>
                <w:sz w:val="16"/>
                <w:szCs w:val="16"/>
                <w:color w:val="0000FF"/>
              </w:rPr>
              <w:t>07/01/2025</w:t>
            </w: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44,719</w:t>
            </w:r>
          </w:p>
        </w:tc>
        <w:tc>
          <w:tcPr>
            <w:tcW w:w="58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ind w:left="7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20.1</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312,333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0"/>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60" w:type="dxa"/>
            <w:vAlign w:val="bottom"/>
            <w:gridSpan w:val="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w w:val="99"/>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rPr>
                <w:sz w:val="20"/>
                <w:szCs w:val="20"/>
                <w:color w:val="auto"/>
              </w:rPr>
            </w:pPr>
            <w:r>
              <w:rPr>
                <w:rFonts w:ascii="Arial" w:cs="Arial" w:eastAsia="Arial" w:hAnsi="Arial"/>
                <w:sz w:val="11"/>
                <w:szCs w:val="11"/>
                <w:b w:val="1"/>
                <w:bCs w:val="1"/>
                <w:color w:val="auto"/>
                <w:w w:val="97"/>
              </w:rPr>
              <w:t>Underlying</w:t>
            </w:r>
          </w:p>
        </w:tc>
        <w:tc>
          <w:tcPr>
            <w:tcW w:w="6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5"/>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3"/>
                <w:szCs w:val="13"/>
                <w:color w:val="0000FF"/>
              </w:rPr>
              <w:t>07/01/2025</w:t>
            </w:r>
          </w:p>
        </w:tc>
        <w:tc>
          <w:tcPr>
            <w:tcW w:w="112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0000FF"/>
              </w:rPr>
              <w:t>275,113</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07/01/2025</w:t>
            </w:r>
          </w:p>
        </w:tc>
        <w:tc>
          <w:tcPr>
            <w:tcW w:w="720" w:type="dxa"/>
            <w:vAlign w:val="bottom"/>
          </w:tcPr>
          <w:p>
            <w:pPr>
              <w:jc w:val="center"/>
              <w:ind w:right="55"/>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275,113</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Restricted</w:t>
            </w: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ind w:left="8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00" w:type="dxa"/>
            <w:vAlign w:val="bottom"/>
            <w:vMerge w:val="restart"/>
          </w:tcPr>
          <w:p>
            <w:pPr>
              <w:jc w:val="right"/>
              <w:ind w:right="121"/>
              <w:spacing w:after="0"/>
              <w:rPr>
                <w:sz w:val="20"/>
                <w:szCs w:val="20"/>
                <w:color w:val="auto"/>
              </w:rPr>
            </w:pPr>
            <w:r>
              <w:rPr>
                <w:rFonts w:ascii="Times New Roman" w:cs="Times New Roman" w:eastAsia="Times New Roman" w:hAnsi="Times New Roman"/>
                <w:sz w:val="13"/>
                <w:szCs w:val="13"/>
                <w:color w:val="0000FF"/>
              </w:rPr>
              <w:t>07/01/2025</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82"/>
              <w:spacing w:after="0"/>
              <w:rPr>
                <w:sz w:val="20"/>
                <w:szCs w:val="20"/>
                <w:color w:val="auto"/>
              </w:rPr>
            </w:pPr>
            <w:r>
              <w:rPr>
                <w:rFonts w:ascii="Times New Roman" w:cs="Times New Roman" w:eastAsia="Times New Roman" w:hAnsi="Times New Roman"/>
                <w:sz w:val="13"/>
                <w:szCs w:val="13"/>
                <w:color w:val="0000FF"/>
              </w:rPr>
              <w:t>87,597</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07/01/2025</w:t>
            </w:r>
          </w:p>
        </w:tc>
        <w:tc>
          <w:tcPr>
            <w:tcW w:w="720" w:type="dxa"/>
            <w:vAlign w:val="bottom"/>
            <w:vMerge w:val="restart"/>
          </w:tcPr>
          <w:p>
            <w:pPr>
              <w:jc w:val="center"/>
              <w:ind w:right="55"/>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0"/>
              <w:spacing w:after="0"/>
              <w:rPr>
                <w:sz w:val="20"/>
                <w:szCs w:val="20"/>
                <w:color w:val="auto"/>
              </w:rPr>
            </w:pPr>
            <w:r>
              <w:rPr>
                <w:rFonts w:ascii="Times New Roman" w:cs="Times New Roman" w:eastAsia="Times New Roman" w:hAnsi="Times New Roman"/>
                <w:sz w:val="16"/>
                <w:szCs w:val="16"/>
                <w:color w:val="0000FF"/>
              </w:rPr>
              <w:t>87,597</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-2066925</wp:posOffset>
            </wp:positionV>
            <wp:extent cx="28575" cy="2072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720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("PSU") represents a contingent right to receive one share of the Issuer's common stock.</w:t>
      </w:r>
    </w:p>
    <w:p>
      <w:pPr>
        <w:spacing w:after="0" w:line="39" w:lineRule="exact"/>
        <w:rPr>
          <w:rFonts w:ascii="Times New Roman" w:cs="Times New Roman" w:eastAsia="Times New Roman" w:hAnsi="Times New Roman"/>
          <w:sz w:val="13"/>
          <w:szCs w:val="13"/>
          <w:color w:val="008000"/>
        </w:rPr>
      </w:pPr>
    </w:p>
    <w:p>
      <w:pPr>
        <w:ind w:left="40" w:right="30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PSU award granted on July 1, 2022 that vests in three equal annual installments beginning July 1, 2023, contingent upon, and subject to adjustment based on, the achievement of certain adjusted EBITDA margin and revenue growth performance thresholds for each annual performance period. Subject to Compensation Committee confirmation of achievement of performance and subject to adjustment pursuant to the award agreement.</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July 1, 2022 that vests in three equal annual installments beginning July 1, 2023, subject to the Reporting Person's continued employment on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John Lapham,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07/03/2025</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7941" TargetMode="External"/><Relationship Id="rId14"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2025-07-03T15:09:35Z</dcterms:created>
  <dcterms:modified xsi:type="dcterms:W3CDTF">2025-07-03T15:09:35Z</dcterms:modified>
</cp:coreProperties>
</file>