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005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00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Powell Rikki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SHUTTERSTOCK,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350 FIFTH AVENUE, 20TH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Shutterstock,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SSTK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47,460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20,118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16.51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60,790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60,790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60,790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47,460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47,460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94,922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-1986280</wp:posOffset>
            </wp:positionV>
            <wp:extent cx="28575" cy="19913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 award granted on April 1, 2026 that vests April 1, 2027, subject to the Reporting Person's continued employment on such vesting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 award granted on April 1, 2025 that vests in three equal annual installments beginning April 1, 2026, subject to the Reporting Person's continued employment on such vesting date.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John Lapham,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233" TargetMode="External"/><Relationship Id="rId14" Type="http://schemas.openxmlformats.org/officeDocument/2006/relationships/hyperlink" Target="http://www.sec.gov/cgi-bin/browse-edgar?action=getcompany&amp;CIK=0001549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2026-04-03T15:32:13Z</dcterms:created>
  <dcterms:modified xsi:type="dcterms:W3CDTF">2026-04-03T15:32:13Z</dcterms:modified>
</cp:coreProperties>
</file>