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395605</wp:posOffset>
            </wp:positionH>
            <wp:positionV relativeFrom="page">
              <wp:posOffset>890905</wp:posOffset>
            </wp:positionV>
            <wp:extent cx="70084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8495" cy="6985"/>
                    </a:xfrm>
                    <a:prstGeom prst="rect">
                      <a:avLst/>
                    </a:prstGeom>
                    <a:noFill/>
                  </pic:spPr>
                </pic:pic>
              </a:graphicData>
            </a:graphic>
          </wp:anchor>
        </w:drawing>
        <w:drawing>
          <wp:anchor simplePos="0" relativeHeight="251657728" behindDoc="1" locked="0" layoutInCell="0" allowOverlap="1">
            <wp:simplePos x="0" y="0"/>
            <wp:positionH relativeFrom="page">
              <wp:posOffset>395605</wp:posOffset>
            </wp:positionH>
            <wp:positionV relativeFrom="page">
              <wp:posOffset>857250</wp:posOffset>
            </wp:positionV>
            <wp:extent cx="70084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8495" cy="1333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8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83820</wp:posOffset>
            </wp:positionV>
            <wp:extent cx="4648835" cy="370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48835" cy="370840"/>
                    </a:xfrm>
                    <a:prstGeom prst="rect">
                      <a:avLst/>
                    </a:prstGeom>
                    <a:noFill/>
                  </pic:spPr>
                </pic:pic>
              </a:graphicData>
            </a:graphic>
          </wp:anchor>
        </w:drawing>
      </w:r>
    </w:p>
    <w:p>
      <w:pPr>
        <w:spacing w:after="0" w:line="11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5"/>
          <w:szCs w:val="25"/>
          <w:b w:val="1"/>
          <w:bCs w:val="1"/>
          <w:color w:val="auto"/>
        </w:rPr>
        <w:t>FORM8-K</w:t>
      </w:r>
    </w:p>
    <w:p>
      <w:pPr>
        <w:spacing w:after="0" w:line="200" w:lineRule="exact"/>
        <w:rPr>
          <w:sz w:val="24"/>
          <w:szCs w:val="24"/>
          <w:color w:val="auto"/>
        </w:rPr>
      </w:pPr>
    </w:p>
    <w:p>
      <w:pPr>
        <w:spacing w:after="0" w:line="269"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17"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March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41910</wp:posOffset>
            </wp:positionV>
            <wp:extent cx="46418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41850" cy="6985"/>
                    </a:xfrm>
                    <a:prstGeom prst="rect">
                      <a:avLst/>
                    </a:prstGeom>
                    <a:noFill/>
                  </pic:spPr>
                </pic:pic>
              </a:graphicData>
            </a:graphic>
          </wp:anchor>
        </w:drawing>
      </w:r>
    </w:p>
    <w:p>
      <w:pPr>
        <w:spacing w:after="0" w:line="9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77470</wp:posOffset>
            </wp:positionV>
            <wp:extent cx="46418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41850" cy="6985"/>
                    </a:xfrm>
                    <a:prstGeom prst="rect">
                      <a:avLst/>
                    </a:prstGeom>
                    <a:noFill/>
                  </pic:spPr>
                </pic:pic>
              </a:graphicData>
            </a:graphic>
          </wp:anchor>
        </w:drawing>
      </w:r>
    </w:p>
    <w:p>
      <w:pPr>
        <w:spacing w:after="0" w:line="1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1059815</wp:posOffset>
            </wp:positionH>
            <wp:positionV relativeFrom="paragraph">
              <wp:posOffset>28575</wp:posOffset>
            </wp:positionV>
            <wp:extent cx="46418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41850" cy="6985"/>
                    </a:xfrm>
                    <a:prstGeom prst="rect">
                      <a:avLst/>
                    </a:prstGeom>
                    <a:noFill/>
                  </pic:spPr>
                </pic:pic>
              </a:graphicData>
            </a:graphic>
          </wp:anchor>
        </w:drawing>
      </w:r>
    </w:p>
    <w:p>
      <w:pPr>
        <w:sectPr>
          <w:pgSz w:w="11900" w:h="16838" w:orient="portrait"/>
          <w:cols w:equalWidth="0" w:num="1">
            <w:col w:w="11040"/>
          </w:cols>
          <w:pgMar w:left="620" w:top="1440" w:right="239" w:bottom="1440" w:gutter="0" w:footer="0" w:header="0"/>
        </w:sectPr>
      </w:pPr>
    </w:p>
    <w:p>
      <w:pPr>
        <w:spacing w:after="0" w:line="24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4"/>
          <w:szCs w:val="14"/>
          <w:b w:val="1"/>
          <w:bCs w:val="1"/>
          <w:color w:val="auto"/>
        </w:rPr>
        <w:t>001-35669</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80-0812659</w:t>
      </w:r>
    </w:p>
    <w:p>
      <w:pPr>
        <w:spacing w:after="0" w:line="51" w:lineRule="exact"/>
        <w:rPr>
          <w:sz w:val="24"/>
          <w:szCs w:val="24"/>
          <w:color w:val="auto"/>
        </w:rPr>
      </w:pPr>
    </w:p>
    <w:p>
      <w:pPr>
        <w:sectPr>
          <w:pgSz w:w="11900" w:h="16838" w:orient="portrait"/>
          <w:cols w:equalWidth="0" w:num="3">
            <w:col w:w="4280" w:space="720"/>
            <w:col w:w="3180" w:space="720"/>
            <w:col w:w="2140"/>
          </w:cols>
          <w:pgMar w:left="620" w:top="1440" w:right="239" w:bottom="1440" w:gutter="0" w:footer="0" w:header="0"/>
          <w:type w:val="continuous"/>
        </w:sectPr>
      </w:pPr>
    </w:p>
    <w:p>
      <w:pPr>
        <w:jc w:val="center"/>
        <w:ind w:right="150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13"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1"/>
          <w:szCs w:val="1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(Commission</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Times New Roman" w:cs="Times New Roman" w:eastAsia="Times New Roman" w:hAnsi="Times New Roman"/>
          <w:sz w:val="11"/>
          <w:szCs w:val="11"/>
          <w:color w:val="auto"/>
        </w:rPr>
        <w:t>(IRS Employer</w:t>
      </w:r>
    </w:p>
    <w:p>
      <w:pPr>
        <w:spacing w:after="0" w:line="13"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180" w:lineRule="exact"/>
        <w:rPr>
          <w:sz w:val="24"/>
          <w:szCs w:val="24"/>
          <w:color w:val="auto"/>
        </w:rPr>
      </w:pPr>
    </w:p>
    <w:p>
      <w:pPr>
        <w:sectPr>
          <w:pgSz w:w="11900" w:h="16838" w:orient="portrait"/>
          <w:cols w:equalWidth="0" w:num="3">
            <w:col w:w="4280" w:space="720"/>
            <w:col w:w="3100" w:space="720"/>
            <w:col w:w="2220"/>
          </w:cols>
          <w:pgMar w:left="620" w:top="1440" w:right="2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350 Fifth Avenue, 20th Floor</w:t>
      </w:r>
    </w:p>
    <w:p>
      <w:pPr>
        <w:spacing w:after="0" w:line="2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New York, NY 10118</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77"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(646) 710-3417</w:t>
      </w:r>
    </w:p>
    <w:p>
      <w:pPr>
        <w:sectPr>
          <w:pgSz w:w="11900" w:h="16838" w:orient="portrait"/>
          <w:cols w:equalWidth="0" w:num="1">
            <w:col w:w="11040"/>
          </w:cols>
          <w:pgMar w:left="620" w:top="1440" w:right="239" w:bottom="1440" w:gutter="0" w:footer="0" w:header="0"/>
          <w:type w:val="continuous"/>
        </w:sectPr>
      </w:pPr>
    </w:p>
    <w:p>
      <w:pPr>
        <w:spacing w:after="0" w:line="9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3"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color w:val="auto"/>
        </w:rPr>
        <w:t>Not applicable</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1" w:lineRule="exact"/>
        <w:rPr>
          <w:sz w:val="24"/>
          <w:szCs w:val="24"/>
          <w:color w:val="auto"/>
        </w:rPr>
      </w:pPr>
    </w:p>
    <w:p>
      <w:pPr>
        <w:jc w:val="both"/>
        <w:ind w:left="20" w:right="5420" w:hanging="3"/>
        <w:spacing w:after="0" w:line="188" w:lineRule="exact"/>
        <w:tabs>
          <w:tab w:leader="none" w:pos="52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Written communications pursuant to Rule 425 under the Securities Act (17 CFR 230.425)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Soliciting material pursuant to Rule 14a-12 under the Exchange Act (17 CFR 240.14a-12)</w:t>
      </w:r>
    </w:p>
    <w:p>
      <w:pPr>
        <w:spacing w:after="0" w:line="1" w:lineRule="exact"/>
        <w:rPr>
          <w:rFonts w:ascii="MS PGothic" w:cs="MS PGothic" w:eastAsia="MS PGothic" w:hAnsi="MS PGothic"/>
          <w:sz w:val="14"/>
          <w:szCs w:val="14"/>
          <w:color w:val="auto"/>
        </w:rPr>
      </w:pPr>
    </w:p>
    <w:p>
      <w:pPr>
        <w:jc w:val="both"/>
        <w:ind w:left="20" w:right="4160"/>
        <w:spacing w:after="0" w:line="186"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Pre-commencement communications pursuant to Rule 14d-2(b) under the Exchange Act (17 CFR 240.14d-2(b))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Pre-commencement communications pursuant to Rule 13e-4(c) under the Exchange Act (17 CFR 240.13e-4(c))</w:t>
      </w:r>
    </w:p>
    <w:p>
      <w:pPr>
        <w:spacing w:after="0" w:line="5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780" w:type="dxa"/>
            <w:vAlign w:val="bottom"/>
            <w:tcBorders>
              <w:top w:val="single" w:sz="8" w:color="auto"/>
              <w:bottom w:val="single" w:sz="8" w:color="auto"/>
            </w:tcBorders>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Class</w:t>
            </w:r>
          </w:p>
        </w:tc>
        <w:tc>
          <w:tcPr>
            <w:tcW w:w="2000" w:type="dxa"/>
            <w:vAlign w:val="bottom"/>
            <w:tcBorders>
              <w:top w:val="single" w:sz="8" w:color="auto"/>
              <w:bottom w:val="single" w:sz="8" w:color="auto"/>
            </w:tcBorders>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3400" w:type="dxa"/>
            <w:vAlign w:val="bottom"/>
            <w:tcBorders>
              <w:top w:val="single" w:sz="8" w:color="auto"/>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45"/>
        </w:trPr>
        <w:tc>
          <w:tcPr>
            <w:tcW w:w="3780" w:type="dxa"/>
            <w:vAlign w:val="bottom"/>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Common Stock, $0.01 par value per share</w:t>
            </w:r>
          </w:p>
        </w:tc>
        <w:tc>
          <w:tcPr>
            <w:tcW w:w="200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w w:val="99"/>
              </w:rPr>
              <w:t>SSTK</w:t>
            </w:r>
          </w:p>
        </w:tc>
        <w:tc>
          <w:tcPr>
            <w:tcW w:w="340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New York Stock Exchange</w:t>
            </w:r>
          </w:p>
        </w:tc>
      </w:tr>
    </w:tbl>
    <w:p>
      <w:pPr>
        <w:spacing w:after="0" w:line="102" w:lineRule="exact"/>
        <w:rPr>
          <w:sz w:val="24"/>
          <w:szCs w:val="24"/>
          <w:color w:val="auto"/>
        </w:rPr>
      </w:pPr>
    </w:p>
    <w:p>
      <w:pPr>
        <w:ind w:left="50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 Exchange Act of 1934 (§240.12b-2 of this chapter).</w:t>
      </w:r>
    </w:p>
    <w:p>
      <w:pPr>
        <w:spacing w:after="0" w:line="8" w:lineRule="exact"/>
        <w:rPr>
          <w:sz w:val="24"/>
          <w:szCs w:val="24"/>
          <w:color w:val="auto"/>
        </w:rPr>
      </w:pPr>
    </w:p>
    <w:p>
      <w:pPr>
        <w:ind w:left="500" w:hanging="483"/>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35" w:lineRule="exact"/>
        <w:rPr>
          <w:rFonts w:ascii="MS PGothic" w:cs="MS PGothic" w:eastAsia="MS PGothic" w:hAnsi="MS PGothic"/>
          <w:sz w:val="14"/>
          <w:szCs w:val="14"/>
          <w:color w:val="auto"/>
        </w:rPr>
      </w:pPr>
    </w:p>
    <w:p>
      <w:pPr>
        <w:ind w:left="500" w:right="60" w:hanging="483"/>
        <w:spacing w:after="0" w:line="228" w:lineRule="auto"/>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977900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236220</wp:posOffset>
            </wp:positionV>
            <wp:extent cx="700849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8495" cy="133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215900</wp:posOffset>
            </wp:positionV>
            <wp:extent cx="70084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8495" cy="6985"/>
                    </a:xfrm>
                    <a:prstGeom prst="rect">
                      <a:avLst/>
                    </a:prstGeom>
                    <a:noFill/>
                  </pic:spPr>
                </pic:pic>
              </a:graphicData>
            </a:graphic>
          </wp:anchor>
        </w:drawing>
      </w:r>
    </w:p>
    <w:p>
      <w:pPr>
        <w:sectPr>
          <w:pgSz w:w="11900" w:h="16838" w:orient="portrait"/>
          <w:cols w:equalWidth="0" w:num="1">
            <w:col w:w="11040"/>
          </w:cols>
          <w:pgMar w:left="620" w:top="1440" w:right="239" w:bottom="1440" w:gutter="0" w:footer="0" w:header="0"/>
          <w:type w:val="continuous"/>
        </w:sectPr>
      </w:pPr>
    </w:p>
    <w:bookmarkStart w:id="1" w:name="page2"/>
    <w:bookmarkEnd w:id="1"/>
    <w:p>
      <w:pPr>
        <w:spacing w:after="0" w:line="200" w:lineRule="exact"/>
        <w:rPr>
          <w:sz w:val="20"/>
          <w:szCs w:val="20"/>
          <w:color w:val="auto"/>
        </w:rPr>
      </w:pPr>
    </w:p>
    <w:p>
      <w:pPr>
        <w:spacing w:after="0" w:line="266" w:lineRule="exact"/>
        <w:rPr>
          <w:sz w:val="20"/>
          <w:szCs w:val="20"/>
          <w:color w:val="auto"/>
        </w:rPr>
      </w:pPr>
    </w:p>
    <w:p>
      <w:pPr>
        <w:ind w:left="340"/>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Item 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149" w:lineRule="exact"/>
        <w:rPr>
          <w:sz w:val="20"/>
          <w:szCs w:val="20"/>
          <w:color w:val="auto"/>
        </w:rPr>
      </w:pPr>
    </w:p>
    <w:p>
      <w:pPr>
        <w:ind w:right="40" w:firstLine="318"/>
        <w:spacing w:after="0" w:line="245" w:lineRule="auto"/>
        <w:rPr>
          <w:sz w:val="20"/>
          <w:szCs w:val="20"/>
          <w:color w:val="auto"/>
        </w:rPr>
      </w:pPr>
      <w:r>
        <w:rPr>
          <w:rFonts w:ascii="Times New Roman" w:cs="Times New Roman" w:eastAsia="Times New Roman" w:hAnsi="Times New Roman"/>
          <w:sz w:val="14"/>
          <w:szCs w:val="14"/>
          <w:color w:val="auto"/>
        </w:rPr>
        <w:t>As previously disclosed in the Current Report on Form 8-K filed with the U.S. Securities and Exchange Commission (the “SEC”) by Shutterstock, Inc. (the “Company” or “Shutterstock”) on July 22, 2024 (the “Original Form 8-K”), the Company consummated its previously announced acquisition of Envato Pty Ltd. (“Envato”) on July 22, 2024 pursuant to the Share Purchase Agreement, dated as of May 1, 2024, by and among the Company, Shutterstock AUS EMU Pty Ltd., Envato, the shareholders of Envato named thereto and their representative (the “Purchase Agreement”). The aggregate consideration payable by the Company in connection with the acquisition, after customary working capital and other adjustments in accordance with the terms of the Purchase Agreement, was approximately $250 million.</w:t>
      </w:r>
    </w:p>
    <w:p>
      <w:pPr>
        <w:spacing w:after="0" w:line="165" w:lineRule="exact"/>
        <w:rPr>
          <w:sz w:val="20"/>
          <w:szCs w:val="20"/>
          <w:color w:val="auto"/>
        </w:rPr>
      </w:pPr>
    </w:p>
    <w:p>
      <w:pPr>
        <w:ind w:right="640" w:firstLine="318"/>
        <w:spacing w:after="0" w:line="271" w:lineRule="auto"/>
        <w:rPr>
          <w:sz w:val="20"/>
          <w:szCs w:val="20"/>
          <w:color w:val="auto"/>
        </w:rPr>
      </w:pPr>
      <w:r>
        <w:rPr>
          <w:rFonts w:ascii="Times New Roman" w:cs="Times New Roman" w:eastAsia="Times New Roman" w:hAnsi="Times New Roman"/>
          <w:sz w:val="14"/>
          <w:szCs w:val="14"/>
          <w:color w:val="auto"/>
        </w:rPr>
        <w:t>On October 3, 2024, the Company amended the Original Form 8-K to include the financial statements required to be filed under Item 9.01(a) of Form 8-K and the pro forma financial information required to be filed under Item 9.01(b) of Form 8-K (the “Form 8-K/A”).</w:t>
      </w:r>
    </w:p>
    <w:p>
      <w:pPr>
        <w:spacing w:after="0" w:line="146" w:lineRule="exact"/>
        <w:rPr>
          <w:sz w:val="20"/>
          <w:szCs w:val="20"/>
          <w:color w:val="auto"/>
        </w:rPr>
      </w:pPr>
    </w:p>
    <w:p>
      <w:pPr>
        <w:ind w:firstLine="318"/>
        <w:spacing w:after="0" w:line="239" w:lineRule="auto"/>
        <w:rPr>
          <w:sz w:val="20"/>
          <w:szCs w:val="20"/>
          <w:color w:val="auto"/>
        </w:rPr>
      </w:pPr>
      <w:r>
        <w:rPr>
          <w:rFonts w:ascii="Times New Roman" w:cs="Times New Roman" w:eastAsia="Times New Roman" w:hAnsi="Times New Roman"/>
          <w:sz w:val="14"/>
          <w:szCs w:val="14"/>
          <w:color w:val="auto"/>
        </w:rPr>
        <w:t>In connection with the filing of a Registration Statement on Form S-4 on or about the date hereof (the “Form S-4”) contemplated by the previously announced Agreement and Plan of Merger (the “Merger Agreement”), by and among Shutterstock, Getty Images Holdings, Inc. (“Getty Images”), and the other parties thereto, dated as of January 6, 2025, that provides for the combination of the two companies, this Current Report on Form 8-K is being filed to provide the following information related to the Company’s acquisition of Envato that will be incorporated by reference into the Form S-4: (i) Envato’s audited consolidated financial statements as of and for the year ended June 30, 2024 (the “Updated Audited Financial Statements”) and (ii) the Company’s unaudited pro forma condensed combined financial information for the year ended December 31, 2024 (the “Updated Pro Forma Financial Information” together with the Updated Audited Financial Statements, the “Updated Financial Information”). The Updated Financial Information updates and supplements the audited consolidated financial statements of Envato and unaudited pro forma condensed combined financial information of the Company and related disclosures contained in Exhibits 99.1 and 99.2 to the Form 8-K/A. To the extent that information in this Current Report on Form 8-K differs from or updates information contained in the Form 8-K/A, the information in this Current Report on Form 8-K shall supersede or supplement the information in the Form 8-K/A.</w:t>
      </w:r>
    </w:p>
    <w:p>
      <w:pPr>
        <w:spacing w:after="0" w:line="171" w:lineRule="exact"/>
        <w:rPr>
          <w:sz w:val="20"/>
          <w:szCs w:val="20"/>
          <w:color w:val="auto"/>
        </w:rPr>
      </w:pPr>
    </w:p>
    <w:p>
      <w:pPr>
        <w:ind w:right="540" w:firstLine="318"/>
        <w:spacing w:after="0" w:line="271" w:lineRule="auto"/>
        <w:rPr>
          <w:sz w:val="20"/>
          <w:szCs w:val="20"/>
          <w:color w:val="auto"/>
        </w:rPr>
      </w:pPr>
      <w:r>
        <w:rPr>
          <w:rFonts w:ascii="Times New Roman" w:cs="Times New Roman" w:eastAsia="Times New Roman" w:hAnsi="Times New Roman"/>
          <w:sz w:val="14"/>
          <w:szCs w:val="14"/>
          <w:color w:val="auto"/>
        </w:rPr>
        <w:t>The Updated Financial Information included in this Current Report on Form 8-K has been presented for informational purposes only, as required by the Form S-4. It does not purport to represent the actual results or project future operating results of the Company following the acquisition of Envato.</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Additional Information about the Acquisition and Where to Find It</w:t>
      </w:r>
    </w:p>
    <w:p>
      <w:pPr>
        <w:spacing w:after="0" w:line="181" w:lineRule="exact"/>
        <w:rPr>
          <w:sz w:val="20"/>
          <w:szCs w:val="20"/>
          <w:color w:val="auto"/>
        </w:rPr>
      </w:pPr>
    </w:p>
    <w:p>
      <w:pPr>
        <w:ind w:right="40" w:firstLine="318"/>
        <w:spacing w:after="0" w:line="238" w:lineRule="auto"/>
        <w:rPr>
          <w:sz w:val="20"/>
          <w:szCs w:val="20"/>
          <w:color w:val="auto"/>
        </w:rPr>
      </w:pPr>
      <w:r>
        <w:rPr>
          <w:rFonts w:ascii="Times New Roman" w:cs="Times New Roman" w:eastAsia="Times New Roman" w:hAnsi="Times New Roman"/>
          <w:sz w:val="14"/>
          <w:szCs w:val="14"/>
          <w:color w:val="auto"/>
        </w:rPr>
        <w:t>In connection with the proposed transaction, Shutterstock intends to file a proxy statement with the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which will be included in the Form S-4 intended to be filed by Getty Images and that also will include an information statement of Getty Images and constitute a prospectus with respect to shares of Getty Images’ common stock to be issued in the transactions contemplated by the Merger Agreement (the “</w:t>
      </w:r>
      <w:r>
        <w:rPr>
          <w:rFonts w:ascii="Times New Roman" w:cs="Times New Roman" w:eastAsia="Times New Roman" w:hAnsi="Times New Roman"/>
          <w:sz w:val="14"/>
          <w:szCs w:val="14"/>
          <w:u w:val="single" w:color="auto"/>
          <w:color w:val="auto"/>
        </w:rPr>
        <w:t>information statement and proxy statement/prospectus</w:t>
      </w:r>
      <w:r>
        <w:rPr>
          <w:rFonts w:ascii="Times New Roman" w:cs="Times New Roman" w:eastAsia="Times New Roman" w:hAnsi="Times New Roman"/>
          <w:sz w:val="14"/>
          <w:szCs w:val="14"/>
          <w:color w:val="auto"/>
        </w:rPr>
        <w:t>”). Each of Getty Images and Shutterstock may also file with or furnish to the SEC other relevant documents regarding the proposed transactions. This filing is not a substitute for the information statement and proxy statement/prospectus or any other document that Getty Images or Shutterstock may file with or furnish to the SEC. The definitive information statement and proxy statement/prospectus (if and when available) will be mailed to stockholders of Getty Images and Shutterstock. BEFORE MAKING ANY VOTING OR INVESTMENT DECISION, INVESTORS AND SECURITY HOLDERS ARE URGED TO READ THE INFORMATION STATEMENT AND PROXY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TRANSACTIONS AND RELATED MATTERS. Investors and security holders will be able to obtain free copies of the information statement and proxy statement/prospectus (if and when available) and other documents containing important information about Getty Images, Shutterstock and the proposed transactions, once such documents are filed with or furnished to the SEC through the website maintained by the SEC at www.sec.gov. Copies of the documents filed with or furnished to the SEC by Getty Images will be available free of charge on Getty Images’ website at investors.gettyimages.com. Copies of the documents filed with or furnished to the SEC by Shutterstock will be available free of charge on Shutterstock’s website at investor.shutterstock.com.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 w:name="page3"/>
    <w:bookmarkEnd w:id="2"/>
    <w:p>
      <w:pPr>
        <w:ind w:left="320"/>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81" w:lineRule="exact"/>
        <w:rPr>
          <w:sz w:val="20"/>
          <w:szCs w:val="20"/>
          <w:color w:val="auto"/>
        </w:rPr>
      </w:pPr>
    </w:p>
    <w:p>
      <w:pPr>
        <w:ind w:right="60" w:firstLine="318"/>
        <w:spacing w:after="0" w:line="242" w:lineRule="auto"/>
        <w:rPr>
          <w:sz w:val="20"/>
          <w:szCs w:val="20"/>
          <w:color w:val="auto"/>
        </w:rPr>
      </w:pPr>
      <w:r>
        <w:rPr>
          <w:rFonts w:ascii="Times New Roman" w:cs="Times New Roman" w:eastAsia="Times New Roman" w:hAnsi="Times New Roman"/>
          <w:sz w:val="14"/>
          <w:szCs w:val="14"/>
          <w:color w:val="auto"/>
        </w:rPr>
        <w:t>This Form 8-K is not a solicitation of proxies in connection with the proposed transactions. Getty Images, Shutterstock and certain of their respective directors and executive officers and other members of their respective management and employees may be deemed to be participants in the solicitation of proxies in respect of the proposed transactions. Information about the directors and executive officers of Getty Images, including a description of their direct or indirect interests, by security holdings or otherwise, is set forth in Getty Images’ Form 10-K for the year ended December 31, 2024, which was filed with the SEC on March 17, 2025. Information about the directors and executive officers of Shutterstock, including a description of their direct or indirect interests, by security holdings or otherwise, is set forth in Shutterstock’s Form 10-K/A for the year ended December 31, 2024 which was filed with the SEC on March 28, 2025. Other information regarding the participants in the proxy solicitations and a description of their direct and indirect interests, by security holdings or otherwise, will be contained in the information statement and proxy statement/prospectus and other relevant materials to be filed with or furnished to the SEC regarding the proposed transactions. You may obtain free copies of these documents using the sources indicated above.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81" w:lineRule="exact"/>
        <w:rPr>
          <w:sz w:val="20"/>
          <w:szCs w:val="20"/>
          <w:color w:val="auto"/>
        </w:rPr>
      </w:pPr>
    </w:p>
    <w:p>
      <w:pPr>
        <w:ind w:right="60" w:firstLine="318"/>
        <w:spacing w:after="0" w:line="254" w:lineRule="auto"/>
        <w:rPr>
          <w:sz w:val="20"/>
          <w:szCs w:val="20"/>
          <w:color w:val="auto"/>
        </w:rPr>
      </w:pPr>
      <w:r>
        <w:rPr>
          <w:rFonts w:ascii="Times New Roman" w:cs="Times New Roman" w:eastAsia="Times New Roman" w:hAnsi="Times New Roman"/>
          <w:sz w:val="14"/>
          <w:szCs w:val="14"/>
          <w:color w:val="auto"/>
        </w:rPr>
        <w:t>This Form 8-K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1" w:lineRule="exact"/>
        <w:rPr>
          <w:sz w:val="20"/>
          <w:szCs w:val="20"/>
          <w:color w:val="auto"/>
        </w:rPr>
      </w:pPr>
    </w:p>
    <w:p>
      <w:pPr>
        <w:ind w:firstLine="318"/>
        <w:spacing w:after="0" w:line="238" w:lineRule="auto"/>
        <w:rPr>
          <w:sz w:val="20"/>
          <w:szCs w:val="20"/>
          <w:color w:val="auto"/>
        </w:rPr>
      </w:pPr>
      <w:r>
        <w:rPr>
          <w:rFonts w:ascii="Times New Roman" w:cs="Times New Roman" w:eastAsia="Times New Roman" w:hAnsi="Times New Roman"/>
          <w:sz w:val="14"/>
          <w:szCs w:val="14"/>
          <w:color w:val="auto"/>
        </w:rPr>
        <w:t>The statements in this Form 8-K include forward-looking statements concerning Getty Images, Shutterstock, the proposed transactions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Form 8-K relate to, among other things, filing of the Form S-4 with the SEC. Important factors that could cause actual results to differ materially from such forward-looking statements include, among other things: failure to file the Form S-4 with the SEC. A more fulsome discussion of the risks related to the proposed transactions contemplated by the Merger Agreement will be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2024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17" w:right="339" w:bottom="1440" w:gutter="0" w:footer="0" w:header="0"/>
        </w:sectPr>
      </w:pPr>
    </w:p>
    <w:bookmarkStart w:id="3" w:name="page4"/>
    <w:bookmarkEnd w:id="3"/>
    <w:p>
      <w:pPr>
        <w:spacing w:after="0" w:line="10" w:lineRule="exact"/>
        <w:rPr>
          <w:sz w:val="20"/>
          <w:szCs w:val="20"/>
          <w:color w:val="auto"/>
        </w:rPr>
      </w:pPr>
    </w:p>
    <w:p>
      <w:pPr>
        <w:ind w:left="340"/>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57" w:lineRule="exact"/>
        <w:rPr>
          <w:sz w:val="20"/>
          <w:szCs w:val="20"/>
          <w:color w:val="auto"/>
        </w:rPr>
      </w:pPr>
    </w:p>
    <w:p>
      <w:pPr>
        <w:ind w:left="520" w:hanging="197"/>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statements of businesses or funds acquired.</w:t>
      </w:r>
    </w:p>
    <w:p>
      <w:pPr>
        <w:spacing w:after="0" w:line="191" w:lineRule="exact"/>
        <w:rPr>
          <w:sz w:val="20"/>
          <w:szCs w:val="20"/>
          <w:color w:val="auto"/>
        </w:rPr>
      </w:pPr>
    </w:p>
    <w:p>
      <w:pPr>
        <w:ind w:firstLine="318"/>
        <w:spacing w:after="0" w:line="246" w:lineRule="auto"/>
        <w:rPr>
          <w:sz w:val="20"/>
          <w:szCs w:val="20"/>
          <w:color w:val="auto"/>
        </w:rPr>
      </w:pPr>
      <w:r>
        <w:rPr>
          <w:rFonts w:ascii="Times New Roman" w:cs="Times New Roman" w:eastAsia="Times New Roman" w:hAnsi="Times New Roman"/>
          <w:sz w:val="14"/>
          <w:szCs w:val="14"/>
          <w:color w:val="auto"/>
        </w:rPr>
        <w:t>Envato’s audited consolidated financial statements as of and for the year ended June 30, 2024 and unaudited condensed consolidated financial statements as of December 31, 2023 and for the six-month periods ended December 31, 2023 and 2022 are attached as Exhibits 99.1 and 99.2, respectively, to this Form 8-K and incorporated herein by reference. Such financial statements of Envato were prepared in accordance with International Financial Reporting Standards as issued by the International Accounting Standards Board.</w:t>
      </w:r>
    </w:p>
    <w:p>
      <w:pPr>
        <w:spacing w:after="0" w:line="161" w:lineRule="exact"/>
        <w:rPr>
          <w:sz w:val="20"/>
          <w:szCs w:val="20"/>
          <w:color w:val="auto"/>
        </w:rPr>
      </w:pPr>
    </w:p>
    <w:p>
      <w:pPr>
        <w:ind w:left="520" w:hanging="197"/>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 forma financial information.</w:t>
      </w:r>
    </w:p>
    <w:p>
      <w:pPr>
        <w:spacing w:after="0" w:line="191" w:lineRule="exact"/>
        <w:rPr>
          <w:sz w:val="20"/>
          <w:szCs w:val="20"/>
          <w:color w:val="auto"/>
        </w:rPr>
      </w:pPr>
    </w:p>
    <w:p>
      <w:pPr>
        <w:ind w:right="220" w:firstLine="318"/>
        <w:spacing w:after="0" w:line="271"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for the year ended December 31, 2024, related to the Company’s acquisition of Envato is attached as Exhibit 99.3 to this Form 8-K and incorporated herein by reference.</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i w:val="1"/>
          <w:iCs w:val="1"/>
          <w:color w:val="auto"/>
        </w:rPr>
        <w:t>Exhibits.</w:t>
      </w:r>
    </w:p>
    <w:p>
      <w:pPr>
        <w:spacing w:after="0" w:line="240"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1720" w:type="dxa"/>
            <w:vAlign w:val="bottom"/>
            <w:gridSpan w:val="2"/>
          </w:tcPr>
          <w:p>
            <w:pPr>
              <w:ind w:left="64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000" w:type="dxa"/>
            <w:vAlign w:val="bottom"/>
            <w:gridSpan w:val="4"/>
          </w:tcPr>
          <w:p>
            <w:pPr>
              <w:ind w:left="2160"/>
              <w:spacing w:after="0"/>
              <w:rPr>
                <w:sz w:val="20"/>
                <w:szCs w:val="20"/>
                <w:color w:val="auto"/>
              </w:rPr>
            </w:pPr>
            <w:r>
              <w:rPr>
                <w:rFonts w:ascii="Times New Roman" w:cs="Times New Roman" w:eastAsia="Times New Roman" w:hAnsi="Times New Roman"/>
                <w:sz w:val="11"/>
                <w:szCs w:val="11"/>
                <w:b w:val="1"/>
                <w:bCs w:val="1"/>
                <w:color w:val="auto"/>
              </w:rPr>
              <w:t>Exhibit Description</w:t>
            </w:r>
          </w:p>
        </w:tc>
      </w:tr>
      <w:tr>
        <w:trPr>
          <w:trHeight w:val="30"/>
        </w:trPr>
        <w:tc>
          <w:tcPr>
            <w:tcW w:w="1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62"/>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220" w:type="dxa"/>
            <w:vAlign w:val="bottom"/>
          </w:tcPr>
          <w:p>
            <w:pPr>
              <w:spacing w:after="0"/>
              <w:rPr>
                <w:sz w:val="24"/>
                <w:szCs w:val="24"/>
                <w:color w:val="auto"/>
              </w:rPr>
            </w:pPr>
          </w:p>
        </w:tc>
        <w:tc>
          <w:tcPr>
            <w:tcW w:w="90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Consent of PricewaterhouseCoopers</w:t>
            </w: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20"/>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99.1</w:t>
            </w:r>
          </w:p>
        </w:tc>
        <w:tc>
          <w:tcPr>
            <w:tcW w:w="220" w:type="dxa"/>
            <w:vAlign w:val="bottom"/>
          </w:tcPr>
          <w:p>
            <w:pPr>
              <w:spacing w:after="0"/>
              <w:rPr>
                <w:sz w:val="24"/>
                <w:szCs w:val="24"/>
                <w:color w:val="auto"/>
              </w:rPr>
            </w:pPr>
          </w:p>
        </w:tc>
        <w:tc>
          <w:tcPr>
            <w:tcW w:w="5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Envato Pty Ltd audited consolidated financial statements as of and for the year ended June 30, 2024</w:t>
            </w:r>
          </w:p>
        </w:tc>
        <w:tc>
          <w:tcPr>
            <w:tcW w:w="3400" w:type="dxa"/>
            <w:vAlign w:val="bottom"/>
            <w:gridSpan w:val="3"/>
          </w:tcPr>
          <w:p>
            <w:pPr>
              <w:spacing w:after="0"/>
              <w:rPr>
                <w:sz w:val="24"/>
                <w:szCs w:val="24"/>
                <w:color w:val="auto"/>
              </w:rPr>
            </w:pPr>
          </w:p>
        </w:tc>
      </w:tr>
      <w:tr>
        <w:trPr>
          <w:trHeight w:val="320"/>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99.2</w:t>
            </w:r>
          </w:p>
        </w:tc>
        <w:tc>
          <w:tcPr>
            <w:tcW w:w="220" w:type="dxa"/>
            <w:vAlign w:val="bottom"/>
          </w:tcPr>
          <w:p>
            <w:pPr>
              <w:spacing w:after="0"/>
              <w:rPr>
                <w:sz w:val="24"/>
                <w:szCs w:val="24"/>
                <w:color w:val="auto"/>
              </w:rPr>
            </w:pPr>
          </w:p>
        </w:tc>
        <w:tc>
          <w:tcPr>
            <w:tcW w:w="90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Envato Pty Ltd unaudited condensed consolidated financial statements as of December 31, 2023 and for the six-month periods ended December 31, 2023 and</w:t>
            </w:r>
          </w:p>
        </w:tc>
      </w:tr>
      <w:tr>
        <w:trPr>
          <w:trHeight w:val="150"/>
        </w:trPr>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0" w:lineRule="exact"/>
              <w:rPr>
                <w:sz w:val="20"/>
                <w:szCs w:val="20"/>
                <w:color w:val="auto"/>
              </w:rPr>
            </w:pPr>
            <w:r>
              <w:rPr>
                <w:rFonts w:ascii="Times New Roman" w:cs="Times New Roman" w:eastAsia="Times New Roman" w:hAnsi="Times New Roman"/>
                <w:sz w:val="14"/>
                <w:szCs w:val="14"/>
                <w:color w:val="0000FF"/>
                <w:w w:val="92"/>
              </w:rPr>
              <w:t>2022</w:t>
            </w:r>
          </w:p>
        </w:tc>
        <w:tc>
          <w:tcPr>
            <w:tcW w:w="1780" w:type="dxa"/>
            <w:vAlign w:val="bottom"/>
            <w:tcBorders>
              <w:top w:val="single" w:sz="8" w:color="0000FF"/>
            </w:tcBorders>
          </w:tcPr>
          <w:p>
            <w:pPr>
              <w:spacing w:after="0"/>
              <w:rPr>
                <w:sz w:val="13"/>
                <w:szCs w:val="13"/>
                <w:color w:val="auto"/>
              </w:rPr>
            </w:pPr>
          </w:p>
        </w:tc>
        <w:tc>
          <w:tcPr>
            <w:tcW w:w="36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r>
      <w:tr>
        <w:trPr>
          <w:trHeight w:val="320"/>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99.3</w:t>
            </w:r>
          </w:p>
        </w:tc>
        <w:tc>
          <w:tcPr>
            <w:tcW w:w="220" w:type="dxa"/>
            <w:vAlign w:val="bottom"/>
          </w:tcPr>
          <w:p>
            <w:pPr>
              <w:spacing w:after="0"/>
              <w:rPr>
                <w:sz w:val="24"/>
                <w:szCs w:val="24"/>
                <w:color w:val="auto"/>
              </w:rPr>
            </w:pPr>
          </w:p>
        </w:tc>
        <w:tc>
          <w:tcPr>
            <w:tcW w:w="90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Shutterstock, Inc. Unaudited pro forma condensed combined financial information for the year ended December 31, 2024</w:t>
            </w:r>
          </w:p>
        </w:tc>
      </w:tr>
      <w:tr>
        <w:trPr>
          <w:trHeight w:val="351"/>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24"/>
                <w:szCs w:val="24"/>
                <w:color w:val="auto"/>
              </w:rPr>
            </w:pPr>
          </w:p>
        </w:tc>
        <w:tc>
          <w:tcPr>
            <w:tcW w:w="68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 The cover page XBRL tags are embedded within the Inline XBRL document.</w:t>
            </w:r>
          </w:p>
        </w:tc>
        <w:tc>
          <w:tcPr>
            <w:tcW w:w="218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4" w:name="page5"/>
    <w:bookmarkEnd w:id="4"/>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8040" w:type="dxa"/>
            <w:vAlign w:val="bottom"/>
            <w:gridSpan w:val="2"/>
          </w:tcPr>
          <w:p>
            <w:pPr>
              <w:ind w:left="1680"/>
              <w:spacing w:after="0"/>
              <w:rPr>
                <w:sz w:val="20"/>
                <w:szCs w:val="20"/>
                <w:color w:val="auto"/>
              </w:rPr>
            </w:pPr>
            <w:r>
              <w:rPr>
                <w:rFonts w:ascii="Times New Roman" w:cs="Times New Roman" w:eastAsia="Times New Roman" w:hAnsi="Times New Roman"/>
                <w:sz w:val="14"/>
                <w:szCs w:val="14"/>
                <w:b w:val="1"/>
                <w:bCs w:val="1"/>
                <w:color w:val="auto"/>
              </w:rPr>
              <w:t>SHUTTERSTOCK, INC.</w:t>
            </w:r>
          </w:p>
        </w:tc>
      </w:tr>
      <w:tr>
        <w:trPr>
          <w:trHeight w:val="329"/>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Dated: March 28, 2025</w:t>
            </w:r>
          </w:p>
        </w:tc>
        <w:tc>
          <w:tcPr>
            <w:tcW w:w="228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By:</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Rik Powell</w:t>
            </w:r>
          </w:p>
        </w:tc>
      </w:tr>
      <w:tr>
        <w:trPr>
          <w:trHeight w:val="167"/>
        </w:trPr>
        <w:tc>
          <w:tcPr>
            <w:tcW w:w="2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Rik Powell</w:t>
            </w:r>
          </w:p>
        </w:tc>
      </w:tr>
      <w:tr>
        <w:trPr>
          <w:trHeight w:val="184"/>
        </w:trPr>
        <w:tc>
          <w:tcPr>
            <w:tcW w:w="29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040"/>
          </w:cols>
          <w:pgMar w:left="620" w:top="1226" w:right="2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AUDITORS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Statements on Form S-8 (Nos. 333-184371, 333-184544, 333-202395, 333-268480 and 333-280093) and Form S-3 (No.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333-276203) of Shutterstock, Inc. of our report dated March 14, 2025 relating to the financial statements of Envato Pty Ltd, which appears in this Current Report on Form 8-K.</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Georgia" w:cs="Georgia" w:eastAsia="Georgia" w:hAnsi="Georgia"/>
          <w:sz w:val="14"/>
          <w:szCs w:val="14"/>
          <w:color w:val="auto"/>
        </w:rPr>
        <w:t>/s/ PricewaterhouseCoopers</w:t>
      </w:r>
    </w:p>
    <w:p>
      <w:pPr>
        <w:spacing w:after="0" w:line="53" w:lineRule="exact"/>
        <w:rPr>
          <w:sz w:val="20"/>
          <w:szCs w:val="20"/>
          <w:color w:val="auto"/>
        </w:rPr>
      </w:pPr>
    </w:p>
    <w:p>
      <w:pPr>
        <w:spacing w:after="0"/>
        <w:rPr>
          <w:sz w:val="20"/>
          <w:szCs w:val="20"/>
          <w:color w:val="auto"/>
        </w:rPr>
      </w:pPr>
      <w:r>
        <w:rPr>
          <w:rFonts w:ascii="Georgia" w:cs="Georgia" w:eastAsia="Georgia" w:hAnsi="Georgia"/>
          <w:sz w:val="14"/>
          <w:szCs w:val="14"/>
          <w:color w:val="auto"/>
        </w:rPr>
        <w:t>Melbourne, Australia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28, 2025</w:t>
      </w:r>
    </w:p>
    <w:p>
      <w:pPr>
        <w:sectPr>
          <w:pgSz w:w="11900" w:h="16838" w:orient="portrait"/>
          <w:cols w:equalWidth="0" w:num="1">
            <w:col w:w="11280"/>
          </w:cols>
          <w:pgMar w:left="300" w:top="728" w:right="31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FINANCIAL INFORMATION</w:t>
      </w:r>
    </w:p>
    <w:p>
      <w:pPr>
        <w:spacing w:after="0" w:line="181"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On July 22, 2024, the Company completed its previously announced acquisition of Envato Pty Ltd. (“Envato”) pursuant to a Share Purchase Agreement (the “Purchase Agreement”) entered into on May 1, 2024, to acquire all of the issued and outstanding capital stock of Envato (the "Envato Acquisition"). The aggregate consideration paid by the Company, after customary working capital and other adjustments in accordance with the terms of the Purchase Agreement, was $250 million.</w:t>
      </w:r>
    </w:p>
    <w:p>
      <w:pPr>
        <w:spacing w:after="0" w:line="51"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The Envato acquisition was funded through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of $125 million and (ii) senior unsecured revolving credit facility (the “Revolver”) in an aggregate principal amount of $250 million. The A&amp;R Credit Agreement provides for a letter of credit subfacility and a swingline facility.</w:t>
      </w:r>
    </w:p>
    <w:p>
      <w:pPr>
        <w:spacing w:after="0" w:line="56" w:lineRule="exact"/>
        <w:rPr>
          <w:sz w:val="20"/>
          <w:szCs w:val="20"/>
          <w:color w:val="auto"/>
        </w:rPr>
      </w:pPr>
    </w:p>
    <w:p>
      <w:pPr>
        <w:ind w:right="380"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Envato Acquisition was accounted for using the acquisition method of accounting for business combinations under the provisions of Financial Accounting Standards Board (“FASB”) Accounting Standard Codification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805”).</w:t>
      </w:r>
    </w:p>
    <w:p>
      <w:pPr>
        <w:spacing w:after="0" w:line="39" w:lineRule="exact"/>
        <w:rPr>
          <w:sz w:val="20"/>
          <w:szCs w:val="20"/>
          <w:color w:val="auto"/>
        </w:rPr>
      </w:pPr>
    </w:p>
    <w:p>
      <w:pPr>
        <w:ind w:right="380"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unaudited pro forma condensed combined financial statements were prepared in accordance with Article 11 of Regulation S-X, as amended by SEC Final Rule Release No. 33-10786, </w:t>
      </w:r>
      <w:r>
        <w:rPr>
          <w:rFonts w:ascii="Times New Roman" w:cs="Times New Roman" w:eastAsia="Times New Roman" w:hAnsi="Times New Roman"/>
          <w:sz w:val="14"/>
          <w:szCs w:val="14"/>
          <w:i w:val="1"/>
          <w:iCs w:val="1"/>
          <w:color w:val="auto"/>
        </w:rPr>
        <w:t xml:space="preserve">Amendments to Financial Disclosures About Acquired and Disposed Businesses </w:t>
      </w:r>
      <w:r>
        <w:rPr>
          <w:rFonts w:ascii="Times New Roman" w:cs="Times New Roman" w:eastAsia="Times New Roman" w:hAnsi="Times New Roman"/>
          <w:sz w:val="14"/>
          <w:szCs w:val="14"/>
          <w:color w:val="auto"/>
        </w:rPr>
        <w:t>and are presented to illustrate the estimated effects of the Envato Acquisition.</w:t>
      </w:r>
    </w:p>
    <w:p>
      <w:pPr>
        <w:spacing w:after="0" w:line="39" w:lineRule="exact"/>
        <w:rPr>
          <w:sz w:val="20"/>
          <w:szCs w:val="20"/>
          <w:color w:val="auto"/>
        </w:rPr>
      </w:pPr>
    </w:p>
    <w:p>
      <w:pPr>
        <w:ind w:left="320" w:right="120"/>
        <w:spacing w:after="0" w:line="326" w:lineRule="auto"/>
        <w:rPr>
          <w:sz w:val="20"/>
          <w:szCs w:val="20"/>
          <w:color w:val="auto"/>
        </w:rPr>
      </w:pPr>
      <w:r>
        <w:rPr>
          <w:rFonts w:ascii="Times New Roman" w:cs="Times New Roman" w:eastAsia="Times New Roman" w:hAnsi="Times New Roman"/>
          <w:sz w:val="14"/>
          <w:szCs w:val="14"/>
          <w:color w:val="auto"/>
        </w:rPr>
        <w:t>The unaudited pro forma condensed combined statement of operations for the year ended December 31, 2024, was prepared as if the Envato Acquisition had occurred on January 1, 2024. The following unaudited pro forma condensed combined financial information is derived from the historical financial statements of Shutterstock and Envato, and should be read in conjunction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w:t>
      </w:r>
    </w:p>
    <w:p>
      <w:pPr>
        <w:spacing w:after="0" w:line="79" w:lineRule="exact"/>
        <w:rPr>
          <w:sz w:val="20"/>
          <w:szCs w:val="20"/>
          <w:color w:val="auto"/>
        </w:rPr>
      </w:pPr>
    </w:p>
    <w:p>
      <w:pPr>
        <w:ind w:left="320" w:right="400" w:hanging="251"/>
        <w:spacing w:after="0" w:line="263" w:lineRule="auto"/>
        <w:tabs>
          <w:tab w:leader="none" w:pos="316" w:val="left"/>
        </w:tabs>
        <w:numPr>
          <w:ilvl w:val="0"/>
          <w:numId w:val="5"/>
        </w:numPr>
        <w:rPr>
          <w:rFonts w:ascii="Arial" w:cs="Arial" w:eastAsia="Arial" w:hAnsi="Arial"/>
          <w:sz w:val="14"/>
          <w:szCs w:val="14"/>
          <w:color w:val="auto"/>
        </w:rPr>
      </w:pPr>
      <w:r>
        <w:rPr>
          <w:rFonts w:ascii="Times New Roman" w:cs="Times New Roman" w:eastAsia="Times New Roman" w:hAnsi="Times New Roman"/>
          <w:sz w:val="14"/>
          <w:szCs w:val="14"/>
          <w:color w:val="auto"/>
        </w:rPr>
        <w:t>Shutterstock, Inc.’s consolidated financial statements included in its Annual Report on Form 10-K filed with the Securities and Exchange Commission (“SEC”) on February 25, 2025, and incorporated herein by reference.</w:t>
      </w:r>
    </w:p>
    <w:p>
      <w:pPr>
        <w:ind w:left="320" w:right="280" w:hanging="251"/>
        <w:spacing w:after="0" w:line="253" w:lineRule="auto"/>
        <w:tabs>
          <w:tab w:leader="none" w:pos="3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Envato’s audited consolidated financial statements as of and for the year ended June 30, 2024, that are included as Exhibit 99.1 in the Company’s Report on Form 8-K filed with the SEC on March 28, 2025 to which this unaudited pro forma condensed combined financial information is being filed as an exhibit.</w:t>
      </w:r>
    </w:p>
    <w:p>
      <w:pPr>
        <w:ind w:left="320" w:right="240" w:hanging="251"/>
        <w:spacing w:after="0" w:line="253" w:lineRule="auto"/>
        <w:tabs>
          <w:tab w:leader="none" w:pos="3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Envato’s unaudited condensed consolidated financial statements as of December 31, 2023 and for the six months ended December 31, 2023 and 2022, that are included as Exhibit 99.2 in the Company’s Report on Form 8-K filed with the SEC on March 28, 2025 to which this unaudited pro forma condensed combined financial information is being filed as an exhibit.</w:t>
      </w:r>
    </w:p>
    <w:p>
      <w:pPr>
        <w:ind w:left="320" w:hanging="251"/>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Envato's statement of profit or loss from July 1, 2024 to July 22, 2024, the date of consummation of the Envato Acquisition, derived from the books and records of Envato.</w:t>
      </w:r>
    </w:p>
    <w:p>
      <w:pPr>
        <w:spacing w:after="0" w:line="79" w:lineRule="exact"/>
        <w:rPr>
          <w:sz w:val="20"/>
          <w:szCs w:val="20"/>
          <w:color w:val="auto"/>
        </w:rPr>
      </w:pPr>
    </w:p>
    <w:p>
      <w:pPr>
        <w:ind w:right="280" w:firstLine="318"/>
        <w:spacing w:after="0" w:line="287"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has been prepared for illustrative purposes only and are not necessarily indicative of the financial condition or results of operations of future periods or the financial condition or results of operations that would have been realized had the entities been a single entity as of or for the periods presented.</w:t>
      </w:r>
    </w:p>
    <w:p>
      <w:pPr>
        <w:spacing w:after="0" w:line="39"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Such adjustments are estimates and actual experience may differ from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1280"/>
          </w:cols>
          <w:pgMar w:left="300" w:top="115" w:right="319" w:bottom="1440" w:gutter="0" w:footer="0" w:header="0"/>
        </w:sectPr>
      </w:pPr>
    </w:p>
    <w:bookmarkStart w:id="50" w:name="page51"/>
    <w:bookmarkEnd w:id="50"/>
    <w:p>
      <w:pPr>
        <w:ind w:left="3020" w:right="1539" w:hanging="1138"/>
        <w:spacing w:after="0" w:line="249" w:lineRule="auto"/>
        <w:rPr>
          <w:sz w:val="20"/>
          <w:szCs w:val="20"/>
          <w:color w:val="auto"/>
        </w:rPr>
      </w:pPr>
      <w:r>
        <w:rPr>
          <w:rFonts w:ascii="Times New Roman" w:cs="Times New Roman" w:eastAsia="Times New Roman" w:hAnsi="Times New Roman"/>
          <w:sz w:val="14"/>
          <w:szCs w:val="14"/>
          <w:b w:val="1"/>
          <w:bCs w:val="1"/>
          <w:color w:val="auto"/>
        </w:rPr>
        <w:t>UNAUDITED PRO FORMA CONDENSED COMBINED STATEMENT OF OPERATIONS FOR THE YEAR ENDED 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2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0"/>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Envato Acquisition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38"/>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Debt Financing</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8"/>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Envato</w:t>
            </w:r>
          </w:p>
        </w:tc>
        <w:tc>
          <w:tcPr>
            <w:tcW w:w="80" w:type="dxa"/>
            <w:vAlign w:val="bottom"/>
          </w:tcPr>
          <w:p>
            <w:pPr>
              <w:spacing w:after="0"/>
              <w:rPr>
                <w:sz w:val="11"/>
                <w:szCs w:val="11"/>
                <w:color w:val="auto"/>
              </w:rPr>
            </w:pPr>
          </w:p>
        </w:tc>
        <w:tc>
          <w:tcPr>
            <w:tcW w:w="104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Accounting</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Transaction</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Pro Forma</w:t>
            </w:r>
          </w:p>
        </w:tc>
      </w:tr>
      <w:tr>
        <w:trPr>
          <w:trHeight w:val="169"/>
        </w:trPr>
        <w:tc>
          <w:tcPr>
            <w:tcW w:w="2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Shutterstock</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(Note 4)</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Note</w:t>
            </w:r>
          </w:p>
        </w:tc>
        <w:tc>
          <w:tcPr>
            <w:tcW w:w="9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560" w:type="dxa"/>
            <w:vAlign w:val="bottom"/>
            <w:tcBorders>
              <w:bottom w:val="single" w:sz="8" w:color="auto"/>
            </w:tcBorders>
            <w:gridSpan w:val="2"/>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Note</w:t>
            </w:r>
          </w:p>
        </w:tc>
        <w:tc>
          <w:tcPr>
            <w:tcW w:w="8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Combined</w:t>
            </w: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935,262</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108,988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1,044,250</w:t>
            </w:r>
          </w:p>
        </w:tc>
      </w:tr>
      <w:tr>
        <w:trPr>
          <w:trHeight w:val="170"/>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1"/>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Cost of revenue</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396,297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42,117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8,042</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5A</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446,456</w:t>
            </w:r>
          </w:p>
        </w:tc>
      </w:tr>
      <w:tr>
        <w:trPr>
          <w:trHeight w:val="190"/>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Sales and marketing</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222,704</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15,969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238,673</w:t>
            </w:r>
          </w:p>
        </w:tc>
      </w:tr>
      <w:tr>
        <w:trPr>
          <w:trHeight w:val="171"/>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Product development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88,417</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13,686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102,103</w:t>
            </w:r>
          </w:p>
        </w:tc>
      </w:tr>
      <w:tr>
        <w:trPr>
          <w:trHeight w:val="18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159,136</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24,607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5A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183,885</w:t>
            </w:r>
          </w:p>
        </w:tc>
      </w:tr>
      <w:tr>
        <w:trPr>
          <w:trHeight w:val="171"/>
        </w:trPr>
        <w:tc>
          <w:tcPr>
            <w:tcW w:w="2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866,554</w:t>
            </w:r>
          </w:p>
        </w:tc>
        <w:tc>
          <w:tcPr>
            <w:tcW w:w="1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96,379</w:t>
            </w:r>
          </w:p>
        </w:tc>
        <w:tc>
          <w:tcPr>
            <w:tcW w:w="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8,184</w:t>
            </w:r>
          </w:p>
        </w:tc>
        <w:tc>
          <w:tcPr>
            <w:tcW w:w="4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971,117</w:t>
            </w:r>
          </w:p>
        </w:tc>
      </w:tr>
      <w:tr>
        <w:trPr>
          <w:trHeight w:val="18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 (loss) from operations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68,708</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12,609</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(8,184)</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73,133</w:t>
            </w:r>
          </w:p>
        </w:tc>
      </w:tr>
      <w:tr>
        <w:trPr>
          <w:trHeight w:val="171"/>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expense</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(10,561)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(11,696)</w:t>
            </w:r>
          </w:p>
        </w:tc>
        <w:tc>
          <w:tcPr>
            <w:tcW w:w="560" w:type="dxa"/>
            <w:vAlign w:val="bottom"/>
            <w:gridSpan w:val="2"/>
          </w:tcPr>
          <w:p>
            <w:pPr>
              <w:jc w:val="right"/>
              <w:ind w:right="223"/>
              <w:spacing w:after="0"/>
              <w:rPr>
                <w:sz w:val="20"/>
                <w:szCs w:val="20"/>
                <w:color w:val="auto"/>
              </w:rPr>
            </w:pPr>
            <w:r>
              <w:rPr>
                <w:rFonts w:ascii="Times New Roman" w:cs="Times New Roman" w:eastAsia="Times New Roman" w:hAnsi="Times New Roman"/>
                <w:sz w:val="11"/>
                <w:szCs w:val="11"/>
                <w:color w:val="auto"/>
              </w:rPr>
              <w:t>5B</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(22,919)</w:t>
            </w:r>
          </w:p>
        </w:tc>
      </w:tr>
      <w:tr>
        <w:trPr>
          <w:trHeight w:val="181"/>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income / (expense), net</w:t>
            </w: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4,401</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1,276</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5,677</w:t>
            </w:r>
          </w:p>
        </w:tc>
      </w:tr>
      <w:tr>
        <w:trPr>
          <w:trHeight w:val="171"/>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 (loss) before income taxes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62,548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13,223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(11,696)</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55,891</w:t>
            </w:r>
          </w:p>
        </w:tc>
      </w:tr>
      <w:tr>
        <w:trPr>
          <w:trHeight w:val="18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(benefit) for income taxes</w:t>
            </w: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26,616</w:t>
            </w:r>
          </w:p>
        </w:tc>
        <w:tc>
          <w:tcPr>
            <w:tcW w:w="1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3,097</w:t>
            </w: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(2,455)</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5A</w:t>
            </w: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(2,924)</w:t>
            </w:r>
          </w:p>
        </w:tc>
        <w:tc>
          <w:tcPr>
            <w:tcW w:w="4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5C</w:t>
            </w: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24,334</w:t>
            </w:r>
          </w:p>
        </w:tc>
      </w:tr>
      <w:tr>
        <w:trPr>
          <w:trHeight w:val="180"/>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 (loss)</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35,932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10,126</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(5,729)</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(8,772)</w:t>
            </w:r>
          </w:p>
        </w:tc>
        <w:tc>
          <w:tcPr>
            <w:tcW w:w="56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31,557</w:t>
            </w: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2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71"/>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per share:</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0"/>
        </w:trPr>
        <w:tc>
          <w:tcPr>
            <w:tcW w:w="2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0.89</w:t>
            </w: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3"/>
        </w:trPr>
        <w:tc>
          <w:tcPr>
            <w:tcW w:w="2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0.89</w:t>
            </w: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31"/>
        </w:trPr>
        <w:tc>
          <w:tcPr>
            <w:tcW w:w="2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71"/>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shares outstanding:</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5"/>
        </w:trPr>
        <w:tc>
          <w:tcPr>
            <w:tcW w:w="2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35,330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35,330</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Diluted</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35,658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35,658</w:t>
            </w: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1258"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Unaudited Pro Forma Condensed Combined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Pro Forma Presentation</w:t>
      </w:r>
    </w:p>
    <w:p>
      <w:pPr>
        <w:spacing w:after="0" w:line="191"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On July 22, 2024, the Company completed its previously announced acquisition of Envato Pty Ltd. (“Envato”) pursuant to a Share Purchase Agreement (the “Purchase Agreement”) entered into on May 1, 2024, to acquire all of the issued and outstanding capital stock of Envato (the "Envato Acquisition"). The aggregate consideration paid by the Company, after customary working capital and other adjustments in accordance with the terms of the Purchase Agreement, was $250 million.</w:t>
      </w:r>
    </w:p>
    <w:p>
      <w:pPr>
        <w:spacing w:after="0" w:line="51"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Envato acquisition was funded through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of $125 million and (ii) senior unsecured revolving credit facility (the “Revolver”) in an aggregate principal amount of $250 million. The A&amp;R Credit Agreement provides for a letter of credit subfacility and a swingline facility.</w:t>
      </w:r>
    </w:p>
    <w:p>
      <w:pPr>
        <w:spacing w:after="0" w:line="56" w:lineRule="exact"/>
        <w:rPr>
          <w:sz w:val="20"/>
          <w:szCs w:val="20"/>
          <w:color w:val="auto"/>
        </w:rPr>
      </w:pPr>
    </w:p>
    <w:p>
      <w:pPr>
        <w:ind w:right="360"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Envato Acquisition was accounted for using the acquisition method of accounting for business combinations under the provisions of Financial Accounting Standards Board (“FASB”) Accounting Standard Codification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(“ASC 805”).</w:t>
      </w:r>
    </w:p>
    <w:p>
      <w:pPr>
        <w:spacing w:after="0" w:line="39" w:lineRule="exact"/>
        <w:rPr>
          <w:sz w:val="20"/>
          <w:szCs w:val="20"/>
          <w:color w:val="auto"/>
        </w:rPr>
      </w:pPr>
    </w:p>
    <w:p>
      <w:pPr>
        <w:ind w:right="360"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unaudited pro forma condensed combined financial statements were prepared in accordance with Article 11 of Regulation S-X, as amended by SEC Final Rule Release No. 33-10786, </w:t>
      </w:r>
      <w:r>
        <w:rPr>
          <w:rFonts w:ascii="Times New Roman" w:cs="Times New Roman" w:eastAsia="Times New Roman" w:hAnsi="Times New Roman"/>
          <w:sz w:val="14"/>
          <w:szCs w:val="14"/>
          <w:i w:val="1"/>
          <w:iCs w:val="1"/>
          <w:color w:val="auto"/>
        </w:rPr>
        <w:t xml:space="preserve">Amendments to Financial Disclosures About Acquired and Disposed Businesses </w:t>
      </w:r>
      <w:r>
        <w:rPr>
          <w:rFonts w:ascii="Times New Roman" w:cs="Times New Roman" w:eastAsia="Times New Roman" w:hAnsi="Times New Roman"/>
          <w:sz w:val="14"/>
          <w:szCs w:val="14"/>
          <w:color w:val="auto"/>
        </w:rPr>
        <w:t>and are presented to illustrate the estimated effects of the Envato Acquisition.</w:t>
      </w:r>
    </w:p>
    <w:p>
      <w:pPr>
        <w:spacing w:after="0" w:line="39" w:lineRule="exact"/>
        <w:rPr>
          <w:sz w:val="20"/>
          <w:szCs w:val="20"/>
          <w:color w:val="auto"/>
        </w:rPr>
      </w:pPr>
    </w:p>
    <w:p>
      <w:pPr>
        <w:ind w:left="320" w:right="100"/>
        <w:spacing w:after="0" w:line="326" w:lineRule="auto"/>
        <w:rPr>
          <w:sz w:val="20"/>
          <w:szCs w:val="20"/>
          <w:color w:val="auto"/>
        </w:rPr>
      </w:pPr>
      <w:r>
        <w:rPr>
          <w:rFonts w:ascii="Times New Roman" w:cs="Times New Roman" w:eastAsia="Times New Roman" w:hAnsi="Times New Roman"/>
          <w:sz w:val="14"/>
          <w:szCs w:val="14"/>
          <w:color w:val="auto"/>
        </w:rPr>
        <w:t>The unaudited pro forma condensed combined statement of operations for the year ended December 31, 2024, was prepared as if the Envato Acquisition had occurred on January 1, 2024. The following unaudited pro forma condensed combined financial information is derived from the historical financial statements of Shutterstock and Envato, and should be read in conjunction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w:t>
      </w:r>
    </w:p>
    <w:p>
      <w:pPr>
        <w:spacing w:after="0" w:line="79" w:lineRule="exact"/>
        <w:rPr>
          <w:sz w:val="20"/>
          <w:szCs w:val="20"/>
          <w:color w:val="auto"/>
        </w:rPr>
      </w:pPr>
    </w:p>
    <w:p>
      <w:pPr>
        <w:ind w:left="320" w:right="380" w:hanging="251"/>
        <w:spacing w:after="0" w:line="263" w:lineRule="auto"/>
        <w:tabs>
          <w:tab w:leader="none" w:pos="316"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Shutterstock, Inc.’s consolidated financial statements included in its Annual Report on Form 10-K filed with the Securities and Exchange Commission (“SEC”) on February 25, 2025, and incorporated herein by reference.</w:t>
      </w:r>
    </w:p>
    <w:p>
      <w:pPr>
        <w:ind w:left="320" w:right="200" w:hanging="251"/>
        <w:spacing w:after="0" w:line="253" w:lineRule="auto"/>
        <w:tabs>
          <w:tab w:leader="none" w:pos="3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Envato’s audited consolidated financial statements for the year ended June 30, 2024, that are included as Exhibit 99.1 in the Company’s Report on Form 8-K filed with the SEC on March 28, 2025 to which this unaudited pro forma condensed combined financial information is being filed as an exhibit.</w:t>
      </w:r>
    </w:p>
    <w:p>
      <w:pPr>
        <w:ind w:left="320" w:right="40" w:hanging="251"/>
        <w:spacing w:after="0" w:line="253" w:lineRule="auto"/>
        <w:tabs>
          <w:tab w:leader="none" w:pos="3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Envato’s unaudited condensed consolidated financial statements for the six months ended December 31, 2023 and 2022, that are included as Exhibit 99.2 in the Company’s Report on Form 8-K filed with the SEC on March 28, 2025 to which this unaudited pro forma condensed combined financial information is being filed as an exhibit.</w:t>
      </w:r>
    </w:p>
    <w:p>
      <w:pPr>
        <w:ind w:left="320" w:hanging="251"/>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Envato's statement of profit or loss from July 1, 2024 to July 22, 2024, the date of consummation of the Envato Acquisition, derived from the books and records of Envato.</w:t>
      </w:r>
    </w:p>
    <w:p>
      <w:pPr>
        <w:spacing w:after="0" w:line="79"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The unaudited pro forma condensed combined financial information is not necessarily indicative of what Shutterstock’s results of operations would have been had the Envato Acquisition occurred on the date indicated, nor is it necessarily indicative of what the financial position or results of operations of the combined company will be in future periods. The historical financial information has been adjusted to reflect transaction related adjustments that management believes are necessary to present fairly Shutterstock’s pro forma results of operations following the closing of the Envato Acquisition for the period indicated. Additionally, the unaudited pro forma condensed combined statement of operations does not reflect any benefits that may result from potential revenue enhancements, anticipated cost savings and expense efficiencies or other synergies that may be achieved from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260"/>
          </w:cols>
          <w:pgMar w:left="300" w:top="1131" w:right="339" w:bottom="1440" w:gutter="0" w:footer="0" w:header="0"/>
        </w:sectPr>
      </w:pPr>
    </w:p>
    <w:bookmarkStart w:id="52" w:name="page53"/>
    <w:bookmarkEnd w:id="52"/>
    <w:p>
      <w:pPr>
        <w:ind w:firstLine="318"/>
        <w:spacing w:after="0" w:line="261" w:lineRule="auto"/>
        <w:rPr>
          <w:sz w:val="20"/>
          <w:szCs w:val="20"/>
          <w:color w:val="auto"/>
        </w:rPr>
      </w:pPr>
      <w:r>
        <w:rPr>
          <w:rFonts w:ascii="Times New Roman" w:cs="Times New Roman" w:eastAsia="Times New Roman" w:hAnsi="Times New Roman"/>
          <w:sz w:val="14"/>
          <w:szCs w:val="14"/>
          <w:color w:val="auto"/>
        </w:rPr>
        <w:t>Envato's financial statements were prepared in accordance with International Financial Reporting Standards ("IFRS") issued by the International Accounting Standards Board ("IASB"). There were no material adjustments required to convert these financial statements to United States generally accepted accounting principles (“U.S. GAAP”). The pro forma adjustments include certain reclassifications to conform Envato’s historical accounting presentation to Shutterstock’s accounting presentation. Shutterstock’s management believes that its assumptions provide a reasonable basis for presenting all of the significant effects of the transactions and that the pro forma adjustments give appropriate effect to those assumptions and are properly applied in the unaudited pro forma condensed combined financial information.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Preliminary Fair Value Allocation of Assets Acquired and Liabilities Assumed</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allocation of the purchase price to assets acquired and liabilities assumed is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Assets acquired and liabilities assumed:</w:t>
            </w:r>
          </w:p>
        </w:tc>
        <w:tc>
          <w:tcPr>
            <w:tcW w:w="3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As of July 22, 2024</w:t>
            </w:r>
          </w:p>
        </w:tc>
      </w:tr>
      <w:tr>
        <w:trPr>
          <w:trHeight w:val="180"/>
        </w:trPr>
        <w:tc>
          <w:tcPr>
            <w:tcW w:w="8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and cash equivalents</w:t>
            </w:r>
            <w:r>
              <w:rPr>
                <w:rFonts w:ascii="Times New Roman" w:cs="Times New Roman" w:eastAsia="Times New Roman" w:hAnsi="Times New Roman"/>
                <w:sz w:val="7"/>
                <w:szCs w:val="7"/>
                <w:color w:val="auto"/>
              </w:rPr>
              <w:t>1</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90,591</w:t>
            </w:r>
          </w:p>
        </w:tc>
      </w:tr>
      <w:tr>
        <w:trPr>
          <w:trHeight w:val="171"/>
        </w:trPr>
        <w:tc>
          <w:tcPr>
            <w:tcW w:w="8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receivable</w:t>
            </w:r>
          </w:p>
        </w:tc>
        <w:tc>
          <w:tcPr>
            <w:tcW w:w="3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6,818</w:t>
            </w:r>
          </w:p>
        </w:tc>
      </w:tr>
      <w:tr>
        <w:trPr>
          <w:trHeight w:val="190"/>
        </w:trPr>
        <w:tc>
          <w:tcPr>
            <w:tcW w:w="8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assets</w:t>
            </w:r>
          </w:p>
        </w:tc>
        <w:tc>
          <w:tcPr>
            <w:tcW w:w="34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5,404</w:t>
            </w:r>
          </w:p>
        </w:tc>
      </w:tr>
      <w:tr>
        <w:trPr>
          <w:trHeight w:val="171"/>
        </w:trPr>
        <w:tc>
          <w:tcPr>
            <w:tcW w:w="8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Right of use assets</w:t>
            </w:r>
          </w:p>
        </w:tc>
        <w:tc>
          <w:tcPr>
            <w:tcW w:w="3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r>
      <w:tr>
        <w:trPr>
          <w:trHeight w:val="190"/>
        </w:trPr>
        <w:tc>
          <w:tcPr>
            <w:tcW w:w="8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Fixed assets</w:t>
            </w:r>
          </w:p>
        </w:tc>
        <w:tc>
          <w:tcPr>
            <w:tcW w:w="34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w:t>
            </w:r>
          </w:p>
        </w:tc>
      </w:tr>
      <w:tr>
        <w:trPr>
          <w:trHeight w:val="171"/>
        </w:trPr>
        <w:tc>
          <w:tcPr>
            <w:tcW w:w="8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w:t>
            </w: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9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Trademark</w:t>
            </w:r>
          </w:p>
        </w:tc>
        <w:tc>
          <w:tcPr>
            <w:tcW w:w="34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31,000</w:t>
            </w:r>
          </w:p>
        </w:tc>
      </w:tr>
      <w:tr>
        <w:trPr>
          <w:trHeight w:val="171"/>
        </w:trPr>
        <w:tc>
          <w:tcPr>
            <w:tcW w:w="8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Developed technology</w:t>
            </w:r>
          </w:p>
        </w:tc>
        <w:tc>
          <w:tcPr>
            <w:tcW w:w="3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61,000</w:t>
            </w:r>
          </w:p>
        </w:tc>
      </w:tr>
      <w:tr>
        <w:trPr>
          <w:trHeight w:val="190"/>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Customer relationships</w:t>
            </w:r>
          </w:p>
        </w:tc>
        <w:tc>
          <w:tcPr>
            <w:tcW w:w="34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14,200</w:t>
            </w:r>
          </w:p>
        </w:tc>
      </w:tr>
      <w:tr>
        <w:trPr>
          <w:trHeight w:val="171"/>
        </w:trPr>
        <w:tc>
          <w:tcPr>
            <w:tcW w:w="8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Intangible assets, net</w:t>
            </w:r>
          </w:p>
        </w:tc>
        <w:tc>
          <w:tcPr>
            <w:tcW w:w="3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106,200</w:t>
            </w:r>
          </w:p>
        </w:tc>
      </w:tr>
      <w:tr>
        <w:trPr>
          <w:trHeight w:val="181"/>
        </w:trPr>
        <w:tc>
          <w:tcPr>
            <w:tcW w:w="8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Deferred tax asset</w:t>
            </w:r>
          </w:p>
        </w:tc>
        <w:tc>
          <w:tcPr>
            <w:tcW w:w="34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37,350</w:t>
            </w:r>
          </w:p>
        </w:tc>
      </w:tr>
      <w:tr>
        <w:trPr>
          <w:trHeight w:val="171"/>
        </w:trPr>
        <w:tc>
          <w:tcPr>
            <w:tcW w:w="8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Total assets acquired</w:t>
            </w: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247,531</w:t>
            </w:r>
          </w:p>
        </w:tc>
      </w:tr>
      <w:tr>
        <w:trPr>
          <w:trHeight w:val="180"/>
        </w:trPr>
        <w:tc>
          <w:tcPr>
            <w:tcW w:w="8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34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4,173</w:t>
            </w:r>
          </w:p>
        </w:tc>
      </w:tr>
      <w:tr>
        <w:trPr>
          <w:trHeight w:val="171"/>
        </w:trPr>
        <w:tc>
          <w:tcPr>
            <w:tcW w:w="8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Contributor royalties payable</w:t>
            </w:r>
          </w:p>
        </w:tc>
        <w:tc>
          <w:tcPr>
            <w:tcW w:w="3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11,917</w:t>
            </w:r>
          </w:p>
        </w:tc>
      </w:tr>
      <w:tr>
        <w:trPr>
          <w:trHeight w:val="190"/>
        </w:trPr>
        <w:tc>
          <w:tcPr>
            <w:tcW w:w="8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Accrued expenses</w:t>
            </w:r>
          </w:p>
        </w:tc>
        <w:tc>
          <w:tcPr>
            <w:tcW w:w="34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30,233</w:t>
            </w:r>
          </w:p>
        </w:tc>
      </w:tr>
      <w:tr>
        <w:trPr>
          <w:trHeight w:val="171"/>
        </w:trPr>
        <w:tc>
          <w:tcPr>
            <w:tcW w:w="8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Deferred revenue</w:t>
            </w:r>
          </w:p>
        </w:tc>
        <w:tc>
          <w:tcPr>
            <w:tcW w:w="3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46,888</w:t>
            </w:r>
          </w:p>
        </w:tc>
      </w:tr>
      <w:tr>
        <w:trPr>
          <w:trHeight w:val="190"/>
        </w:trPr>
        <w:tc>
          <w:tcPr>
            <w:tcW w:w="8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liabilities</w:t>
            </w:r>
            <w:r>
              <w:rPr>
                <w:rFonts w:ascii="Times New Roman" w:cs="Times New Roman" w:eastAsia="Times New Roman" w:hAnsi="Times New Roman"/>
                <w:sz w:val="7"/>
                <w:szCs w:val="7"/>
                <w:color w:val="auto"/>
              </w:rPr>
              <w:t>1</w:t>
            </w:r>
          </w:p>
        </w:tc>
        <w:tc>
          <w:tcPr>
            <w:tcW w:w="34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71,487</w:t>
            </w:r>
          </w:p>
        </w:tc>
      </w:tr>
      <w:tr>
        <w:trPr>
          <w:trHeight w:val="171"/>
        </w:trPr>
        <w:tc>
          <w:tcPr>
            <w:tcW w:w="8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Lease liability</w:t>
            </w: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w:t>
            </w:r>
          </w:p>
        </w:tc>
      </w:tr>
      <w:tr>
        <w:trPr>
          <w:trHeight w:val="171"/>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 assumed</w:t>
            </w:r>
          </w:p>
        </w:tc>
        <w:tc>
          <w:tcPr>
            <w:tcW w:w="3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164,888</w:t>
            </w:r>
          </w:p>
        </w:tc>
      </w:tr>
      <w:tr>
        <w:trPr>
          <w:trHeight w:val="171"/>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 acquired</w:t>
            </w: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82,643</w:t>
            </w:r>
          </w:p>
        </w:tc>
      </w:tr>
      <w:tr>
        <w:trPr>
          <w:trHeight w:val="171"/>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Purchase consideration</w:t>
            </w:r>
          </w:p>
        </w:tc>
        <w:tc>
          <w:tcPr>
            <w:tcW w:w="340" w:type="dxa"/>
            <w:vAlign w:val="bottom"/>
            <w:tcBorders>
              <w:bottom w:val="single" w:sz="8" w:color="auto"/>
            </w:tcBorders>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250,215</w:t>
            </w:r>
          </w:p>
        </w:tc>
      </w:tr>
      <w:tr>
        <w:trPr>
          <w:trHeight w:val="180"/>
        </w:trPr>
        <w:tc>
          <w:tcPr>
            <w:tcW w:w="8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167,572</w:t>
            </w:r>
          </w:p>
        </w:tc>
      </w:tr>
      <w:tr>
        <w:trPr>
          <w:trHeight w:val="20"/>
        </w:trPr>
        <w:tc>
          <w:tcPr>
            <w:tcW w:w="8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right="80"/>
        <w:spacing w:after="0" w:line="313" w:lineRule="auto"/>
        <w:rPr>
          <w:sz w:val="20"/>
          <w:szCs w:val="20"/>
          <w:color w:val="auto"/>
        </w:rPr>
      </w:pPr>
      <w:r>
        <w:rPr>
          <w:rFonts w:ascii="Calibri" w:cs="Calibri" w:eastAsia="Calibri" w:hAnsi="Calibri"/>
          <w:sz w:val="6"/>
          <w:szCs w:val="6"/>
          <w:color w:val="auto"/>
        </w:rPr>
        <w:t>1</w:t>
      </w:r>
      <w:r>
        <w:rPr>
          <w:rFonts w:ascii="Times New Roman" w:cs="Times New Roman" w:eastAsia="Times New Roman" w:hAnsi="Times New Roman"/>
          <w:sz w:val="9"/>
          <w:szCs w:val="9"/>
          <w:color w:val="auto"/>
        </w:rPr>
        <w:t>Envato’s cash includes $63.4 million for the funding of Envato obligations that were triggered upon the closing of the acquisition (the “Envato Seller Obligations”). These obligations are also reported as assumed liabilities within Other liabilities. The Envato Obligations would not</w:t>
      </w:r>
      <w:r>
        <w:rPr>
          <w:rFonts w:ascii="Calibri" w:cs="Calibri" w:eastAsia="Calibri" w:hAnsi="Calibri"/>
          <w:sz w:val="6"/>
          <w:szCs w:val="6"/>
          <w:color w:val="auto"/>
        </w:rPr>
        <w:t xml:space="preserve"> </w:t>
      </w:r>
      <w:r>
        <w:rPr>
          <w:rFonts w:ascii="Times New Roman" w:cs="Times New Roman" w:eastAsia="Times New Roman" w:hAnsi="Times New Roman"/>
          <w:sz w:val="9"/>
          <w:szCs w:val="9"/>
          <w:color w:val="auto"/>
        </w:rPr>
        <w:t>have been incurred had the acquisition not closed, and are presented “on-the-line” because they are not reflected in either the acquirer’s or acquiree’s statement of operations.</w:t>
      </w:r>
    </w:p>
    <w:p>
      <w:pPr>
        <w:spacing w:after="0" w:line="124" w:lineRule="exact"/>
        <w:rPr>
          <w:sz w:val="20"/>
          <w:szCs w:val="20"/>
          <w:color w:val="auto"/>
        </w:rPr>
      </w:pPr>
    </w:p>
    <w:p>
      <w:pPr>
        <w:ind w:right="160" w:firstLine="318"/>
        <w:spacing w:after="0" w:line="245" w:lineRule="auto"/>
        <w:rPr>
          <w:sz w:val="20"/>
          <w:szCs w:val="20"/>
          <w:color w:val="auto"/>
        </w:rPr>
      </w:pPr>
      <w:r>
        <w:rPr>
          <w:rFonts w:ascii="Times New Roman" w:cs="Times New Roman" w:eastAsia="Times New Roman" w:hAnsi="Times New Roman"/>
          <w:sz w:val="14"/>
          <w:szCs w:val="14"/>
          <w:color w:val="auto"/>
        </w:rPr>
        <w:t>The purchased assets included identifiable intangible assets, comprised of trademark, developed technology and customer relationships, which have weighted average useful lives of approximately 10 years, 5 years and 6 years, respectively. Fair values of the trademark and developed technology were determined using the relief-from-royalty method, and the fair value of the customer relationships was determined using the excess of earnings method. Determining the fair value requires management to use significant judgement and estimates, including revenue growth rates, the royalty rate and the discount rate, and the economic life related to developed technology and revenue growth rates, the royalty rate, and the discount rate related to the trademark, among others.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220"/>
          </w:cols>
          <w:pgMar w:left="300" w:top="1143"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Note 3 – Envato’s Statement of Operations Reconciliation for period from January 1, 2024 to July 22, 2024</w:t>
      </w:r>
    </w:p>
    <w:p>
      <w:pPr>
        <w:spacing w:after="0" w:line="212"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4"/>
          <w:szCs w:val="14"/>
          <w:color w:val="auto"/>
        </w:rPr>
        <w:t>For purposes of preparing Shutterstock (as adjusted), presented in the pro forma condensed combined statement of operations for the year ended December 31, 2024, Envato's historical audited statement of profit and loss for the twelve months ended June 30, 2024 was adjusted by deducting Envato's unaudited statement of profit and loss for the six months ended December 31, 2023, and adding the unaudited results for Envato from July 1, 2024 to July 22, 2024, the date of consummation of the Envato Acquisition.</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presents a reconciliation of Envato's statement of operations for the period from January 1, 2024 to July 22,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Period from</w:t>
            </w:r>
          </w:p>
        </w:tc>
        <w:tc>
          <w:tcPr>
            <w:tcW w:w="3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38"/>
        </w:trPr>
        <w:tc>
          <w:tcPr>
            <w:tcW w:w="3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Twelve months ended</w:t>
            </w:r>
          </w:p>
        </w:tc>
        <w:tc>
          <w:tcPr>
            <w:tcW w:w="100" w:type="dxa"/>
            <w:vAlign w:val="bottom"/>
          </w:tcPr>
          <w:p>
            <w:pPr>
              <w:spacing w:after="0"/>
              <w:rPr>
                <w:sz w:val="11"/>
                <w:szCs w:val="11"/>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Six months ended December 31,</w:t>
            </w:r>
          </w:p>
        </w:tc>
        <w:tc>
          <w:tcPr>
            <w:tcW w:w="300" w:type="dxa"/>
            <w:vAlign w:val="bottom"/>
          </w:tcPr>
          <w:p>
            <w:pPr>
              <w:spacing w:after="0"/>
              <w:rPr>
                <w:sz w:val="11"/>
                <w:szCs w:val="11"/>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July 1, 2024 to</w:t>
            </w:r>
          </w:p>
        </w:tc>
        <w:tc>
          <w:tcPr>
            <w:tcW w:w="300" w:type="dxa"/>
            <w:vAlign w:val="bottom"/>
          </w:tcPr>
          <w:p>
            <w:pPr>
              <w:spacing w:after="0"/>
              <w:rPr>
                <w:sz w:val="11"/>
                <w:szCs w:val="11"/>
                <w:color w:val="auto"/>
              </w:rPr>
            </w:pPr>
          </w:p>
        </w:tc>
        <w:tc>
          <w:tcPr>
            <w:tcW w:w="1380" w:type="dxa"/>
            <w:vAlign w:val="bottom"/>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rPr>
              <w:t>Period from</w:t>
            </w:r>
          </w:p>
        </w:tc>
      </w:tr>
      <w:tr>
        <w:trPr>
          <w:trHeight w:val="138"/>
        </w:trPr>
        <w:tc>
          <w:tcPr>
            <w:tcW w:w="3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100" w:type="dxa"/>
            <w:vAlign w:val="bottom"/>
          </w:tcPr>
          <w:p>
            <w:pPr>
              <w:spacing w:after="0"/>
              <w:rPr>
                <w:sz w:val="11"/>
                <w:szCs w:val="11"/>
                <w:color w:val="auto"/>
              </w:rPr>
            </w:pPr>
          </w:p>
        </w:tc>
        <w:tc>
          <w:tcPr>
            <w:tcW w:w="170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July 22, 2024</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January 1, 2024 to July 22, 2024</w:t>
            </w:r>
          </w:p>
        </w:tc>
      </w:tr>
      <w:tr>
        <w:trPr>
          <w:trHeight w:val="169"/>
        </w:trPr>
        <w:tc>
          <w:tcPr>
            <w:tcW w:w="3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w:t>
            </w:r>
          </w:p>
        </w:tc>
        <w:tc>
          <w:tcPr>
            <w:tcW w:w="100" w:type="dxa"/>
            <w:vAlign w:val="bottom"/>
          </w:tcPr>
          <w:p>
            <w:pPr>
              <w:spacing w:after="0"/>
              <w:rPr>
                <w:sz w:val="14"/>
                <w:szCs w:val="14"/>
                <w:color w:val="auto"/>
              </w:rPr>
            </w:pP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(B)</w:t>
            </w:r>
          </w:p>
        </w:tc>
        <w:tc>
          <w:tcPr>
            <w:tcW w:w="30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w:t>
            </w:r>
          </w:p>
        </w:tc>
        <w:tc>
          <w:tcPr>
            <w:tcW w:w="300" w:type="dxa"/>
            <w:vAlign w:val="bottom"/>
          </w:tcPr>
          <w:p>
            <w:pPr>
              <w:spacing w:after="0"/>
              <w:rPr>
                <w:sz w:val="14"/>
                <w:szCs w:val="14"/>
                <w:color w:val="auto"/>
              </w:rPr>
            </w:pPr>
          </w:p>
        </w:tc>
        <w:tc>
          <w:tcPr>
            <w:tcW w:w="1380" w:type="dxa"/>
            <w:vAlign w:val="bottom"/>
          </w:tcPr>
          <w:p>
            <w:pPr>
              <w:jc w:val="center"/>
              <w:ind w:right="243"/>
              <w:spacing w:after="0"/>
              <w:rPr>
                <w:sz w:val="20"/>
                <w:szCs w:val="20"/>
                <w:color w:val="auto"/>
              </w:rPr>
            </w:pPr>
            <w:r>
              <w:rPr>
                <w:rFonts w:ascii="Times New Roman" w:cs="Times New Roman" w:eastAsia="Times New Roman" w:hAnsi="Times New Roman"/>
                <w:sz w:val="11"/>
                <w:szCs w:val="11"/>
                <w:b w:val="1"/>
                <w:bCs w:val="1"/>
                <w:color w:val="auto"/>
              </w:rPr>
              <w:t>(A - B + C)</w:t>
            </w:r>
          </w:p>
        </w:tc>
      </w:tr>
      <w:tr>
        <w:trPr>
          <w:trHeight w:val="18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 from ordinary activities</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197,236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99,804</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11,556</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108,988</w:t>
            </w:r>
          </w:p>
        </w:tc>
      </w:tr>
      <w:tr>
        <w:trPr>
          <w:trHeight w:val="212"/>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 costs</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55,814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28,601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3,423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30,636</w:t>
            </w:r>
          </w:p>
        </w:tc>
      </w:tr>
      <w:tr>
        <w:trPr>
          <w:trHeight w:val="171"/>
        </w:trPr>
        <w:tc>
          <w:tcPr>
            <w:tcW w:w="3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costs</w:t>
            </w:r>
          </w:p>
        </w:tc>
        <w:tc>
          <w:tcPr>
            <w:tcW w:w="200" w:type="dxa"/>
            <w:vAlign w:val="bottom"/>
          </w:tcPr>
          <w:p>
            <w:pPr>
              <w:spacing w:after="0"/>
              <w:rPr>
                <w:sz w:val="14"/>
                <w:szCs w:val="14"/>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53,457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24,776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31,906</w:t>
            </w:r>
          </w:p>
        </w:tc>
      </w:tr>
      <w:tr>
        <w:trPr>
          <w:trHeight w:val="19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Service provider expenses</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1,791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1,859</w:t>
            </w:r>
          </w:p>
        </w:tc>
      </w:tr>
      <w:tr>
        <w:trPr>
          <w:trHeight w:val="171"/>
        </w:trPr>
        <w:tc>
          <w:tcPr>
            <w:tcW w:w="3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amortization and impairment</w:t>
            </w:r>
          </w:p>
        </w:tc>
        <w:tc>
          <w:tcPr>
            <w:tcW w:w="200" w:type="dxa"/>
            <w:vAlign w:val="bottom"/>
          </w:tcPr>
          <w:p>
            <w:pPr>
              <w:spacing w:after="0"/>
              <w:rPr>
                <w:sz w:val="14"/>
                <w:szCs w:val="14"/>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1,889</w:t>
            </w:r>
          </w:p>
        </w:tc>
      </w:tr>
      <w:tr>
        <w:trPr>
          <w:trHeight w:val="19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Data and software expenses</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14,509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6,987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8,093</w:t>
            </w:r>
          </w:p>
        </w:tc>
      </w:tr>
      <w:tr>
        <w:trPr>
          <w:trHeight w:val="171"/>
        </w:trPr>
        <w:tc>
          <w:tcPr>
            <w:tcW w:w="3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Marketing expenses</w:t>
            </w:r>
          </w:p>
        </w:tc>
        <w:tc>
          <w:tcPr>
            <w:tcW w:w="200" w:type="dxa"/>
            <w:vAlign w:val="bottom"/>
          </w:tcPr>
          <w:p>
            <w:pPr>
              <w:spacing w:after="0"/>
              <w:rPr>
                <w:sz w:val="14"/>
                <w:szCs w:val="14"/>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22,287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11,786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11,200</w:t>
            </w:r>
          </w:p>
        </w:tc>
      </w:tr>
      <w:tr>
        <w:trPr>
          <w:trHeight w:val="19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Travel expenses</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573</w:t>
            </w:r>
          </w:p>
        </w:tc>
      </w:tr>
      <w:tr>
        <w:trPr>
          <w:trHeight w:val="171"/>
        </w:trPr>
        <w:tc>
          <w:tcPr>
            <w:tcW w:w="3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Rental expenses</w:t>
            </w:r>
          </w:p>
        </w:tc>
        <w:tc>
          <w:tcPr>
            <w:tcW w:w="200" w:type="dxa"/>
            <w:vAlign w:val="bottom"/>
          </w:tcPr>
          <w:p>
            <w:pPr>
              <w:spacing w:after="0"/>
              <w:rPr>
                <w:sz w:val="14"/>
                <w:szCs w:val="14"/>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r>
      <w:tr>
        <w:trPr>
          <w:trHeight w:val="19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Professional fees</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1,384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8,956</w:t>
            </w:r>
          </w:p>
        </w:tc>
      </w:tr>
      <w:tr>
        <w:trPr>
          <w:trHeight w:val="171"/>
        </w:trPr>
        <w:tc>
          <w:tcPr>
            <w:tcW w:w="3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exchange loss / (gain)</w:t>
            </w:r>
          </w:p>
        </w:tc>
        <w:tc>
          <w:tcPr>
            <w:tcW w:w="200" w:type="dxa"/>
            <w:vAlign w:val="bottom"/>
          </w:tcPr>
          <w:p>
            <w:pPr>
              <w:spacing w:after="0"/>
              <w:rPr>
                <w:sz w:val="14"/>
                <w:szCs w:val="14"/>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1,002</w:t>
            </w:r>
          </w:p>
        </w:tc>
      </w:tr>
      <w:tr>
        <w:trPr>
          <w:trHeight w:val="19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expenses</w:t>
            </w:r>
          </w:p>
        </w:tc>
        <w:tc>
          <w:tcPr>
            <w:tcW w:w="2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902</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1,168</w:t>
            </w:r>
          </w:p>
        </w:tc>
      </w:tr>
      <w:tr>
        <w:trPr>
          <w:trHeight w:val="161"/>
        </w:trPr>
        <w:tc>
          <w:tcPr>
            <w:tcW w:w="3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profit</w:t>
            </w:r>
          </w:p>
        </w:tc>
        <w:tc>
          <w:tcPr>
            <w:tcW w:w="200" w:type="dxa"/>
            <w:vAlign w:val="bottom"/>
          </w:tcPr>
          <w:p>
            <w:pPr>
              <w:spacing w:after="0"/>
              <w:rPr>
                <w:sz w:val="14"/>
                <w:szCs w:val="14"/>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30,960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21,689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2,336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11,607</w:t>
            </w:r>
          </w:p>
        </w:tc>
      </w:tr>
      <w:tr>
        <w:trPr>
          <w:trHeight w:val="19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Finance income</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2,278</w:t>
            </w:r>
          </w:p>
        </w:tc>
      </w:tr>
      <w:tr>
        <w:trPr>
          <w:trHeight w:val="171"/>
        </w:trPr>
        <w:tc>
          <w:tcPr>
            <w:tcW w:w="3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Finance costs</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w:t>
            </w:r>
          </w:p>
        </w:tc>
      </w:tr>
      <w:tr>
        <w:trPr>
          <w:trHeight w:val="19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Impairment of investment in associate account for using the equity method</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w:t>
            </w:r>
          </w:p>
        </w:tc>
      </w:tr>
      <w:tr>
        <w:trPr>
          <w:trHeight w:val="171"/>
        </w:trPr>
        <w:tc>
          <w:tcPr>
            <w:tcW w:w="3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 of losses of associates accounted for using the equity method</w:t>
            </w:r>
          </w:p>
        </w:tc>
        <w:tc>
          <w:tcPr>
            <w:tcW w:w="2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4"/>
                <w:szCs w:val="14"/>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1,588</w:t>
            </w:r>
          </w:p>
        </w:tc>
      </w:tr>
      <w:tr>
        <w:trPr>
          <w:trHeight w:val="18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Profit before income tax</w:t>
            </w:r>
          </w:p>
        </w:tc>
        <w:tc>
          <w:tcPr>
            <w:tcW w:w="2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27,125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16,341</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2,468</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13,252</w:t>
            </w:r>
          </w:p>
        </w:tc>
      </w:tr>
      <w:tr>
        <w:trPr>
          <w:trHeight w:val="171"/>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8,400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5,556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3,097</w:t>
            </w:r>
          </w:p>
        </w:tc>
      </w:tr>
      <w:tr>
        <w:trPr>
          <w:trHeight w:val="205"/>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Profit for the period</w:t>
            </w:r>
          </w:p>
        </w:tc>
        <w:tc>
          <w:tcPr>
            <w:tcW w:w="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18,725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10,785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10,155</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200"/>
          </w:cols>
          <w:pgMar w:left="300" w:top="1141"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Note 4 – Envato Statement of Profit or Loss Adjustments and Reclassification</w:t>
      </w:r>
    </w:p>
    <w:p>
      <w:pPr>
        <w:spacing w:after="0" w:line="181"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4"/>
          <w:szCs w:val="14"/>
          <w:color w:val="auto"/>
        </w:rPr>
        <w:t>Certain pre-acquisition adjustments and reclassifications for the period from January 1, 2024 to July 22, 2024 have been made in the historical presentation of Envato's statement of operations,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60" w:type="dxa"/>
            <w:vAlign w:val="bottom"/>
            <w:gridSpan w:val="5"/>
          </w:tcPr>
          <w:p>
            <w:pPr>
              <w:ind w:left="320"/>
              <w:spacing w:after="0"/>
              <w:rPr>
                <w:sz w:val="20"/>
                <w:szCs w:val="20"/>
                <w:color w:val="auto"/>
              </w:rPr>
            </w:pPr>
            <w:r>
              <w:rPr>
                <w:rFonts w:ascii="Times New Roman" w:cs="Times New Roman" w:eastAsia="Times New Roman" w:hAnsi="Times New Roman"/>
                <w:sz w:val="11"/>
                <w:szCs w:val="11"/>
                <w:b w:val="1"/>
                <w:bCs w:val="1"/>
                <w:color w:val="auto"/>
              </w:rPr>
              <w:t>For the period from January 1, 2024 to July 22, 2024</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90"/>
        </w:trPr>
        <w:tc>
          <w:tcPr>
            <w:tcW w:w="3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4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61"/>
        </w:trPr>
        <w:tc>
          <w:tcPr>
            <w:tcW w:w="3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Envato Historical</w:t>
            </w:r>
          </w:p>
        </w:tc>
        <w:tc>
          <w:tcPr>
            <w:tcW w:w="140" w:type="dxa"/>
            <w:vAlign w:val="bottom"/>
          </w:tcPr>
          <w:p>
            <w:pPr>
              <w:spacing w:after="0"/>
              <w:rPr>
                <w:sz w:val="14"/>
                <w:szCs w:val="14"/>
                <w:color w:val="auto"/>
              </w:rPr>
            </w:pP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Pre-acquisition</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8"/>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Envato caption</w:t>
            </w:r>
          </w:p>
        </w:tc>
        <w:tc>
          <w:tcPr>
            <w:tcW w:w="2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Shutterstock caption</w:t>
            </w: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(Note 3)</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420" w:type="dxa"/>
            <w:vAlign w:val="bottom"/>
            <w:tcBorders>
              <w:bottom w:val="single" w:sz="8" w:color="CCEEFF"/>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w w:val="93"/>
              </w:rPr>
              <w:t>Ref.</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Reclassification</w:t>
            </w:r>
          </w:p>
        </w:tc>
        <w:tc>
          <w:tcPr>
            <w:tcW w:w="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Ref.</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Envato As Reclassified</w:t>
            </w:r>
          </w:p>
        </w:tc>
      </w:tr>
      <w:tr>
        <w:trPr>
          <w:trHeight w:val="18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 from ordinary activities</w:t>
            </w: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Revenue</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108,988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108,988</w:t>
            </w: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Direct costs</w:t>
            </w: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Cost of revenue</w:t>
            </w:r>
          </w:p>
        </w:tc>
        <w:tc>
          <w:tcPr>
            <w:tcW w:w="18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30,636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30,636</w:t>
            </w: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Employee costs</w:t>
            </w:r>
          </w:p>
        </w:tc>
        <w:tc>
          <w:tcPr>
            <w:tcW w:w="2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31,906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(31,906)</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(ii)</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5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Cost of revenue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5,313</w:t>
            </w: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(ii)</w:t>
            </w: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5,313</w:t>
            </w:r>
          </w:p>
        </w:tc>
      </w:tr>
      <w:tr>
        <w:trPr>
          <w:trHeight w:val="190"/>
        </w:trPr>
        <w:tc>
          <w:tcPr>
            <w:tcW w:w="3500" w:type="dxa"/>
            <w:vAlign w:val="bottom"/>
            <w:shd w:val="clear" w:color="auto" w:fill="CCEEFF"/>
          </w:tcPr>
          <w:p>
            <w:pPr>
              <w:spacing w:after="0"/>
              <w:rPr>
                <w:sz w:val="16"/>
                <w:szCs w:val="16"/>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Sales and marketing</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4,389</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(ii)</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4,389</w:t>
            </w:r>
          </w:p>
        </w:tc>
      </w:tr>
      <w:tr>
        <w:trPr>
          <w:trHeight w:val="171"/>
        </w:trPr>
        <w:tc>
          <w:tcPr>
            <w:tcW w:w="35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Product development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12,031</w:t>
            </w: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(ii)</w:t>
            </w: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12,031</w:t>
            </w:r>
          </w:p>
        </w:tc>
      </w:tr>
      <w:tr>
        <w:trPr>
          <w:trHeight w:val="190"/>
        </w:trPr>
        <w:tc>
          <w:tcPr>
            <w:tcW w:w="3500" w:type="dxa"/>
            <w:vAlign w:val="bottom"/>
            <w:shd w:val="clear" w:color="auto" w:fill="CCEEFF"/>
          </w:tcPr>
          <w:p>
            <w:pPr>
              <w:spacing w:after="0"/>
              <w:rPr>
                <w:sz w:val="16"/>
                <w:szCs w:val="16"/>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10,173</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(ii)</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10,173</w:t>
            </w: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Service provider expenses</w:t>
            </w: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1,859</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(1,859)</w:t>
            </w: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(iii)</w:t>
            </w: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500" w:type="dxa"/>
            <w:vAlign w:val="bottom"/>
            <w:shd w:val="clear" w:color="auto" w:fill="CCEEFF"/>
          </w:tcPr>
          <w:p>
            <w:pPr>
              <w:spacing w:after="0"/>
              <w:rPr>
                <w:sz w:val="16"/>
                <w:szCs w:val="16"/>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Cost of revenue</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711</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(iii)</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711</w:t>
            </w:r>
          </w:p>
        </w:tc>
      </w:tr>
      <w:tr>
        <w:trPr>
          <w:trHeight w:val="171"/>
        </w:trPr>
        <w:tc>
          <w:tcPr>
            <w:tcW w:w="35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Sales and marketing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(iii)</w:t>
            </w: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r>
      <w:tr>
        <w:trPr>
          <w:trHeight w:val="190"/>
        </w:trPr>
        <w:tc>
          <w:tcPr>
            <w:tcW w:w="3500" w:type="dxa"/>
            <w:vAlign w:val="bottom"/>
            <w:shd w:val="clear" w:color="auto" w:fill="CCEEFF"/>
          </w:tcPr>
          <w:p>
            <w:pPr>
              <w:spacing w:after="0"/>
              <w:rPr>
                <w:sz w:val="16"/>
                <w:szCs w:val="16"/>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Product development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542</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(iii)</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542</w:t>
            </w:r>
          </w:p>
        </w:tc>
      </w:tr>
      <w:tr>
        <w:trPr>
          <w:trHeight w:val="171"/>
        </w:trPr>
        <w:tc>
          <w:tcPr>
            <w:tcW w:w="35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574</w:t>
            </w: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(iii)</w:t>
            </w: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574</w:t>
            </w: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 amortization and impairment</w:t>
            </w:r>
          </w:p>
        </w:tc>
        <w:tc>
          <w:tcPr>
            <w:tcW w:w="2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(1,889)</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(iv)</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5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Cost of revenue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w:t>
            </w: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(iv)</w:t>
            </w: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w:t>
            </w:r>
          </w:p>
        </w:tc>
      </w:tr>
      <w:tr>
        <w:trPr>
          <w:trHeight w:val="190"/>
        </w:trPr>
        <w:tc>
          <w:tcPr>
            <w:tcW w:w="3500" w:type="dxa"/>
            <w:vAlign w:val="bottom"/>
            <w:shd w:val="clear" w:color="auto" w:fill="CCEEFF"/>
          </w:tcPr>
          <w:p>
            <w:pPr>
              <w:spacing w:after="0"/>
              <w:rPr>
                <w:sz w:val="16"/>
                <w:szCs w:val="16"/>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1,803</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(iv)</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1,803</w:t>
            </w: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Data and software expenses</w:t>
            </w: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8,093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(8,093)</w:t>
            </w: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w:t>
            </w: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90"/>
        </w:trPr>
        <w:tc>
          <w:tcPr>
            <w:tcW w:w="3500" w:type="dxa"/>
            <w:vAlign w:val="bottom"/>
            <w:shd w:val="clear" w:color="auto" w:fill="CCEEFF"/>
          </w:tcPr>
          <w:p>
            <w:pPr>
              <w:spacing w:after="0"/>
              <w:rPr>
                <w:sz w:val="16"/>
                <w:szCs w:val="16"/>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Cost of revenue</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5,371</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(v)</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5,371</w:t>
            </w:r>
          </w:p>
        </w:tc>
      </w:tr>
      <w:tr>
        <w:trPr>
          <w:trHeight w:val="171"/>
        </w:trPr>
        <w:tc>
          <w:tcPr>
            <w:tcW w:w="35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Sales and marketing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348</w:t>
            </w: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w:t>
            </w: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348</w:t>
            </w:r>
          </w:p>
        </w:tc>
      </w:tr>
      <w:tr>
        <w:trPr>
          <w:trHeight w:val="190"/>
        </w:trPr>
        <w:tc>
          <w:tcPr>
            <w:tcW w:w="3500" w:type="dxa"/>
            <w:vAlign w:val="bottom"/>
            <w:shd w:val="clear" w:color="auto" w:fill="CCEEFF"/>
          </w:tcPr>
          <w:p>
            <w:pPr>
              <w:spacing w:after="0"/>
              <w:rPr>
                <w:sz w:val="16"/>
                <w:szCs w:val="16"/>
                <w:color w:val="auto"/>
              </w:rPr>
            </w:pP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Product development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1,113</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(v)</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1,113</w:t>
            </w:r>
          </w:p>
        </w:tc>
      </w:tr>
      <w:tr>
        <w:trPr>
          <w:trHeight w:val="171"/>
        </w:trPr>
        <w:tc>
          <w:tcPr>
            <w:tcW w:w="35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1,261</w:t>
            </w: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w:t>
            </w: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1,261</w:t>
            </w: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Marketing expenses</w:t>
            </w: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Sales and marketing</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11,200</w:t>
            </w: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Travel expenses</w:t>
            </w: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573</w:t>
            </w: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Rental expenses</w:t>
            </w: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Professional fees</w:t>
            </w: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8,956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8,956</w:t>
            </w: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exchange loss / (gain)</w:t>
            </w: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income / (expense), net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1,002</w:t>
            </w:r>
          </w:p>
        </w:tc>
      </w:tr>
      <w:tr>
        <w:trPr>
          <w:trHeight w:val="171"/>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expenses</w:t>
            </w:r>
          </w:p>
        </w:tc>
        <w:tc>
          <w:tcPr>
            <w:tcW w:w="2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1,168</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1,168</w:t>
            </w:r>
          </w:p>
        </w:tc>
      </w:tr>
      <w:tr>
        <w:trPr>
          <w:trHeight w:val="17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profit</w:t>
            </w: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Income before income taxes</w:t>
            </w: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11,607</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11,607</w:t>
            </w: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Finance income</w:t>
            </w: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income / (expense), net</w:t>
            </w:r>
          </w:p>
        </w:tc>
        <w:tc>
          <w:tcPr>
            <w:tcW w:w="18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2,278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2,278</w:t>
            </w: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Finance costs</w:t>
            </w:r>
          </w:p>
        </w:tc>
        <w:tc>
          <w:tcPr>
            <w:tcW w:w="2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662</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(vi)</w:t>
            </w: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50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expense</w:t>
            </w: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(vi)</w:t>
            </w:r>
          </w:p>
        </w:tc>
        <w:tc>
          <w:tcPr>
            <w:tcW w:w="4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(662)</w:t>
            </w:r>
          </w:p>
        </w:tc>
      </w:tr>
      <w:tr>
        <w:trPr>
          <w:trHeight w:val="19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Impairment of investment in associate account for using the equity method</w:t>
            </w:r>
          </w:p>
        </w:tc>
        <w:tc>
          <w:tcPr>
            <w:tcW w:w="2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1,559</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1"/>
                <w:szCs w:val="11"/>
                <w:color w:val="auto"/>
              </w:rPr>
              <w:t>(i)</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 of losses of associates accounted for using the equity method</w:t>
            </w: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1,588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(1,588)</w:t>
            </w: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(i)</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71"/>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Profit before income tax</w:t>
            </w:r>
          </w:p>
        </w:tc>
        <w:tc>
          <w:tcPr>
            <w:tcW w:w="2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13,252</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13,223</w:t>
            </w:r>
          </w:p>
        </w:tc>
      </w:tr>
      <w:tr>
        <w:trPr>
          <w:trHeight w:val="171"/>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2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Provision (benefit) for income taxes</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3,097</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3,097</w:t>
            </w:r>
          </w:p>
        </w:tc>
      </w:tr>
      <w:tr>
        <w:trPr>
          <w:trHeight w:val="20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Profit for the period</w:t>
            </w:r>
          </w:p>
        </w:tc>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10,155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10,126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500" w:hanging="240"/>
        <w:spacing w:after="0"/>
        <w:tabs>
          <w:tab w:leader="none" w:pos="50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Adjustment reflecting the change in the fair value of equity method investment that was disposed of prior to Shutterstock's acquisition of Envato.</w:t>
      </w:r>
    </w:p>
    <w:p>
      <w:pPr>
        <w:spacing w:after="0" w:line="22" w:lineRule="exact"/>
        <w:rPr>
          <w:rFonts w:ascii="Times New Roman" w:cs="Times New Roman" w:eastAsia="Times New Roman" w:hAnsi="Times New Roman"/>
          <w:sz w:val="11"/>
          <w:szCs w:val="11"/>
          <w:color w:val="auto"/>
        </w:rPr>
      </w:pPr>
    </w:p>
    <w:p>
      <w:pPr>
        <w:ind w:left="520" w:right="60" w:hanging="260"/>
        <w:spacing w:after="0" w:line="270" w:lineRule="auto"/>
        <w:tabs>
          <w:tab w:leader="none" w:pos="51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"Employee cost" on Envato's statement of profit or loss into "Cost of revenue", "Sales and marketing", "Product development" and "General and administrative" to conform to the Company's statement of operations presentation.</w:t>
      </w:r>
    </w:p>
    <w:p>
      <w:pPr>
        <w:ind w:left="520" w:right="120" w:hanging="260"/>
        <w:spacing w:after="0" w:line="271" w:lineRule="auto"/>
        <w:tabs>
          <w:tab w:leader="none" w:pos="52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"Service provider expenses" on Envato's statement of profit or loss into "Cost of revenue", "Sales and marketing", "Product development" and "General and administrative" to conform to the Company's statement of operations presentation.</w:t>
      </w:r>
    </w:p>
    <w:p>
      <w:pPr>
        <w:ind w:left="520" w:right="460" w:hanging="260"/>
        <w:spacing w:after="0" w:line="263" w:lineRule="auto"/>
        <w:tabs>
          <w:tab w:leader="none" w:pos="513"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"Depreciation, amortization and impairment" on Envato's statement of profit or loss into "Cost of revenue" and "General and administrative" to conform to the Company's statement of operations presentation.</w:t>
      </w:r>
    </w:p>
    <w:p>
      <w:pPr>
        <w:ind w:left="520" w:right="60" w:hanging="260"/>
        <w:spacing w:after="0" w:line="271" w:lineRule="auto"/>
        <w:tabs>
          <w:tab w:leader="none" w:pos="514"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"Data and software expenses" on Envato's statement of profit or loss into "Cost of revenue", "Sales and marketing", "Product development" and "General and administrative" to conform to the Company's statement of operations presentation.</w:t>
      </w:r>
    </w:p>
    <w:p>
      <w:pPr>
        <w:ind w:left="500" w:hanging="240"/>
        <w:spacing w:after="0"/>
        <w:tabs>
          <w:tab w:leader="none" w:pos="50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reclassification of "Finance costs" on Envato's statement of profit or loss into "Interest expense" to conform to the Company's statement of operations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280"/>
          </w:cols>
          <w:pgMar w:left="300" w:top="1131"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Note 5 – Envato Acquisition Pro Forma Adjustments</w:t>
      </w:r>
    </w:p>
    <w:p>
      <w:pPr>
        <w:spacing w:after="0" w:line="287"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color w:val="auto"/>
        </w:rPr>
        <w:t>A.</w:t>
        <w:tab/>
        <w:t>Amortization of intangible assets recorded in connection with purchase accounting adjustments.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 thousands)</w:t>
            </w:r>
          </w:p>
        </w:tc>
        <w:tc>
          <w:tcPr>
            <w:tcW w:w="25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Period from January 1, 2024 to July 22, 2024</w:t>
            </w:r>
          </w:p>
        </w:tc>
      </w:tr>
      <w:tr>
        <w:trPr>
          <w:trHeight w:val="18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Cost of revenue</w:t>
            </w:r>
          </w:p>
        </w:tc>
        <w:tc>
          <w:tcPr>
            <w:tcW w:w="2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8,042</w:t>
            </w:r>
          </w:p>
        </w:tc>
      </w:tr>
      <w:tr>
        <w:trPr>
          <w:trHeight w:val="171"/>
        </w:trPr>
        <w:tc>
          <w:tcPr>
            <w:tcW w:w="8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142</w:t>
            </w:r>
          </w:p>
        </w:tc>
      </w:tr>
      <w:tr>
        <w:trPr>
          <w:trHeight w:val="19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(benefit) for income taxes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(2,455)</w:t>
            </w: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Fair value of intangible assets acquired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 thousands)</w:t>
            </w:r>
          </w:p>
        </w:tc>
        <w:tc>
          <w:tcPr>
            <w:tcW w:w="2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Useful Life (in years)</w:t>
            </w:r>
          </w:p>
        </w:tc>
        <w:tc>
          <w:tcPr>
            <w:tcW w:w="5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8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Trademark</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31,000</w:t>
            </w:r>
          </w:p>
        </w:tc>
      </w:tr>
      <w:tr>
        <w:trPr>
          <w:trHeight w:val="171"/>
        </w:trPr>
        <w:tc>
          <w:tcPr>
            <w:tcW w:w="7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Developed technology</w:t>
            </w:r>
          </w:p>
        </w:tc>
        <w:tc>
          <w:tcPr>
            <w:tcW w:w="2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500" w:type="dxa"/>
            <w:vAlign w:val="bottom"/>
          </w:tcPr>
          <w:p>
            <w:pPr>
              <w:spacing w:after="0"/>
              <w:rPr>
                <w:sz w:val="14"/>
                <w:szCs w:val="14"/>
                <w:color w:val="auto"/>
              </w:rPr>
            </w:pPr>
          </w:p>
        </w:tc>
        <w:tc>
          <w:tcPr>
            <w:tcW w:w="1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61,000</w:t>
            </w:r>
          </w:p>
        </w:tc>
      </w:tr>
      <w:tr>
        <w:trPr>
          <w:trHeight w:val="18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Customer relationships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50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14,200</w:t>
            </w:r>
          </w:p>
        </w:tc>
      </w:tr>
      <w:tr>
        <w:trPr>
          <w:trHeight w:val="161"/>
        </w:trPr>
        <w:tc>
          <w:tcPr>
            <w:tcW w:w="7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106,200</w:t>
            </w:r>
          </w:p>
        </w:tc>
      </w:tr>
    </w:tbl>
    <w:p>
      <w:pPr>
        <w:spacing w:after="0" w:line="79" w:lineRule="exact"/>
        <w:rPr>
          <w:sz w:val="20"/>
          <w:szCs w:val="20"/>
          <w:color w:val="auto"/>
        </w:rPr>
      </w:pPr>
    </w:p>
    <w:p>
      <w:pPr>
        <w:ind w:left="520" w:right="100" w:hanging="260"/>
        <w:spacing w:after="0" w:line="270" w:lineRule="auto"/>
        <w:tabs>
          <w:tab w:leader="none" w:pos="5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 to record interest expense and issuance costs amortization assumes the loans were obtained on January 1, 2024. The interest rate for this pro forma adjustment is 7.07% for the Senior Term Loan and 7.07% for Revolving Credit Facility. An increase or decrease in the interest rate on loans of one-eighth of one percent would result in a change in interest expense of approximately $0.4 million for the year ended December 31,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 thousands)</w:t>
            </w:r>
          </w:p>
        </w:tc>
        <w:tc>
          <w:tcPr>
            <w:tcW w:w="24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Period from January 1, 2024 to July 22, 2024</w:t>
            </w:r>
          </w:p>
        </w:tc>
      </w:tr>
      <w:tr>
        <w:trPr>
          <w:trHeight w:val="18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(11,229)</w:t>
            </w:r>
          </w:p>
        </w:tc>
      </w:tr>
      <w:tr>
        <w:trPr>
          <w:trHeight w:val="161"/>
        </w:trPr>
        <w:tc>
          <w:tcPr>
            <w:tcW w:w="8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deferred issuance cost</w:t>
            </w:r>
          </w:p>
        </w:tc>
        <w:tc>
          <w:tcPr>
            <w:tcW w:w="2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w:t>
            </w:r>
          </w:p>
        </w:tc>
      </w:tr>
    </w:tbl>
    <w:p>
      <w:pPr>
        <w:spacing w:after="0" w:line="110" w:lineRule="exact"/>
        <w:rPr>
          <w:sz w:val="20"/>
          <w:szCs w:val="20"/>
          <w:color w:val="auto"/>
        </w:rPr>
      </w:pPr>
    </w:p>
    <w:p>
      <w:pPr>
        <w:ind w:left="500" w:hanging="240"/>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income tax impact of the Debt Financing Transaction Adjustments, using the statutory tax rate.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4" w:lineRule="exact"/>
        <w:rPr>
          <w:rFonts w:ascii="Times New Roman" w:cs="Times New Roman" w:eastAsia="Times New Roman" w:hAnsi="Times New Roman"/>
          <w:sz w:val="14"/>
          <w:szCs w:val="14"/>
          <w:color w:val="auto"/>
        </w:rPr>
      </w:pPr>
    </w:p>
    <w:p>
      <w:pPr>
        <w:ind w:left="5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7</w:t>
      </w:r>
    </w:p>
    <w:sectPr>
      <w:pgSz w:w="11900" w:h="16838" w:orient="portrait"/>
      <w:cols w:equalWidth="0" w:num="1">
        <w:col w:w="11280"/>
      </w:cols>
      <w:pgMar w:left="300" w:top="11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upperLetter"/>
      <w:start w:val="2"/>
    </w:lvl>
  </w:abstractNum>
  <w:abstractNum w:abstractNumId="8">
    <w:nsid w:val="5BD062C2"/>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2025-03-31T05:33:28Z</dcterms:created>
  <dcterms:modified xsi:type="dcterms:W3CDTF">2025-03-31T05:33:28Z</dcterms:modified>
</cp:coreProperties>
</file>