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4" w:lineRule="exact"/>
        <w:rPr>
          <w:sz w:val="24"/>
          <w:szCs w:val="24"/>
          <w:color w:val="auto"/>
        </w:rPr>
      </w:pPr>
    </w:p>
    <w:p>
      <w:pPr>
        <w:ind w:left="4420"/>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27" w:lineRule="exact"/>
        <w:rPr>
          <w:sz w:val="24"/>
          <w:szCs w:val="24"/>
          <w:color w:val="auto"/>
        </w:rPr>
      </w:pPr>
    </w:p>
    <w:p>
      <w:pPr>
        <w:ind w:left="5460"/>
        <w:spacing w:after="0"/>
        <w:rPr>
          <w:sz w:val="20"/>
          <w:szCs w:val="20"/>
          <w:color w:val="auto"/>
        </w:rPr>
      </w:pPr>
      <w:r>
        <w:rPr>
          <w:rFonts w:ascii="Times New Roman" w:cs="Times New Roman" w:eastAsia="Times New Roman" w:hAnsi="Times New Roman"/>
          <w:sz w:val="32"/>
          <w:szCs w:val="32"/>
          <w:b w:val="1"/>
          <w:bCs w:val="1"/>
          <w:color w:val="auto"/>
        </w:rPr>
        <w:t> </w:t>
      </w:r>
    </w:p>
    <w:p>
      <w:pPr>
        <w:spacing w:after="0" w:line="1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Proxy Statement Pursuant to Section 14(a) of</w:t>
      </w:r>
    </w:p>
    <w:p>
      <w:pPr>
        <w:spacing w:after="0" w:line="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the Securities Exchange Act of 1934</w:t>
      </w: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9"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50"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131" w:lineRule="exact"/>
        <w:rPr>
          <w:sz w:val="24"/>
          <w:szCs w:val="24"/>
          <w:color w:val="auto"/>
        </w:rPr>
      </w:pPr>
    </w:p>
    <w:p>
      <w:pPr>
        <w:ind w:left="580" w:hanging="550"/>
        <w:spacing w:after="0"/>
        <w:tabs>
          <w:tab w:leader="none" w:pos="58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26" w:lineRule="exact"/>
        <w:rPr>
          <w:rFonts w:ascii="MS PGothic" w:cs="MS PGothic" w:eastAsia="MS PGothic" w:hAnsi="MS PGothic"/>
          <w:sz w:val="18"/>
          <w:szCs w:val="18"/>
          <w:color w:val="auto"/>
        </w:rPr>
      </w:pPr>
    </w:p>
    <w:p>
      <w:pPr>
        <w:ind w:left="580" w:hanging="550"/>
        <w:spacing w:after="0"/>
        <w:tabs>
          <w:tab w:leader="none" w:pos="58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67" w:lineRule="exact"/>
        <w:rPr>
          <w:rFonts w:ascii="MS PGothic" w:cs="MS PGothic" w:eastAsia="MS PGothic" w:hAnsi="MS PGothic"/>
          <w:sz w:val="18"/>
          <w:szCs w:val="18"/>
          <w:color w:val="auto"/>
        </w:rPr>
      </w:pPr>
    </w:p>
    <w:p>
      <w:pPr>
        <w:ind w:left="580" w:hanging="554"/>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130" w:lineRule="exact"/>
        <w:rPr>
          <w:rFonts w:ascii="MS PGothic" w:cs="MS PGothic" w:eastAsia="MS PGothic" w:hAnsi="MS PGothic"/>
          <w:sz w:val="18"/>
          <w:szCs w:val="18"/>
          <w:color w:val="auto"/>
        </w:rPr>
      </w:pPr>
    </w:p>
    <w:p>
      <w:pPr>
        <w:ind w:left="580" w:hanging="550"/>
        <w:spacing w:after="0"/>
        <w:tabs>
          <w:tab w:leader="none" w:pos="58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130" w:lineRule="exact"/>
        <w:rPr>
          <w:rFonts w:ascii="MS PGothic" w:cs="MS PGothic" w:eastAsia="MS PGothic" w:hAnsi="MS PGothic"/>
          <w:sz w:val="18"/>
          <w:szCs w:val="18"/>
          <w:color w:val="auto"/>
        </w:rPr>
      </w:pPr>
    </w:p>
    <w:p>
      <w:pPr>
        <w:ind w:left="580" w:hanging="550"/>
        <w:spacing w:after="0"/>
        <w:tabs>
          <w:tab w:leader="none" w:pos="58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200" w:lineRule="exact"/>
        <w:rPr>
          <w:sz w:val="24"/>
          <w:szCs w:val="24"/>
          <w:color w:val="auto"/>
        </w:rPr>
      </w:pPr>
    </w:p>
    <w:p>
      <w:pPr>
        <w:spacing w:after="0" w:line="27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40"/>
          <w:szCs w:val="40"/>
          <w:b w:val="1"/>
          <w:bCs w:val="1"/>
          <w:color w:val="auto"/>
        </w:rPr>
        <w:t>SHUTTERSTOCK,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50800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68"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86" w:lineRule="exact"/>
        <w:rPr>
          <w:sz w:val="24"/>
          <w:szCs w:val="24"/>
          <w:color w:val="auto"/>
        </w:rPr>
      </w:pPr>
    </w:p>
    <w:p>
      <w:pPr>
        <w:ind w:left="3020"/>
        <w:spacing w:after="0"/>
        <w:rPr>
          <w:sz w:val="20"/>
          <w:szCs w:val="20"/>
          <w:color w:val="auto"/>
        </w:rPr>
      </w:pPr>
      <w:r>
        <w:rPr>
          <w:rFonts w:ascii="Times New Roman" w:cs="Times New Roman" w:eastAsia="Times New Roman" w:hAnsi="Times New Roman"/>
          <w:sz w:val="18"/>
          <w:szCs w:val="18"/>
          <w:color w:val="auto"/>
        </w:rPr>
        <w:t>(Name of Person(s) Filing Proxy Statement, if other than the Registrant)</w:t>
      </w:r>
    </w:p>
    <w:p>
      <w:pPr>
        <w:spacing w:after="0" w:line="34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63" w:lineRule="exact"/>
        <w:rPr>
          <w:sz w:val="24"/>
          <w:szCs w:val="24"/>
          <w:color w:val="auto"/>
        </w:rPr>
      </w:pPr>
    </w:p>
    <w:p>
      <w:pPr>
        <w:ind w:left="580" w:hanging="554"/>
        <w:spacing w:after="0"/>
        <w:tabs>
          <w:tab w:leader="none" w:pos="5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41" w:lineRule="exact"/>
        <w:rPr>
          <w:rFonts w:ascii="MS PGothic" w:cs="MS PGothic" w:eastAsia="MS PGothic" w:hAnsi="MS PGothic"/>
          <w:sz w:val="18"/>
          <w:szCs w:val="18"/>
          <w:color w:val="auto"/>
        </w:rPr>
      </w:pPr>
    </w:p>
    <w:p>
      <w:pPr>
        <w:ind w:left="580" w:hanging="550"/>
        <w:spacing w:after="0" w:line="180" w:lineRule="auto"/>
        <w:tabs>
          <w:tab w:leader="none" w:pos="580" w:val="left"/>
        </w:tabs>
        <w:numPr>
          <w:ilvl w:val="1"/>
          <w:numId w:val="2"/>
        </w:numPr>
        <w:rPr>
          <w:rFonts w:ascii="MS PGothic" w:cs="MS PGothic" w:eastAsia="MS PGothic" w:hAnsi="MS PGothic"/>
          <w:sz w:val="34"/>
          <w:szCs w:val="34"/>
          <w:color w:val="auto"/>
          <w:vertAlign w:val="subscript"/>
        </w:rPr>
      </w:pPr>
      <w:r>
        <w:rPr>
          <w:rFonts w:ascii="Times New Roman" w:cs="Times New Roman" w:eastAsia="Times New Roman" w:hAnsi="Times New Roman"/>
          <w:sz w:val="17"/>
          <w:szCs w:val="17"/>
          <w:color w:val="auto"/>
        </w:rPr>
        <w:t>Fee paid previously with preliminary materials.</w:t>
      </w:r>
    </w:p>
    <w:p>
      <w:pPr>
        <w:spacing w:after="0" w:line="95" w:lineRule="exact"/>
        <w:rPr>
          <w:rFonts w:ascii="MS PGothic" w:cs="MS PGothic" w:eastAsia="MS PGothic" w:hAnsi="MS PGothic"/>
          <w:sz w:val="34"/>
          <w:szCs w:val="34"/>
          <w:color w:val="auto"/>
          <w:vertAlign w:val="subscript"/>
        </w:rPr>
      </w:pPr>
    </w:p>
    <w:p>
      <w:pPr>
        <w:ind w:left="580" w:hanging="550"/>
        <w:spacing w:after="0" w:line="181" w:lineRule="auto"/>
        <w:tabs>
          <w:tab w:leader="none" w:pos="580" w:val="left"/>
        </w:tabs>
        <w:numPr>
          <w:ilvl w:val="1"/>
          <w:numId w:val="2"/>
        </w:numPr>
        <w:rPr>
          <w:rFonts w:ascii="MS PGothic" w:cs="MS PGothic" w:eastAsia="MS PGothic" w:hAnsi="MS PGothic"/>
          <w:sz w:val="32"/>
          <w:szCs w:val="32"/>
          <w:color w:val="auto"/>
          <w:vertAlign w:val="subscript"/>
        </w:rPr>
      </w:pPr>
      <w:r>
        <w:rPr>
          <w:rFonts w:ascii="Times New Roman" w:cs="Times New Roman" w:eastAsia="Times New Roman" w:hAnsi="Times New Roman"/>
          <w:sz w:val="16"/>
          <w:szCs w:val="16"/>
          <w:color w:val="auto"/>
        </w:rPr>
        <w:t>Fee computed on table in exhibit required by Item 25(b) per Exchange Act Rules 14a-6(i)(1) and 0-11.</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2" w:lineRule="exact"/>
        <w:rPr>
          <w:sz w:val="24"/>
          <w:szCs w:val="24"/>
          <w:color w:val="auto"/>
        </w:rPr>
      </w:pPr>
    </w:p>
    <w:p>
      <w:pPr>
        <w:ind w:left="5580"/>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139"/>
          </w:cols>
          <w:pgMar w:left="320" w:top="1110" w:right="1440" w:bottom="1440" w:gutter="0" w:footer="0" w:header="0"/>
        </w:sectPr>
      </w:pPr>
    </w:p>
    <w:bookmarkStart w:id="1" w:name="page2"/>
    <w:bookmarkEnd w:id="1"/>
    <w:p>
      <w:pPr>
        <w:spacing w:after="0" w:line="28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2753995</wp:posOffset>
            </wp:positionH>
            <wp:positionV relativeFrom="page">
              <wp:posOffset>723265</wp:posOffset>
            </wp:positionV>
            <wp:extent cx="2040255" cy="3257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2040255" cy="3257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color w:val="auto"/>
        </w:rPr>
        <w:t> </w:t>
      </w:r>
      <w:r>
        <w:rPr>
          <w:rFonts w:ascii="Arial" w:cs="Arial" w:eastAsia="Arial" w:hAnsi="Arial"/>
          <w:sz w:val="18"/>
          <w:szCs w:val="18"/>
          <w:b w:val="1"/>
          <w:bCs w:val="1"/>
          <w:color w:val="auto"/>
        </w:rPr>
        <w:t>Shutterstock,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350 Fifth Avenue, 20th Floor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New York, New York 10118</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November 20, 2025</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w:t>
      </w:r>
    </w:p>
    <w:p>
      <w:pPr>
        <w:spacing w:after="0" w:line="117" w:lineRule="exact"/>
        <w:rPr>
          <w:sz w:val="20"/>
          <w:szCs w:val="20"/>
          <w:color w:val="auto"/>
        </w:rPr>
      </w:pPr>
    </w:p>
    <w:p>
      <w:pPr>
        <w:jc w:val="both"/>
        <w:ind w:right="40" w:firstLine="324"/>
        <w:spacing w:after="0" w:line="268" w:lineRule="auto"/>
        <w:rPr>
          <w:sz w:val="20"/>
          <w:szCs w:val="20"/>
          <w:color w:val="auto"/>
        </w:rPr>
      </w:pPr>
      <w:r>
        <w:rPr>
          <w:rFonts w:ascii="Arial" w:cs="Arial" w:eastAsia="Arial" w:hAnsi="Arial"/>
          <w:sz w:val="18"/>
          <w:szCs w:val="18"/>
          <w:color w:val="auto"/>
        </w:rPr>
        <w:t>On behalf of the Board of Directors and our senior management team, we are pleased to invite you to attend our 2025 Annual Meeting of Stockholders (the “</w:t>
      </w:r>
      <w:r>
        <w:rPr>
          <w:rFonts w:ascii="Arial" w:cs="Arial" w:eastAsia="Arial" w:hAnsi="Arial"/>
          <w:sz w:val="18"/>
          <w:szCs w:val="18"/>
          <w:u w:val="single" w:color="auto"/>
          <w:color w:val="auto"/>
        </w:rPr>
        <w:t>2025 Annual Meeting</w:t>
      </w:r>
      <w:r>
        <w:rPr>
          <w:rFonts w:ascii="Arial" w:cs="Arial" w:eastAsia="Arial" w:hAnsi="Arial"/>
          <w:sz w:val="18"/>
          <w:szCs w:val="18"/>
          <w:color w:val="auto"/>
        </w:rPr>
        <w:t>”) to be held on Monday, December 22, 2025 at 10:00 a.m. Eastern Time. The 2025 Annual Meeting will be a virtual stockholder meeting, conducted via live webcast.</w:t>
      </w:r>
    </w:p>
    <w:p>
      <w:pPr>
        <w:spacing w:after="0" w:line="63" w:lineRule="exact"/>
        <w:rPr>
          <w:sz w:val="20"/>
          <w:szCs w:val="20"/>
          <w:color w:val="auto"/>
        </w:rPr>
      </w:pPr>
    </w:p>
    <w:p>
      <w:pPr>
        <w:ind w:right="560" w:firstLine="324"/>
        <w:spacing w:after="0" w:line="262" w:lineRule="auto"/>
        <w:rPr>
          <w:sz w:val="20"/>
          <w:szCs w:val="20"/>
          <w:color w:val="auto"/>
        </w:rPr>
      </w:pPr>
      <w:r>
        <w:rPr>
          <w:rFonts w:ascii="Arial" w:cs="Arial" w:eastAsia="Arial" w:hAnsi="Arial"/>
          <w:sz w:val="18"/>
          <w:szCs w:val="18"/>
          <w:color w:val="auto"/>
        </w:rPr>
        <w:t>You will be able to attend the 2025 Annual Meeting online and submit your questions during the meeting via live webcast at www.virtualshareholdermeeting.com/SSTK2025. In order to attend the 2025 Annual Meeting as a stockholder, a control number will be required. For registered stockholders, the control number can be found on your proxy card. You will also be able to vote your shares electronically at the 2025 Annual Meeting. Please note that you will not be able to attend the 2025 Annual Meeting in person.</w:t>
      </w:r>
    </w:p>
    <w:p>
      <w:pPr>
        <w:spacing w:after="0" w:line="68" w:lineRule="exact"/>
        <w:rPr>
          <w:sz w:val="20"/>
          <w:szCs w:val="20"/>
          <w:color w:val="auto"/>
        </w:rPr>
      </w:pPr>
    </w:p>
    <w:p>
      <w:pPr>
        <w:ind w:right="240" w:firstLine="324"/>
        <w:spacing w:after="0" w:line="268" w:lineRule="auto"/>
        <w:rPr>
          <w:sz w:val="20"/>
          <w:szCs w:val="20"/>
          <w:color w:val="auto"/>
        </w:rPr>
      </w:pPr>
      <w:r>
        <w:rPr>
          <w:rFonts w:ascii="Arial" w:cs="Arial" w:eastAsia="Arial" w:hAnsi="Arial"/>
          <w:sz w:val="18"/>
          <w:szCs w:val="18"/>
          <w:color w:val="auto"/>
        </w:rPr>
        <w:t>On or about November 20, 2025, we mailed to our stockholders a copy of this proxy statement (the “</w:t>
      </w:r>
      <w:r>
        <w:rPr>
          <w:rFonts w:ascii="Arial" w:cs="Arial" w:eastAsia="Arial" w:hAnsi="Arial"/>
          <w:sz w:val="18"/>
          <w:szCs w:val="18"/>
          <w:u w:val="single" w:color="auto"/>
          <w:color w:val="auto"/>
        </w:rPr>
        <w:t>Proxy Statement</w:t>
      </w:r>
      <w:r>
        <w:rPr>
          <w:rFonts w:ascii="Arial" w:cs="Arial" w:eastAsia="Arial" w:hAnsi="Arial"/>
          <w:sz w:val="18"/>
          <w:szCs w:val="18"/>
          <w:color w:val="auto"/>
        </w:rPr>
        <w:t>”), the proxy card and our 2024 Annual Report to Stockholders (the “</w:t>
      </w:r>
      <w:r>
        <w:rPr>
          <w:rFonts w:ascii="Arial" w:cs="Arial" w:eastAsia="Arial" w:hAnsi="Arial"/>
          <w:sz w:val="18"/>
          <w:szCs w:val="18"/>
          <w:u w:val="single" w:color="auto"/>
          <w:color w:val="auto"/>
        </w:rPr>
        <w:t>2024 Annual Report</w:t>
      </w:r>
      <w:r>
        <w:rPr>
          <w:rFonts w:ascii="Arial" w:cs="Arial" w:eastAsia="Arial" w:hAnsi="Arial"/>
          <w:sz w:val="18"/>
          <w:szCs w:val="18"/>
          <w:color w:val="auto"/>
        </w:rPr>
        <w:t>”) (together, the “</w:t>
      </w:r>
      <w:r>
        <w:rPr>
          <w:rFonts w:ascii="Arial" w:cs="Arial" w:eastAsia="Arial" w:hAnsi="Arial"/>
          <w:sz w:val="18"/>
          <w:szCs w:val="18"/>
          <w:u w:val="single" w:color="auto"/>
          <w:color w:val="auto"/>
        </w:rPr>
        <w:t>Proxy Materials</w:t>
      </w:r>
      <w:r>
        <w:rPr>
          <w:rFonts w:ascii="Arial" w:cs="Arial" w:eastAsia="Arial" w:hAnsi="Arial"/>
          <w:sz w:val="18"/>
          <w:szCs w:val="18"/>
          <w:color w:val="auto"/>
        </w:rPr>
        <w:t>”). We encourage you to read our 2024 Annual Report, as it includes our audited financial statements and provides important information about our business.</w:t>
      </w:r>
    </w:p>
    <w:p>
      <w:pPr>
        <w:spacing w:after="0" w:line="6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Details regarding the business to be conducted at the 2025 Annual Meeting are described in this Proxy Statement.</w:t>
      </w:r>
    </w:p>
    <w:p>
      <w:pPr>
        <w:spacing w:after="0" w:line="117"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Your vote is important. Whether or not you plan to attend the 2025 Annual Meeting via live webcast, we hope you will vote as soon as possible. You may vote over the Internet, as well as by telephone, or by mailing a proxy or voting instruction form. Please review the instructions on each of your voting options described in this Proxy Statement or the accompanying proxy card you received in the mail. Voting over the Internet or by telephone, written proxy or voting instruction card will ensure your representation at the 2025 Annual Meeting regardless of whether you attend the 2025 Annual Meeting.</w:t>
      </w:r>
    </w:p>
    <w:p>
      <w:pPr>
        <w:spacing w:after="0" w:line="71"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As previously disclosed, on January 6, 2025, the Company entered into an Agreement and Plan of Merger (the “</w:t>
      </w:r>
      <w:r>
        <w:rPr>
          <w:rFonts w:ascii="Arial" w:cs="Arial" w:eastAsia="Arial" w:hAnsi="Arial"/>
          <w:sz w:val="18"/>
          <w:szCs w:val="18"/>
          <w:u w:val="single" w:color="auto"/>
          <w:color w:val="auto"/>
        </w:rPr>
        <w:t>Merger Agreement</w:t>
      </w:r>
      <w:r>
        <w:rPr>
          <w:rFonts w:ascii="Arial" w:cs="Arial" w:eastAsia="Arial" w:hAnsi="Arial"/>
          <w:sz w:val="18"/>
          <w:szCs w:val="18"/>
          <w:color w:val="auto"/>
        </w:rPr>
        <w:t>”) to combine in a merger-of-equals transaction with Getty Images Holdings, Inc. (NYSE:GETY) (“</w:t>
      </w:r>
      <w:r>
        <w:rPr>
          <w:rFonts w:ascii="Arial" w:cs="Arial" w:eastAsia="Arial" w:hAnsi="Arial"/>
          <w:sz w:val="18"/>
          <w:szCs w:val="18"/>
          <w:u w:val="single" w:color="auto"/>
          <w:color w:val="auto"/>
        </w:rPr>
        <w:t>Getty Images</w:t>
      </w:r>
      <w:r>
        <w:rPr>
          <w:rFonts w:ascii="Arial" w:cs="Arial" w:eastAsia="Arial" w:hAnsi="Arial"/>
          <w:sz w:val="18"/>
          <w:szCs w:val="18"/>
          <w:color w:val="auto"/>
        </w:rPr>
        <w:t>”) (such transaction referred to herein as the “</w:t>
      </w:r>
      <w:r>
        <w:rPr>
          <w:rFonts w:ascii="Arial" w:cs="Arial" w:eastAsia="Arial" w:hAnsi="Arial"/>
          <w:sz w:val="18"/>
          <w:szCs w:val="18"/>
          <w:u w:val="single" w:color="auto"/>
          <w:color w:val="auto"/>
        </w:rPr>
        <w:t>Merger</w:t>
      </w:r>
      <w:r>
        <w:rPr>
          <w:rFonts w:ascii="Arial" w:cs="Arial" w:eastAsia="Arial" w:hAnsi="Arial"/>
          <w:sz w:val="18"/>
          <w:szCs w:val="18"/>
          <w:color w:val="auto"/>
        </w:rPr>
        <w:t>”). A majority of Shutterstock stockholders approved the adoption of the Merger Agreement at a special meeting of stockholders held on June 10, 2025. The Merger is subject to the satisfaction of customary closing conditions, including receipt of required regulatory approvals. Subject to the satisfaction of the closing conditions, upon closing of the Merger, Shutterstock’s common stock will be delisted from the New York Stock Exchange (the “</w:t>
      </w:r>
      <w:r>
        <w:rPr>
          <w:rFonts w:ascii="Arial" w:cs="Arial" w:eastAsia="Arial" w:hAnsi="Arial"/>
          <w:sz w:val="18"/>
          <w:szCs w:val="18"/>
          <w:u w:val="single" w:color="auto"/>
          <w:color w:val="auto"/>
        </w:rPr>
        <w:t>NYSE</w:t>
      </w:r>
      <w:r>
        <w:rPr>
          <w:rFonts w:ascii="Arial" w:cs="Arial" w:eastAsia="Arial" w:hAnsi="Arial"/>
          <w:sz w:val="18"/>
          <w:szCs w:val="18"/>
          <w:color w:val="auto"/>
        </w:rPr>
        <w:t>”) and deregistered under the Securities Exchange Act of 1934, as amended. For additional information related to the Merger, please refer to the definitive proxy statement filed by the Company and the definitive information statement and prospectus filed by Getty Images with the SEC on April 30, 2025 the (collectively, “</w:t>
      </w:r>
      <w:r>
        <w:rPr>
          <w:rFonts w:ascii="Arial" w:cs="Arial" w:eastAsia="Arial" w:hAnsi="Arial"/>
          <w:sz w:val="18"/>
          <w:szCs w:val="18"/>
          <w:u w:val="single" w:color="auto"/>
          <w:color w:val="auto"/>
        </w:rPr>
        <w:t>Information Statement and Proxy</w:t>
      </w:r>
      <w:r>
        <w:rPr>
          <w:rFonts w:ascii="Arial" w:cs="Arial" w:eastAsia="Arial" w:hAnsi="Arial"/>
          <w:sz w:val="18"/>
          <w:szCs w:val="18"/>
          <w:color w:val="auto"/>
        </w:rPr>
        <w:t xml:space="preserve"> </w:t>
      </w:r>
      <w:r>
        <w:rPr>
          <w:rFonts w:ascii="Arial" w:cs="Arial" w:eastAsia="Arial" w:hAnsi="Arial"/>
          <w:sz w:val="18"/>
          <w:szCs w:val="18"/>
          <w:u w:val="single" w:color="auto"/>
          <w:color w:val="auto"/>
        </w:rPr>
        <w:t>Statement/Prospectus</w:t>
      </w:r>
      <w:r>
        <w:rPr>
          <w:rFonts w:ascii="Arial" w:cs="Arial" w:eastAsia="Arial" w:hAnsi="Arial"/>
          <w:sz w:val="18"/>
          <w:szCs w:val="18"/>
          <w:color w:val="auto"/>
        </w:rPr>
        <w:t>”) and our other filings with the SEC.</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Thank you for your ongoing support of, and continued interest in, Shutterstock.</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1697355" cy="9004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97355" cy="900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Arial" w:cs="Arial" w:eastAsia="Arial" w:hAnsi="Arial"/>
          <w:sz w:val="18"/>
          <w:szCs w:val="18"/>
          <w:color w:val="auto"/>
        </w:rPr>
        <w:t>Paul J. Hennessy</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Executive Officer</w:t>
      </w:r>
    </w:p>
    <w:p>
      <w:pPr>
        <w:sectPr>
          <w:pgSz w:w="11900" w:h="16838" w:orient="portrait"/>
          <w:cols w:equalWidth="0" w:num="1">
            <w:col w:w="11240"/>
          </w:cols>
          <w:pgMar w:left="320" w:top="1440" w:right="339" w:bottom="1440" w:gutter="0" w:footer="0" w:header="0"/>
        </w:sectPr>
      </w:pPr>
    </w:p>
    <w:bookmarkStart w:id="2" w:name="page3"/>
    <w:bookmarkEnd w:id="2"/>
    <w:p>
      <w:pPr>
        <w:jc w:val="center"/>
        <w:ind w:right="-319"/>
        <w:spacing w:after="0"/>
        <w:rPr>
          <w:sz w:val="20"/>
          <w:szCs w:val="20"/>
          <w:color w:val="auto"/>
        </w:rPr>
      </w:pPr>
      <w:r>
        <w:rPr>
          <w:rFonts w:ascii="Arial" w:cs="Arial" w:eastAsia="Arial" w:hAnsi="Arial"/>
          <w:sz w:val="29"/>
          <w:szCs w:val="29"/>
          <w:b w:val="1"/>
          <w:bCs w:val="1"/>
          <w:color w:val="EF3A35"/>
        </w:rPr>
        <w:t>SHUTTERSTOCK, INC.</w:t>
      </w:r>
    </w:p>
    <w:p>
      <w:pPr>
        <w:spacing w:after="0" w:line="48" w:lineRule="exact"/>
        <w:rPr>
          <w:sz w:val="20"/>
          <w:szCs w:val="20"/>
          <w:color w:val="auto"/>
        </w:rPr>
      </w:pPr>
    </w:p>
    <w:p>
      <w:pPr>
        <w:jc w:val="center"/>
        <w:ind w:right="-119"/>
        <w:spacing w:after="0"/>
        <w:rPr>
          <w:sz w:val="20"/>
          <w:szCs w:val="20"/>
          <w:color w:val="auto"/>
        </w:rPr>
      </w:pPr>
      <w:r>
        <w:rPr>
          <w:rFonts w:ascii="Arial" w:cs="Arial" w:eastAsia="Arial" w:hAnsi="Arial"/>
          <w:sz w:val="29"/>
          <w:szCs w:val="29"/>
          <w:b w:val="1"/>
          <w:bCs w:val="1"/>
          <w:color w:val="EF3A35"/>
        </w:rPr>
        <w:t> </w:t>
      </w:r>
    </w:p>
    <w:p>
      <w:pPr>
        <w:spacing w:after="0" w:line="4" w:lineRule="exact"/>
        <w:rPr>
          <w:sz w:val="20"/>
          <w:szCs w:val="20"/>
          <w:color w:val="auto"/>
        </w:rPr>
      </w:pPr>
    </w:p>
    <w:p>
      <w:pPr>
        <w:jc w:val="center"/>
        <w:ind w:right="-319"/>
        <w:spacing w:after="0"/>
        <w:rPr>
          <w:sz w:val="20"/>
          <w:szCs w:val="20"/>
          <w:color w:val="auto"/>
        </w:rPr>
      </w:pPr>
      <w:r>
        <w:rPr>
          <w:rFonts w:ascii="Arial" w:cs="Arial" w:eastAsia="Arial" w:hAnsi="Arial"/>
          <w:sz w:val="29"/>
          <w:szCs w:val="29"/>
          <w:b w:val="1"/>
          <w:bCs w:val="1"/>
          <w:color w:val="EF3A35"/>
        </w:rPr>
        <w:t>NOTICE OF 2025 ANNUAL MEETING OF STOCKHOLDERS</w:t>
      </w:r>
    </w:p>
    <w:p>
      <w:pPr>
        <w:spacing w:after="0" w:line="57" w:lineRule="exact"/>
        <w:rPr>
          <w:sz w:val="20"/>
          <w:szCs w:val="20"/>
          <w:color w:val="auto"/>
        </w:rPr>
      </w:pPr>
    </w:p>
    <w:tbl>
      <w:tblPr>
        <w:tblLayout w:type="fixed"/>
        <w:tblInd w:w="20" w:type="dxa"/>
        <w:tblCellMar>
          <w:top w:w="0" w:type="dxa"/>
          <w:left w:w="0" w:type="dxa"/>
          <w:bottom w:w="0" w:type="dxa"/>
          <w:right w:w="0" w:type="dxa"/>
        </w:tblCellMar>
      </w:tblPr>
      <w:tr>
        <w:trPr>
          <w:trHeight w:val="247"/>
        </w:trPr>
        <w:tc>
          <w:tcPr>
            <w:tcW w:w="2020" w:type="dxa"/>
            <w:vAlign w:val="bottom"/>
          </w:tcPr>
          <w:p>
            <w:pPr>
              <w:spacing w:after="0"/>
              <w:rPr>
                <w:sz w:val="20"/>
                <w:szCs w:val="20"/>
                <w:color w:val="auto"/>
              </w:rPr>
            </w:pPr>
            <w:r>
              <w:rPr>
                <w:rFonts w:ascii="Arial" w:cs="Arial" w:eastAsia="Arial" w:hAnsi="Arial"/>
                <w:sz w:val="18"/>
                <w:szCs w:val="18"/>
                <w:b w:val="1"/>
                <w:bCs w:val="1"/>
                <w:color w:val="auto"/>
              </w:rPr>
              <w:t>Time and Date:</w:t>
            </w:r>
          </w:p>
        </w:tc>
        <w:tc>
          <w:tcPr>
            <w:tcW w:w="8880" w:type="dxa"/>
            <w:vAlign w:val="bottom"/>
            <w:gridSpan w:val="9"/>
          </w:tcPr>
          <w:p>
            <w:pPr>
              <w:spacing w:after="0"/>
              <w:rPr>
                <w:sz w:val="20"/>
                <w:szCs w:val="20"/>
                <w:color w:val="auto"/>
              </w:rPr>
            </w:pPr>
            <w:r>
              <w:rPr>
                <w:rFonts w:ascii="Arial" w:cs="Arial" w:eastAsia="Arial" w:hAnsi="Arial"/>
                <w:sz w:val="18"/>
                <w:szCs w:val="18"/>
                <w:color w:val="auto"/>
              </w:rPr>
              <w:t>10:00 a.m. Eastern Time, on Monday, December 22, 2025.</w:t>
            </w:r>
          </w:p>
        </w:tc>
        <w:tc>
          <w:tcPr>
            <w:tcW w:w="0" w:type="dxa"/>
            <w:vAlign w:val="bottom"/>
          </w:tcPr>
          <w:p>
            <w:pPr>
              <w:spacing w:after="0"/>
              <w:rPr>
                <w:sz w:val="1"/>
                <w:szCs w:val="1"/>
                <w:color w:val="auto"/>
              </w:rPr>
            </w:pPr>
          </w:p>
        </w:tc>
      </w:tr>
      <w:tr>
        <w:trPr>
          <w:trHeight w:val="239"/>
        </w:trPr>
        <w:tc>
          <w:tcPr>
            <w:tcW w:w="2020" w:type="dxa"/>
            <w:vAlign w:val="bottom"/>
          </w:tcPr>
          <w:p>
            <w:pPr>
              <w:spacing w:after="0"/>
              <w:rPr>
                <w:sz w:val="20"/>
                <w:szCs w:val="20"/>
                <w:color w:val="auto"/>
              </w:rPr>
            </w:pPr>
            <w:r>
              <w:rPr>
                <w:rFonts w:ascii="Arial" w:cs="Arial" w:eastAsia="Arial" w:hAnsi="Arial"/>
                <w:sz w:val="18"/>
                <w:szCs w:val="18"/>
                <w:b w:val="1"/>
                <w:bCs w:val="1"/>
                <w:color w:val="auto"/>
              </w:rPr>
              <w:t>Place:</w:t>
            </w:r>
          </w:p>
        </w:tc>
        <w:tc>
          <w:tcPr>
            <w:tcW w:w="8880" w:type="dxa"/>
            <w:vAlign w:val="bottom"/>
            <w:gridSpan w:val="9"/>
          </w:tcPr>
          <w:p>
            <w:pPr>
              <w:spacing w:after="0"/>
              <w:rPr>
                <w:sz w:val="20"/>
                <w:szCs w:val="20"/>
                <w:color w:val="auto"/>
              </w:rPr>
            </w:pPr>
            <w:r>
              <w:rPr>
                <w:rFonts w:ascii="Arial" w:cs="Arial" w:eastAsia="Arial" w:hAnsi="Arial"/>
                <w:sz w:val="18"/>
                <w:szCs w:val="18"/>
                <w:b w:val="1"/>
                <w:bCs w:val="1"/>
                <w:color w:val="auto"/>
              </w:rPr>
              <w:t>Via live webcast at:</w:t>
            </w:r>
          </w:p>
        </w:tc>
        <w:tc>
          <w:tcPr>
            <w:tcW w:w="0" w:type="dxa"/>
            <w:vAlign w:val="bottom"/>
          </w:tcPr>
          <w:p>
            <w:pPr>
              <w:spacing w:after="0"/>
              <w:rPr>
                <w:sz w:val="1"/>
                <w:szCs w:val="1"/>
                <w:color w:val="auto"/>
              </w:rPr>
            </w:pPr>
          </w:p>
        </w:tc>
      </w:tr>
      <w:tr>
        <w:trPr>
          <w:trHeight w:val="216"/>
        </w:trPr>
        <w:tc>
          <w:tcPr>
            <w:tcW w:w="2020" w:type="dxa"/>
            <w:vAlign w:val="bottom"/>
          </w:tcPr>
          <w:p>
            <w:pPr>
              <w:spacing w:after="0"/>
              <w:rPr>
                <w:sz w:val="18"/>
                <w:szCs w:val="18"/>
                <w:color w:val="auto"/>
              </w:rPr>
            </w:pPr>
          </w:p>
        </w:tc>
        <w:tc>
          <w:tcPr>
            <w:tcW w:w="8880" w:type="dxa"/>
            <w:vAlign w:val="bottom"/>
            <w:gridSpan w:val="9"/>
          </w:tcPr>
          <w:p>
            <w:pPr>
              <w:spacing w:after="0"/>
              <w:rPr>
                <w:sz w:val="20"/>
                <w:szCs w:val="20"/>
                <w:color w:val="auto"/>
              </w:rPr>
            </w:pPr>
            <w:r>
              <w:rPr>
                <w:rFonts w:ascii="Arial" w:cs="Arial" w:eastAsia="Arial" w:hAnsi="Arial"/>
                <w:sz w:val="18"/>
                <w:szCs w:val="18"/>
                <w:b w:val="1"/>
                <w:bCs w:val="1"/>
                <w:color w:val="auto"/>
              </w:rPr>
              <w:t>www.virtualshareholdermeeting.com/SSTK2025</w:t>
            </w:r>
          </w:p>
        </w:tc>
        <w:tc>
          <w:tcPr>
            <w:tcW w:w="0" w:type="dxa"/>
            <w:vAlign w:val="bottom"/>
          </w:tcPr>
          <w:p>
            <w:pPr>
              <w:spacing w:after="0"/>
              <w:rPr>
                <w:sz w:val="1"/>
                <w:szCs w:val="1"/>
                <w:color w:val="auto"/>
              </w:rPr>
            </w:pPr>
          </w:p>
        </w:tc>
      </w:tr>
      <w:tr>
        <w:trPr>
          <w:trHeight w:val="194"/>
        </w:trPr>
        <w:tc>
          <w:tcPr>
            <w:tcW w:w="2020" w:type="dxa"/>
            <w:vAlign w:val="bottom"/>
          </w:tcPr>
          <w:p>
            <w:pPr>
              <w:spacing w:after="0"/>
              <w:rPr>
                <w:sz w:val="16"/>
                <w:szCs w:val="16"/>
                <w:color w:val="auto"/>
              </w:rPr>
            </w:pPr>
          </w:p>
        </w:tc>
        <w:tc>
          <w:tcPr>
            <w:tcW w:w="8880" w:type="dxa"/>
            <w:vAlign w:val="bottom"/>
            <w:gridSpan w:val="9"/>
          </w:tcPr>
          <w:p>
            <w:pPr>
              <w:spacing w:after="0" w:line="195" w:lineRule="exact"/>
              <w:rPr>
                <w:sz w:val="20"/>
                <w:szCs w:val="20"/>
                <w:color w:val="auto"/>
              </w:rPr>
            </w:pPr>
            <w:r>
              <w:rPr>
                <w:rFonts w:ascii="Arial" w:cs="Arial" w:eastAsia="Arial" w:hAnsi="Arial"/>
                <w:sz w:val="18"/>
                <w:szCs w:val="18"/>
                <w:b w:val="1"/>
                <w:bCs w:val="1"/>
                <w:color w:val="auto"/>
              </w:rPr>
              <w:t>You will not be able to attend the 2025 Annual Meeting in person.</w:t>
            </w:r>
          </w:p>
        </w:tc>
        <w:tc>
          <w:tcPr>
            <w:tcW w:w="0" w:type="dxa"/>
            <w:vAlign w:val="bottom"/>
          </w:tcPr>
          <w:p>
            <w:pPr>
              <w:spacing w:after="0"/>
              <w:rPr>
                <w:sz w:val="1"/>
                <w:szCs w:val="1"/>
                <w:color w:val="auto"/>
              </w:rPr>
            </w:pPr>
          </w:p>
        </w:tc>
      </w:tr>
      <w:tr>
        <w:trPr>
          <w:trHeight w:val="20"/>
        </w:trPr>
        <w:tc>
          <w:tcPr>
            <w:tcW w:w="20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2020" w:type="dxa"/>
            <w:vAlign w:val="bottom"/>
          </w:tcPr>
          <w:p>
            <w:pPr>
              <w:spacing w:after="0"/>
              <w:rPr>
                <w:sz w:val="20"/>
                <w:szCs w:val="20"/>
                <w:color w:val="auto"/>
              </w:rPr>
            </w:pPr>
            <w:r>
              <w:rPr>
                <w:rFonts w:ascii="Arial" w:cs="Arial" w:eastAsia="Arial" w:hAnsi="Arial"/>
                <w:sz w:val="18"/>
                <w:szCs w:val="18"/>
                <w:b w:val="1"/>
                <w:bCs w:val="1"/>
                <w:color w:val="auto"/>
              </w:rPr>
              <w:t>Admission:</w:t>
            </w:r>
          </w:p>
        </w:tc>
        <w:tc>
          <w:tcPr>
            <w:tcW w:w="8880" w:type="dxa"/>
            <w:vAlign w:val="bottom"/>
            <w:gridSpan w:val="9"/>
          </w:tcPr>
          <w:p>
            <w:pPr>
              <w:spacing w:after="0"/>
              <w:rPr>
                <w:sz w:val="20"/>
                <w:szCs w:val="20"/>
                <w:color w:val="auto"/>
              </w:rPr>
            </w:pPr>
            <w:r>
              <w:rPr>
                <w:rFonts w:ascii="Arial" w:cs="Arial" w:eastAsia="Arial" w:hAnsi="Arial"/>
                <w:sz w:val="18"/>
                <w:szCs w:val="18"/>
                <w:color w:val="auto"/>
              </w:rPr>
              <w:t>To participate, vote or submit questions during the 2025 Annual Meeting, access via live webcast,</w:t>
            </w:r>
          </w:p>
        </w:tc>
        <w:tc>
          <w:tcPr>
            <w:tcW w:w="0" w:type="dxa"/>
            <w:vAlign w:val="bottom"/>
          </w:tcPr>
          <w:p>
            <w:pPr>
              <w:spacing w:after="0"/>
              <w:rPr>
                <w:sz w:val="1"/>
                <w:szCs w:val="1"/>
                <w:color w:val="auto"/>
              </w:rPr>
            </w:pPr>
          </w:p>
        </w:tc>
      </w:tr>
      <w:tr>
        <w:trPr>
          <w:trHeight w:val="216"/>
        </w:trPr>
        <w:tc>
          <w:tcPr>
            <w:tcW w:w="2020" w:type="dxa"/>
            <w:vAlign w:val="bottom"/>
          </w:tcPr>
          <w:p>
            <w:pPr>
              <w:spacing w:after="0"/>
              <w:rPr>
                <w:sz w:val="18"/>
                <w:szCs w:val="18"/>
                <w:color w:val="auto"/>
              </w:rPr>
            </w:pPr>
          </w:p>
        </w:tc>
        <w:tc>
          <w:tcPr>
            <w:tcW w:w="8880" w:type="dxa"/>
            <w:vAlign w:val="bottom"/>
            <w:gridSpan w:val="9"/>
          </w:tcPr>
          <w:p>
            <w:pPr>
              <w:spacing w:after="0"/>
              <w:rPr>
                <w:sz w:val="20"/>
                <w:szCs w:val="20"/>
                <w:color w:val="auto"/>
              </w:rPr>
            </w:pPr>
            <w:r>
              <w:rPr>
                <w:rFonts w:ascii="Arial" w:cs="Arial" w:eastAsia="Arial" w:hAnsi="Arial"/>
                <w:sz w:val="18"/>
                <w:szCs w:val="18"/>
                <w:color w:val="auto"/>
              </w:rPr>
              <w:t>www.virtualshareholdermeeting.com/SSTK2025. The 2025 Annual Meeting will begin promptly at 10:00 a.m.</w:t>
            </w:r>
          </w:p>
        </w:tc>
        <w:tc>
          <w:tcPr>
            <w:tcW w:w="0" w:type="dxa"/>
            <w:vAlign w:val="bottom"/>
          </w:tcPr>
          <w:p>
            <w:pPr>
              <w:spacing w:after="0"/>
              <w:rPr>
                <w:sz w:val="1"/>
                <w:szCs w:val="1"/>
                <w:color w:val="auto"/>
              </w:rPr>
            </w:pPr>
          </w:p>
        </w:tc>
      </w:tr>
      <w:tr>
        <w:trPr>
          <w:trHeight w:val="239"/>
        </w:trPr>
        <w:tc>
          <w:tcPr>
            <w:tcW w:w="2020" w:type="dxa"/>
            <w:vAlign w:val="bottom"/>
          </w:tcPr>
          <w:p>
            <w:pPr>
              <w:spacing w:after="0"/>
              <w:rPr>
                <w:sz w:val="20"/>
                <w:szCs w:val="20"/>
                <w:color w:val="auto"/>
              </w:rPr>
            </w:pPr>
          </w:p>
        </w:tc>
        <w:tc>
          <w:tcPr>
            <w:tcW w:w="8880" w:type="dxa"/>
            <w:vAlign w:val="bottom"/>
            <w:gridSpan w:val="9"/>
          </w:tcPr>
          <w:p>
            <w:pPr>
              <w:spacing w:after="0"/>
              <w:rPr>
                <w:sz w:val="20"/>
                <w:szCs w:val="20"/>
                <w:color w:val="auto"/>
              </w:rPr>
            </w:pPr>
            <w:r>
              <w:rPr>
                <w:rFonts w:ascii="Arial" w:cs="Arial" w:eastAsia="Arial" w:hAnsi="Arial"/>
                <w:sz w:val="18"/>
                <w:szCs w:val="18"/>
                <w:color w:val="auto"/>
              </w:rPr>
              <w:t>Eastern Time and will open for entry at 9:45 a.m. Eastern Time.</w:t>
            </w:r>
          </w:p>
        </w:tc>
        <w:tc>
          <w:tcPr>
            <w:tcW w:w="0" w:type="dxa"/>
            <w:vAlign w:val="bottom"/>
          </w:tcPr>
          <w:p>
            <w:pPr>
              <w:spacing w:after="0"/>
              <w:rPr>
                <w:sz w:val="1"/>
                <w:szCs w:val="1"/>
                <w:color w:val="auto"/>
              </w:rPr>
            </w:pPr>
          </w:p>
        </w:tc>
      </w:tr>
      <w:tr>
        <w:trPr>
          <w:trHeight w:val="247"/>
        </w:trPr>
        <w:tc>
          <w:tcPr>
            <w:tcW w:w="2020" w:type="dxa"/>
            <w:vAlign w:val="bottom"/>
          </w:tcPr>
          <w:p>
            <w:pPr>
              <w:spacing w:after="0"/>
              <w:rPr>
                <w:sz w:val="20"/>
                <w:szCs w:val="20"/>
                <w:color w:val="auto"/>
              </w:rPr>
            </w:pPr>
            <w:r>
              <w:rPr>
                <w:rFonts w:ascii="Arial" w:cs="Arial" w:eastAsia="Arial" w:hAnsi="Arial"/>
                <w:sz w:val="18"/>
                <w:szCs w:val="18"/>
                <w:b w:val="1"/>
                <w:bCs w:val="1"/>
                <w:color w:val="auto"/>
              </w:rPr>
              <w:t>Items of Business:</w:t>
            </w:r>
          </w:p>
        </w:tc>
        <w:tc>
          <w:tcPr>
            <w:tcW w:w="180" w:type="dxa"/>
            <w:vAlign w:val="bottom"/>
          </w:tcPr>
          <w:p>
            <w:pPr>
              <w:spacing w:after="0"/>
              <w:rPr>
                <w:sz w:val="20"/>
                <w:szCs w:val="20"/>
                <w:color w:val="auto"/>
              </w:rPr>
            </w:pPr>
            <w:r>
              <w:rPr>
                <w:rFonts w:ascii="Arial" w:cs="Arial" w:eastAsia="Arial" w:hAnsi="Arial"/>
                <w:sz w:val="16"/>
                <w:szCs w:val="16"/>
                <w:color w:val="auto"/>
                <w:w w:val="73"/>
              </w:rPr>
              <w:t>• </w:t>
            </w:r>
          </w:p>
        </w:tc>
        <w:tc>
          <w:tcPr>
            <w:tcW w:w="8700" w:type="dxa"/>
            <w:vAlign w:val="bottom"/>
            <w:gridSpan w:val="8"/>
          </w:tcPr>
          <w:p>
            <w:pPr>
              <w:ind w:left="60"/>
              <w:spacing w:after="0"/>
              <w:rPr>
                <w:sz w:val="20"/>
                <w:szCs w:val="20"/>
                <w:color w:val="auto"/>
              </w:rPr>
            </w:pPr>
            <w:r>
              <w:rPr>
                <w:rFonts w:ascii="Arial" w:cs="Arial" w:eastAsia="Arial" w:hAnsi="Arial"/>
                <w:sz w:val="18"/>
                <w:szCs w:val="18"/>
                <w:color w:val="auto"/>
                <w:w w:val="99"/>
              </w:rPr>
              <w:t>To elect the Class I director nominees named in this Proxy Statement to serve until the 2028 Annual Meeting</w:t>
            </w:r>
          </w:p>
        </w:tc>
        <w:tc>
          <w:tcPr>
            <w:tcW w:w="0" w:type="dxa"/>
            <w:vAlign w:val="bottom"/>
          </w:tcPr>
          <w:p>
            <w:pPr>
              <w:spacing w:after="0"/>
              <w:rPr>
                <w:sz w:val="1"/>
                <w:szCs w:val="1"/>
                <w:color w:val="auto"/>
              </w:rPr>
            </w:pPr>
          </w:p>
        </w:tc>
      </w:tr>
      <w:tr>
        <w:trPr>
          <w:trHeight w:val="216"/>
        </w:trPr>
        <w:tc>
          <w:tcPr>
            <w:tcW w:w="2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700" w:type="dxa"/>
            <w:vAlign w:val="bottom"/>
            <w:gridSpan w:val="8"/>
          </w:tcPr>
          <w:p>
            <w:pPr>
              <w:ind w:left="60"/>
              <w:spacing w:after="0"/>
              <w:rPr>
                <w:sz w:val="20"/>
                <w:szCs w:val="20"/>
                <w:color w:val="auto"/>
              </w:rPr>
            </w:pPr>
            <w:r>
              <w:rPr>
                <w:rFonts w:ascii="Arial" w:cs="Arial" w:eastAsia="Arial" w:hAnsi="Arial"/>
                <w:sz w:val="18"/>
                <w:szCs w:val="18"/>
                <w:color w:val="auto"/>
              </w:rPr>
              <w:t>of Stockholders or until such director’s successor has been duly elected or appointed and qualified, or until</w:t>
            </w:r>
          </w:p>
        </w:tc>
        <w:tc>
          <w:tcPr>
            <w:tcW w:w="0" w:type="dxa"/>
            <w:vAlign w:val="bottom"/>
          </w:tcPr>
          <w:p>
            <w:pPr>
              <w:spacing w:after="0"/>
              <w:rPr>
                <w:sz w:val="1"/>
                <w:szCs w:val="1"/>
                <w:color w:val="auto"/>
              </w:rPr>
            </w:pPr>
          </w:p>
        </w:tc>
      </w:tr>
      <w:tr>
        <w:trPr>
          <w:trHeight w:val="216"/>
        </w:trPr>
        <w:tc>
          <w:tcPr>
            <w:tcW w:w="2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700" w:type="dxa"/>
            <w:vAlign w:val="bottom"/>
            <w:gridSpan w:val="8"/>
          </w:tcPr>
          <w:p>
            <w:pPr>
              <w:ind w:left="60"/>
              <w:spacing w:after="0"/>
              <w:rPr>
                <w:sz w:val="20"/>
                <w:szCs w:val="20"/>
                <w:color w:val="auto"/>
              </w:rPr>
            </w:pPr>
            <w:r>
              <w:rPr>
                <w:rFonts w:ascii="Arial" w:cs="Arial" w:eastAsia="Arial" w:hAnsi="Arial"/>
                <w:sz w:val="18"/>
                <w:szCs w:val="18"/>
                <w:color w:val="auto"/>
              </w:rPr>
              <w:t>such director’s earlier resignation or removal, retirement or removal;</w:t>
            </w:r>
          </w:p>
        </w:tc>
        <w:tc>
          <w:tcPr>
            <w:tcW w:w="0" w:type="dxa"/>
            <w:vAlign w:val="bottom"/>
          </w:tcPr>
          <w:p>
            <w:pPr>
              <w:spacing w:after="0"/>
              <w:rPr>
                <w:sz w:val="1"/>
                <w:szCs w:val="1"/>
                <w:color w:val="auto"/>
              </w:rPr>
            </w:pPr>
          </w:p>
        </w:tc>
      </w:tr>
      <w:tr>
        <w:trPr>
          <w:trHeight w:val="194"/>
        </w:trPr>
        <w:tc>
          <w:tcPr>
            <w:tcW w:w="2020" w:type="dxa"/>
            <w:vAlign w:val="bottom"/>
          </w:tcPr>
          <w:p>
            <w:pPr>
              <w:spacing w:after="0"/>
              <w:rPr>
                <w:sz w:val="16"/>
                <w:szCs w:val="16"/>
                <w:color w:val="auto"/>
              </w:rPr>
            </w:pPr>
          </w:p>
        </w:tc>
        <w:tc>
          <w:tcPr>
            <w:tcW w:w="180" w:type="dxa"/>
            <w:vAlign w:val="bottom"/>
          </w:tcPr>
          <w:p>
            <w:pPr>
              <w:spacing w:after="0"/>
              <w:rPr>
                <w:sz w:val="20"/>
                <w:szCs w:val="20"/>
                <w:color w:val="auto"/>
              </w:rPr>
            </w:pPr>
            <w:r>
              <w:rPr>
                <w:rFonts w:ascii="Arial" w:cs="Arial" w:eastAsia="Arial" w:hAnsi="Arial"/>
                <w:sz w:val="16"/>
                <w:szCs w:val="16"/>
                <w:color w:val="auto"/>
                <w:w w:val="73"/>
              </w:rPr>
              <w:t>• </w:t>
            </w:r>
          </w:p>
        </w:tc>
        <w:tc>
          <w:tcPr>
            <w:tcW w:w="8700" w:type="dxa"/>
            <w:vAlign w:val="bottom"/>
            <w:gridSpan w:val="8"/>
          </w:tcPr>
          <w:p>
            <w:pPr>
              <w:ind w:left="60"/>
              <w:spacing w:after="0" w:line="195" w:lineRule="exact"/>
              <w:rPr>
                <w:sz w:val="20"/>
                <w:szCs w:val="20"/>
                <w:color w:val="auto"/>
              </w:rPr>
            </w:pPr>
            <w:r>
              <w:rPr>
                <w:rFonts w:ascii="Arial" w:cs="Arial" w:eastAsia="Arial" w:hAnsi="Arial"/>
                <w:sz w:val="18"/>
                <w:szCs w:val="18"/>
                <w:color w:val="auto"/>
              </w:rPr>
              <w:t>To cast a non-binding advisory vote to approve named executive officer compensation (“say-on-pay”);</w:t>
            </w:r>
          </w:p>
        </w:tc>
        <w:tc>
          <w:tcPr>
            <w:tcW w:w="0" w:type="dxa"/>
            <w:vAlign w:val="bottom"/>
          </w:tcPr>
          <w:p>
            <w:pPr>
              <w:spacing w:after="0"/>
              <w:rPr>
                <w:sz w:val="1"/>
                <w:szCs w:val="1"/>
                <w:color w:val="auto"/>
              </w:rPr>
            </w:pPr>
          </w:p>
        </w:tc>
      </w:tr>
      <w:tr>
        <w:trPr>
          <w:trHeight w:val="20"/>
        </w:trPr>
        <w:tc>
          <w:tcPr>
            <w:tcW w:w="2020" w:type="dxa"/>
            <w:vAlign w:val="bottom"/>
          </w:tcPr>
          <w:p>
            <w:pPr>
              <w:spacing w:after="0" w:line="20" w:lineRule="exact"/>
              <w:rPr>
                <w:sz w:val="1"/>
                <w:szCs w:val="1"/>
                <w:color w:val="auto"/>
              </w:rPr>
            </w:pPr>
          </w:p>
        </w:tc>
        <w:tc>
          <w:tcPr>
            <w:tcW w:w="180" w:type="dxa"/>
            <w:vAlign w:val="bottom"/>
            <w:vMerge w:val="restart"/>
          </w:tcPr>
          <w:p>
            <w:pPr>
              <w:spacing w:after="0"/>
              <w:rPr>
                <w:sz w:val="20"/>
                <w:szCs w:val="20"/>
                <w:color w:val="auto"/>
              </w:rPr>
            </w:pPr>
            <w:r>
              <w:rPr>
                <w:rFonts w:ascii="Arial" w:cs="Arial" w:eastAsia="Arial" w:hAnsi="Arial"/>
                <w:sz w:val="16"/>
                <w:szCs w:val="16"/>
                <w:color w:val="auto"/>
                <w:w w:val="73"/>
              </w:rPr>
              <w:t>• </w:t>
            </w:r>
          </w:p>
        </w:tc>
        <w:tc>
          <w:tcPr>
            <w:tcW w:w="260" w:type="dxa"/>
            <w:vAlign w:val="bottom"/>
          </w:tcPr>
          <w:p>
            <w:pPr>
              <w:spacing w:after="0" w:line="20" w:lineRule="exact"/>
              <w:rPr>
                <w:sz w:val="1"/>
                <w:szCs w:val="1"/>
                <w:color w:val="auto"/>
              </w:rPr>
            </w:pPr>
          </w:p>
        </w:tc>
        <w:tc>
          <w:tcPr>
            <w:tcW w:w="6800" w:type="dxa"/>
            <w:vAlign w:val="bottom"/>
            <w:gridSpan w:val="3"/>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02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8700" w:type="dxa"/>
            <w:vAlign w:val="bottom"/>
            <w:gridSpan w:val="8"/>
          </w:tcPr>
          <w:p>
            <w:pPr>
              <w:ind w:left="60"/>
              <w:spacing w:after="0"/>
              <w:rPr>
                <w:sz w:val="20"/>
                <w:szCs w:val="20"/>
                <w:color w:val="auto"/>
              </w:rPr>
            </w:pPr>
            <w:r>
              <w:rPr>
                <w:rFonts w:ascii="Arial" w:cs="Arial" w:eastAsia="Arial" w:hAnsi="Arial"/>
                <w:sz w:val="18"/>
                <w:szCs w:val="18"/>
                <w:color w:val="auto"/>
              </w:rPr>
              <w:t>To ratify the appointment of PricewaterhouseCoopers LLP as our independent registered public accounting</w:t>
            </w:r>
          </w:p>
        </w:tc>
        <w:tc>
          <w:tcPr>
            <w:tcW w:w="0" w:type="dxa"/>
            <w:vAlign w:val="bottom"/>
          </w:tcPr>
          <w:p>
            <w:pPr>
              <w:spacing w:after="0"/>
              <w:rPr>
                <w:sz w:val="1"/>
                <w:szCs w:val="1"/>
                <w:color w:val="auto"/>
              </w:rPr>
            </w:pPr>
          </w:p>
        </w:tc>
      </w:tr>
      <w:tr>
        <w:trPr>
          <w:trHeight w:val="216"/>
        </w:trPr>
        <w:tc>
          <w:tcPr>
            <w:tcW w:w="2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700" w:type="dxa"/>
            <w:vAlign w:val="bottom"/>
            <w:gridSpan w:val="8"/>
          </w:tcPr>
          <w:p>
            <w:pPr>
              <w:ind w:left="60"/>
              <w:spacing w:after="0"/>
              <w:rPr>
                <w:sz w:val="20"/>
                <w:szCs w:val="20"/>
                <w:color w:val="auto"/>
              </w:rPr>
            </w:pPr>
            <w:r>
              <w:rPr>
                <w:rFonts w:ascii="Arial" w:cs="Arial" w:eastAsia="Arial" w:hAnsi="Arial"/>
                <w:sz w:val="18"/>
                <w:szCs w:val="18"/>
                <w:color w:val="auto"/>
              </w:rPr>
              <w:t>firm for the fiscal year ending December 31, 2025; and</w:t>
            </w:r>
          </w:p>
        </w:tc>
        <w:tc>
          <w:tcPr>
            <w:tcW w:w="0" w:type="dxa"/>
            <w:vAlign w:val="bottom"/>
          </w:tcPr>
          <w:p>
            <w:pPr>
              <w:spacing w:after="0"/>
              <w:rPr>
                <w:sz w:val="1"/>
                <w:szCs w:val="1"/>
                <w:color w:val="auto"/>
              </w:rPr>
            </w:pPr>
          </w:p>
        </w:tc>
      </w:tr>
      <w:tr>
        <w:trPr>
          <w:trHeight w:val="216"/>
        </w:trPr>
        <w:tc>
          <w:tcPr>
            <w:tcW w:w="202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6"/>
                <w:szCs w:val="16"/>
                <w:color w:val="auto"/>
                <w:w w:val="73"/>
              </w:rPr>
              <w:t>• </w:t>
            </w:r>
          </w:p>
        </w:tc>
        <w:tc>
          <w:tcPr>
            <w:tcW w:w="8700" w:type="dxa"/>
            <w:vAlign w:val="bottom"/>
            <w:gridSpan w:val="8"/>
          </w:tcPr>
          <w:p>
            <w:pPr>
              <w:ind w:left="60"/>
              <w:spacing w:after="0"/>
              <w:rPr>
                <w:sz w:val="20"/>
                <w:szCs w:val="20"/>
                <w:color w:val="auto"/>
              </w:rPr>
            </w:pPr>
            <w:r>
              <w:rPr>
                <w:rFonts w:ascii="Arial" w:cs="Arial" w:eastAsia="Arial" w:hAnsi="Arial"/>
                <w:sz w:val="18"/>
                <w:szCs w:val="18"/>
                <w:color w:val="auto"/>
                <w:w w:val="99"/>
              </w:rPr>
              <w:t>To transact such other business as may properly come before the 2025 Annual Meeting or any adjournments</w:t>
            </w:r>
          </w:p>
        </w:tc>
        <w:tc>
          <w:tcPr>
            <w:tcW w:w="0" w:type="dxa"/>
            <w:vAlign w:val="bottom"/>
          </w:tcPr>
          <w:p>
            <w:pPr>
              <w:spacing w:after="0"/>
              <w:rPr>
                <w:sz w:val="1"/>
                <w:szCs w:val="1"/>
                <w:color w:val="auto"/>
              </w:rPr>
            </w:pPr>
          </w:p>
        </w:tc>
      </w:tr>
      <w:tr>
        <w:trPr>
          <w:trHeight w:val="239"/>
        </w:trPr>
        <w:tc>
          <w:tcPr>
            <w:tcW w:w="2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700" w:type="dxa"/>
            <w:vAlign w:val="bottom"/>
            <w:gridSpan w:val="8"/>
          </w:tcPr>
          <w:p>
            <w:pPr>
              <w:ind w:left="60"/>
              <w:spacing w:after="0"/>
              <w:rPr>
                <w:sz w:val="20"/>
                <w:szCs w:val="20"/>
                <w:color w:val="auto"/>
              </w:rPr>
            </w:pPr>
            <w:r>
              <w:rPr>
                <w:rFonts w:ascii="Arial" w:cs="Arial" w:eastAsia="Arial" w:hAnsi="Arial"/>
                <w:sz w:val="18"/>
                <w:szCs w:val="18"/>
                <w:color w:val="auto"/>
              </w:rPr>
              <w:t>or postponements thereof.</w:t>
            </w:r>
          </w:p>
        </w:tc>
        <w:tc>
          <w:tcPr>
            <w:tcW w:w="0" w:type="dxa"/>
            <w:vAlign w:val="bottom"/>
          </w:tcPr>
          <w:p>
            <w:pPr>
              <w:spacing w:after="0"/>
              <w:rPr>
                <w:sz w:val="1"/>
                <w:szCs w:val="1"/>
                <w:color w:val="auto"/>
              </w:rPr>
            </w:pPr>
          </w:p>
        </w:tc>
      </w:tr>
      <w:tr>
        <w:trPr>
          <w:trHeight w:val="226"/>
        </w:trPr>
        <w:tc>
          <w:tcPr>
            <w:tcW w:w="2020" w:type="dxa"/>
            <w:vAlign w:val="bottom"/>
          </w:tcPr>
          <w:p>
            <w:pPr>
              <w:spacing w:after="0"/>
              <w:rPr>
                <w:sz w:val="20"/>
                <w:szCs w:val="20"/>
                <w:color w:val="auto"/>
              </w:rPr>
            </w:pPr>
            <w:r>
              <w:rPr>
                <w:rFonts w:ascii="Arial" w:cs="Arial" w:eastAsia="Arial" w:hAnsi="Arial"/>
                <w:sz w:val="18"/>
                <w:szCs w:val="18"/>
                <w:b w:val="1"/>
                <w:bCs w:val="1"/>
                <w:color w:val="auto"/>
              </w:rPr>
              <w:t>Record Date:</w:t>
            </w:r>
          </w:p>
        </w:tc>
        <w:tc>
          <w:tcPr>
            <w:tcW w:w="8880" w:type="dxa"/>
            <w:vAlign w:val="bottom"/>
            <w:gridSpan w:val="9"/>
          </w:tcPr>
          <w:p>
            <w:pPr>
              <w:spacing w:after="0"/>
              <w:rPr>
                <w:sz w:val="20"/>
                <w:szCs w:val="20"/>
                <w:color w:val="auto"/>
              </w:rPr>
            </w:pPr>
            <w:r>
              <w:rPr>
                <w:rFonts w:ascii="Arial" w:cs="Arial" w:eastAsia="Arial" w:hAnsi="Arial"/>
                <w:sz w:val="18"/>
                <w:szCs w:val="18"/>
                <w:color w:val="auto"/>
              </w:rPr>
              <w:t>You are entitled to vote only if you were a holder of common stock, $0.01 par value per share (“Common</w:t>
            </w:r>
          </w:p>
        </w:tc>
        <w:tc>
          <w:tcPr>
            <w:tcW w:w="0" w:type="dxa"/>
            <w:vAlign w:val="bottom"/>
          </w:tcPr>
          <w:p>
            <w:pPr>
              <w:spacing w:after="0"/>
              <w:rPr>
                <w:sz w:val="1"/>
                <w:szCs w:val="1"/>
                <w:color w:val="auto"/>
              </w:rPr>
            </w:pPr>
          </w:p>
        </w:tc>
      </w:tr>
      <w:tr>
        <w:trPr>
          <w:trHeight w:val="196"/>
        </w:trPr>
        <w:tc>
          <w:tcPr>
            <w:tcW w:w="2020" w:type="dxa"/>
            <w:vAlign w:val="bottom"/>
          </w:tcPr>
          <w:p>
            <w:pPr>
              <w:spacing w:after="0"/>
              <w:rPr>
                <w:sz w:val="17"/>
                <w:szCs w:val="17"/>
                <w:color w:val="auto"/>
              </w:rPr>
            </w:pPr>
          </w:p>
        </w:tc>
        <w:tc>
          <w:tcPr>
            <w:tcW w:w="7560" w:type="dxa"/>
            <w:vAlign w:val="bottom"/>
            <w:gridSpan w:val="6"/>
          </w:tcPr>
          <w:p>
            <w:pPr>
              <w:spacing w:after="0" w:line="196" w:lineRule="exact"/>
              <w:rPr>
                <w:sz w:val="20"/>
                <w:szCs w:val="20"/>
                <w:color w:val="auto"/>
              </w:rPr>
            </w:pPr>
            <w:r>
              <w:rPr>
                <w:rFonts w:ascii="Arial" w:cs="Arial" w:eastAsia="Arial" w:hAnsi="Arial"/>
                <w:sz w:val="18"/>
                <w:szCs w:val="18"/>
                <w:color w:val="auto"/>
              </w:rPr>
              <w:t>Stock”) of Shutterstock, Inc. as of November 19, 2025.</w:t>
            </w:r>
          </w:p>
        </w:tc>
        <w:tc>
          <w:tcPr>
            <w:tcW w:w="740" w:type="dxa"/>
            <w:vAlign w:val="bottom"/>
            <w:tcBorders>
              <w:top w:val="single" w:sz="8" w:color="auto"/>
            </w:tcBorders>
            <w:gridSpan w:val="2"/>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20" w:type="dxa"/>
            <w:vAlign w:val="bottom"/>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844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2020" w:type="dxa"/>
            <w:vAlign w:val="bottom"/>
          </w:tcPr>
          <w:p>
            <w:pPr>
              <w:spacing w:after="0"/>
              <w:rPr>
                <w:sz w:val="20"/>
                <w:szCs w:val="20"/>
                <w:color w:val="auto"/>
              </w:rPr>
            </w:pPr>
            <w:r>
              <w:rPr>
                <w:rFonts w:ascii="Arial" w:cs="Arial" w:eastAsia="Arial" w:hAnsi="Arial"/>
                <w:sz w:val="18"/>
                <w:szCs w:val="18"/>
                <w:b w:val="1"/>
                <w:bCs w:val="1"/>
                <w:color w:val="auto"/>
              </w:rPr>
              <w:t>Voting:</w:t>
            </w:r>
          </w:p>
        </w:tc>
        <w:tc>
          <w:tcPr>
            <w:tcW w:w="8880" w:type="dxa"/>
            <w:vAlign w:val="bottom"/>
            <w:gridSpan w:val="9"/>
          </w:tcPr>
          <w:p>
            <w:pPr>
              <w:spacing w:after="0"/>
              <w:rPr>
                <w:sz w:val="20"/>
                <w:szCs w:val="20"/>
                <w:color w:val="auto"/>
              </w:rPr>
            </w:pPr>
            <w:r>
              <w:rPr>
                <w:rFonts w:ascii="Arial" w:cs="Arial" w:eastAsia="Arial" w:hAnsi="Arial"/>
                <w:sz w:val="18"/>
                <w:szCs w:val="18"/>
                <w:color w:val="auto"/>
              </w:rPr>
              <w:t>Your vote is important. Whether or not you plan to attend the 2025 Annual Meeting via live webcast, we</w:t>
            </w:r>
          </w:p>
        </w:tc>
        <w:tc>
          <w:tcPr>
            <w:tcW w:w="0" w:type="dxa"/>
            <w:vAlign w:val="bottom"/>
          </w:tcPr>
          <w:p>
            <w:pPr>
              <w:spacing w:after="0"/>
              <w:rPr>
                <w:sz w:val="1"/>
                <w:szCs w:val="1"/>
                <w:color w:val="auto"/>
              </w:rPr>
            </w:pPr>
          </w:p>
        </w:tc>
      </w:tr>
      <w:tr>
        <w:trPr>
          <w:trHeight w:val="216"/>
        </w:trPr>
        <w:tc>
          <w:tcPr>
            <w:tcW w:w="2020" w:type="dxa"/>
            <w:vAlign w:val="bottom"/>
          </w:tcPr>
          <w:p>
            <w:pPr>
              <w:spacing w:after="0"/>
              <w:rPr>
                <w:sz w:val="18"/>
                <w:szCs w:val="18"/>
                <w:color w:val="auto"/>
              </w:rPr>
            </w:pPr>
          </w:p>
        </w:tc>
        <w:tc>
          <w:tcPr>
            <w:tcW w:w="8880" w:type="dxa"/>
            <w:vAlign w:val="bottom"/>
            <w:gridSpan w:val="9"/>
          </w:tcPr>
          <w:p>
            <w:pPr>
              <w:spacing w:after="0"/>
              <w:rPr>
                <w:sz w:val="20"/>
                <w:szCs w:val="20"/>
                <w:color w:val="auto"/>
              </w:rPr>
            </w:pPr>
            <w:r>
              <w:rPr>
                <w:rFonts w:ascii="Arial" w:cs="Arial" w:eastAsia="Arial" w:hAnsi="Arial"/>
                <w:sz w:val="18"/>
                <w:szCs w:val="18"/>
                <w:color w:val="auto"/>
              </w:rPr>
              <w:t>encourage you to read this Proxy Statement and submit your voting instructions as soon as possible. For</w:t>
            </w:r>
          </w:p>
        </w:tc>
        <w:tc>
          <w:tcPr>
            <w:tcW w:w="0" w:type="dxa"/>
            <w:vAlign w:val="bottom"/>
          </w:tcPr>
          <w:p>
            <w:pPr>
              <w:spacing w:after="0"/>
              <w:rPr>
                <w:sz w:val="1"/>
                <w:szCs w:val="1"/>
                <w:color w:val="auto"/>
              </w:rPr>
            </w:pPr>
          </w:p>
        </w:tc>
      </w:tr>
      <w:tr>
        <w:trPr>
          <w:trHeight w:val="216"/>
        </w:trPr>
        <w:tc>
          <w:tcPr>
            <w:tcW w:w="2020" w:type="dxa"/>
            <w:vAlign w:val="bottom"/>
          </w:tcPr>
          <w:p>
            <w:pPr>
              <w:spacing w:after="0"/>
              <w:rPr>
                <w:sz w:val="18"/>
                <w:szCs w:val="18"/>
                <w:color w:val="auto"/>
              </w:rPr>
            </w:pPr>
          </w:p>
        </w:tc>
        <w:tc>
          <w:tcPr>
            <w:tcW w:w="8880" w:type="dxa"/>
            <w:vAlign w:val="bottom"/>
            <w:gridSpan w:val="9"/>
          </w:tcPr>
          <w:p>
            <w:pPr>
              <w:spacing w:after="0"/>
              <w:rPr>
                <w:sz w:val="20"/>
                <w:szCs w:val="20"/>
                <w:color w:val="auto"/>
              </w:rPr>
            </w:pPr>
            <w:r>
              <w:rPr>
                <w:rFonts w:ascii="Arial" w:cs="Arial" w:eastAsia="Arial" w:hAnsi="Arial"/>
                <w:sz w:val="18"/>
                <w:szCs w:val="18"/>
                <w:color w:val="auto"/>
              </w:rPr>
              <w:t>specific instructions on how to vote your shares, please refer to the Proxy Materials you received in the mail,</w:t>
            </w:r>
          </w:p>
        </w:tc>
        <w:tc>
          <w:tcPr>
            <w:tcW w:w="0" w:type="dxa"/>
            <w:vAlign w:val="bottom"/>
          </w:tcPr>
          <w:p>
            <w:pPr>
              <w:spacing w:after="0"/>
              <w:rPr>
                <w:sz w:val="1"/>
                <w:szCs w:val="1"/>
                <w:color w:val="auto"/>
              </w:rPr>
            </w:pPr>
          </w:p>
        </w:tc>
      </w:tr>
      <w:tr>
        <w:trPr>
          <w:trHeight w:val="216"/>
        </w:trPr>
        <w:tc>
          <w:tcPr>
            <w:tcW w:w="2020" w:type="dxa"/>
            <w:vAlign w:val="bottom"/>
          </w:tcPr>
          <w:p>
            <w:pPr>
              <w:spacing w:after="0"/>
              <w:rPr>
                <w:sz w:val="18"/>
                <w:szCs w:val="18"/>
                <w:color w:val="auto"/>
              </w:rPr>
            </w:pPr>
          </w:p>
        </w:tc>
        <w:tc>
          <w:tcPr>
            <w:tcW w:w="8880" w:type="dxa"/>
            <w:vAlign w:val="bottom"/>
            <w:gridSpan w:val="9"/>
          </w:tcPr>
          <w:p>
            <w:pPr>
              <w:spacing w:after="0"/>
              <w:rPr>
                <w:sz w:val="20"/>
                <w:szCs w:val="20"/>
                <w:color w:val="auto"/>
              </w:rPr>
            </w:pPr>
            <w:r>
              <w:rPr>
                <w:rFonts w:ascii="Arial" w:cs="Arial" w:eastAsia="Arial" w:hAnsi="Arial"/>
                <w:sz w:val="18"/>
                <w:szCs w:val="18"/>
                <w:color w:val="auto"/>
              </w:rPr>
              <w:t>the section titled “Questions and Answers About the Proxy Materials and the 2025 Annual Meeting” in this</w:t>
            </w:r>
          </w:p>
        </w:tc>
        <w:tc>
          <w:tcPr>
            <w:tcW w:w="0" w:type="dxa"/>
            <w:vAlign w:val="bottom"/>
          </w:tcPr>
          <w:p>
            <w:pPr>
              <w:spacing w:after="0"/>
              <w:rPr>
                <w:sz w:val="1"/>
                <w:szCs w:val="1"/>
                <w:color w:val="auto"/>
              </w:rPr>
            </w:pPr>
          </w:p>
        </w:tc>
      </w:tr>
      <w:tr>
        <w:trPr>
          <w:trHeight w:val="239"/>
        </w:trPr>
        <w:tc>
          <w:tcPr>
            <w:tcW w:w="2020" w:type="dxa"/>
            <w:vAlign w:val="bottom"/>
          </w:tcPr>
          <w:p>
            <w:pPr>
              <w:spacing w:after="0"/>
              <w:rPr>
                <w:sz w:val="20"/>
                <w:szCs w:val="20"/>
                <w:color w:val="auto"/>
              </w:rPr>
            </w:pPr>
          </w:p>
        </w:tc>
        <w:tc>
          <w:tcPr>
            <w:tcW w:w="8880" w:type="dxa"/>
            <w:vAlign w:val="bottom"/>
            <w:gridSpan w:val="9"/>
          </w:tcPr>
          <w:p>
            <w:pPr>
              <w:spacing w:after="0"/>
              <w:rPr>
                <w:sz w:val="20"/>
                <w:szCs w:val="20"/>
                <w:color w:val="auto"/>
              </w:rPr>
            </w:pPr>
            <w:r>
              <w:rPr>
                <w:rFonts w:ascii="Arial" w:cs="Arial" w:eastAsia="Arial" w:hAnsi="Arial"/>
                <w:sz w:val="18"/>
                <w:szCs w:val="18"/>
                <w:color w:val="auto"/>
              </w:rPr>
              <w:t>Proxy Statement and your enclosed proxy card.</w:t>
            </w:r>
          </w:p>
        </w:tc>
        <w:tc>
          <w:tcPr>
            <w:tcW w:w="0" w:type="dxa"/>
            <w:vAlign w:val="bottom"/>
          </w:tcPr>
          <w:p>
            <w:pPr>
              <w:spacing w:after="0"/>
              <w:rPr>
                <w:sz w:val="1"/>
                <w:szCs w:val="1"/>
                <w:color w:val="auto"/>
              </w:rPr>
            </w:pPr>
          </w:p>
        </w:tc>
      </w:tr>
    </w:tbl>
    <w:p>
      <w:pPr>
        <w:spacing w:after="0" w:line="220" w:lineRule="exact"/>
        <w:rPr>
          <w:sz w:val="20"/>
          <w:szCs w:val="20"/>
          <w:color w:val="auto"/>
        </w:rPr>
      </w:pPr>
    </w:p>
    <w:p>
      <w:pPr>
        <w:ind w:left="2040" w:right="160"/>
        <w:spacing w:after="0" w:line="287" w:lineRule="auto"/>
        <w:rPr>
          <w:sz w:val="20"/>
          <w:szCs w:val="20"/>
          <w:color w:val="auto"/>
        </w:rPr>
      </w:pPr>
      <w:r>
        <w:rPr>
          <w:rFonts w:ascii="Arial" w:cs="Arial" w:eastAsia="Arial" w:hAnsi="Arial"/>
          <w:sz w:val="18"/>
          <w:szCs w:val="18"/>
          <w:color w:val="auto"/>
        </w:rPr>
        <w:t>On or about November 20, 2025, we mailed to our stockholders the Proxy Materials containing instructions on how to access this Proxy Statement and 2024 Annual Report and how to vote online.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1371600" cy="4800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71600"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John Lapham</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Senior Vice President, General Counsel and Corporate Secretary</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20, 2025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Proxy Statement and 2024 Annual Report to Stockholders are available at www.proxyvote.com.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20"/>
          </w:cols>
          <w:pgMar w:left="320" w:top="753" w:right="65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25"/>
          <w:szCs w:val="25"/>
          <w:b w:val="1"/>
          <w:bCs w:val="1"/>
          <w:color w:val="EF3A35"/>
        </w:rPr>
        <w:t>PROXY SUMMARY</w:t>
      </w:r>
    </w:p>
    <w:p>
      <w:pPr>
        <w:spacing w:after="0" w:line="123" w:lineRule="exact"/>
        <w:rPr>
          <w:sz w:val="20"/>
          <w:szCs w:val="20"/>
          <w:color w:val="auto"/>
        </w:rPr>
      </w:pPr>
    </w:p>
    <w:p>
      <w:pPr>
        <w:ind w:firstLine="324"/>
        <w:spacing w:after="0" w:line="287" w:lineRule="auto"/>
        <w:rPr>
          <w:sz w:val="20"/>
          <w:szCs w:val="20"/>
          <w:color w:val="auto"/>
        </w:rPr>
      </w:pPr>
      <w:r>
        <w:rPr>
          <w:rFonts w:ascii="Arial" w:cs="Arial" w:eastAsia="Arial" w:hAnsi="Arial"/>
          <w:sz w:val="18"/>
          <w:szCs w:val="18"/>
          <w:color w:val="auto"/>
        </w:rPr>
        <w:t>This summary highlights information contained elsewhere in this Proxy Statement. This summary does not contain all the information you should consider in voting your shares. Please read the complete Proxy Statement and our 2024 Annual Report before voting.</w:t>
      </w:r>
    </w:p>
    <w:p>
      <w:pPr>
        <w:spacing w:after="0" w:line="49" w:lineRule="exact"/>
        <w:rPr>
          <w:sz w:val="20"/>
          <w:szCs w:val="20"/>
          <w:color w:val="auto"/>
        </w:rPr>
      </w:pPr>
    </w:p>
    <w:p>
      <w:pPr>
        <w:spacing w:after="0"/>
        <w:rPr>
          <w:sz w:val="20"/>
          <w:szCs w:val="20"/>
          <w:color w:val="auto"/>
        </w:rPr>
      </w:pPr>
      <w:r>
        <w:rPr>
          <w:rFonts w:ascii="Arial" w:cs="Arial" w:eastAsia="Arial" w:hAnsi="Arial"/>
          <w:sz w:val="22"/>
          <w:szCs w:val="22"/>
          <w:b w:val="1"/>
          <w:bCs w:val="1"/>
          <w:color w:val="EF3A35"/>
        </w:rPr>
        <w:t>Meeting Information</w:t>
      </w:r>
    </w:p>
    <w:p>
      <w:pPr>
        <w:spacing w:after="0" w:line="175" w:lineRule="exact"/>
        <w:rPr>
          <w:sz w:val="20"/>
          <w:szCs w:val="20"/>
          <w:color w:val="auto"/>
        </w:rPr>
      </w:pPr>
    </w:p>
    <w:p>
      <w:pPr>
        <w:ind w:left="100"/>
        <w:spacing w:after="0"/>
        <w:tabs>
          <w:tab w:leader="none" w:pos="2100" w:val="left"/>
        </w:tabs>
        <w:rPr>
          <w:sz w:val="20"/>
          <w:szCs w:val="20"/>
          <w:color w:val="auto"/>
        </w:rPr>
      </w:pPr>
      <w:r>
        <w:rPr>
          <w:rFonts w:ascii="Arial" w:cs="Arial" w:eastAsia="Arial" w:hAnsi="Arial"/>
          <w:sz w:val="18"/>
          <w:szCs w:val="18"/>
          <w:b w:val="1"/>
          <w:bCs w:val="1"/>
          <w:color w:val="EF3A35"/>
        </w:rPr>
        <w:t>Date:</w:t>
      </w:r>
      <w:r>
        <w:rPr>
          <w:sz w:val="20"/>
          <w:szCs w:val="20"/>
          <w:color w:val="auto"/>
        </w:rPr>
        <w:tab/>
      </w:r>
      <w:r>
        <w:rPr>
          <w:rFonts w:ascii="Arial" w:cs="Arial" w:eastAsia="Arial" w:hAnsi="Arial"/>
          <w:sz w:val="18"/>
          <w:szCs w:val="18"/>
          <w:color w:val="auto"/>
        </w:rPr>
        <w:t>Monday, December 22, 2025</w:t>
      </w:r>
    </w:p>
    <w:p>
      <w:pPr>
        <w:spacing w:after="0" w:line="63" w:lineRule="exact"/>
        <w:rPr>
          <w:sz w:val="20"/>
          <w:szCs w:val="20"/>
          <w:color w:val="auto"/>
        </w:rPr>
      </w:pPr>
    </w:p>
    <w:p>
      <w:pPr>
        <w:ind w:left="100"/>
        <w:spacing w:after="0"/>
        <w:tabs>
          <w:tab w:leader="none" w:pos="2100" w:val="left"/>
        </w:tabs>
        <w:rPr>
          <w:sz w:val="20"/>
          <w:szCs w:val="20"/>
          <w:color w:val="auto"/>
        </w:rPr>
      </w:pPr>
      <w:r>
        <w:rPr>
          <w:rFonts w:ascii="Arial" w:cs="Arial" w:eastAsia="Arial" w:hAnsi="Arial"/>
          <w:sz w:val="18"/>
          <w:szCs w:val="18"/>
          <w:b w:val="1"/>
          <w:bCs w:val="1"/>
          <w:color w:val="EF3A35"/>
        </w:rPr>
        <w:t>Time:</w:t>
      </w:r>
      <w:r>
        <w:rPr>
          <w:sz w:val="20"/>
          <w:szCs w:val="20"/>
          <w:color w:val="auto"/>
        </w:rPr>
        <w:tab/>
      </w:r>
      <w:r>
        <w:rPr>
          <w:rFonts w:ascii="Arial" w:cs="Arial" w:eastAsia="Arial" w:hAnsi="Arial"/>
          <w:sz w:val="18"/>
          <w:szCs w:val="18"/>
          <w:color w:val="auto"/>
        </w:rPr>
        <w:t>10:00 a.m. Eastern Time</w:t>
      </w:r>
    </w:p>
    <w:p>
      <w:pPr>
        <w:spacing w:after="0" w:line="63" w:lineRule="exact"/>
        <w:rPr>
          <w:sz w:val="20"/>
          <w:szCs w:val="20"/>
          <w:color w:val="auto"/>
        </w:rPr>
      </w:pPr>
    </w:p>
    <w:p>
      <w:pPr>
        <w:ind w:left="100"/>
        <w:spacing w:after="0"/>
        <w:tabs>
          <w:tab w:leader="none" w:pos="2100" w:val="left"/>
        </w:tabs>
        <w:rPr>
          <w:sz w:val="20"/>
          <w:szCs w:val="20"/>
          <w:color w:val="auto"/>
        </w:rPr>
      </w:pPr>
      <w:r>
        <w:rPr>
          <w:rFonts w:ascii="Arial" w:cs="Arial" w:eastAsia="Arial" w:hAnsi="Arial"/>
          <w:sz w:val="18"/>
          <w:szCs w:val="18"/>
          <w:b w:val="1"/>
          <w:bCs w:val="1"/>
          <w:color w:val="EF3A35"/>
        </w:rPr>
        <w:t>Virtual Meeting:</w:t>
      </w:r>
      <w:r>
        <w:rPr>
          <w:sz w:val="20"/>
          <w:szCs w:val="20"/>
          <w:color w:val="auto"/>
        </w:rPr>
        <w:tab/>
      </w:r>
      <w:r>
        <w:rPr>
          <w:rFonts w:ascii="Arial" w:cs="Arial" w:eastAsia="Arial" w:hAnsi="Arial"/>
          <w:sz w:val="17"/>
          <w:szCs w:val="17"/>
          <w:color w:val="auto"/>
        </w:rPr>
        <w:t>www.virtualshareholdermeeting.com/SSTK2025</w:t>
      </w:r>
    </w:p>
    <w:p>
      <w:pPr>
        <w:spacing w:after="0" w:line="63" w:lineRule="exact"/>
        <w:rPr>
          <w:sz w:val="20"/>
          <w:szCs w:val="20"/>
          <w:color w:val="auto"/>
        </w:rPr>
      </w:pPr>
    </w:p>
    <w:p>
      <w:pPr>
        <w:ind w:left="100"/>
        <w:spacing w:after="0"/>
        <w:tabs>
          <w:tab w:leader="none" w:pos="2100" w:val="left"/>
        </w:tabs>
        <w:rPr>
          <w:sz w:val="20"/>
          <w:szCs w:val="20"/>
          <w:color w:val="auto"/>
        </w:rPr>
      </w:pPr>
      <w:r>
        <w:rPr>
          <w:rFonts w:ascii="Arial" w:cs="Arial" w:eastAsia="Arial" w:hAnsi="Arial"/>
          <w:sz w:val="18"/>
          <w:szCs w:val="18"/>
          <w:b w:val="1"/>
          <w:bCs w:val="1"/>
          <w:color w:val="EF3A35"/>
        </w:rPr>
        <w:t>Record Date:</w:t>
      </w:r>
      <w:r>
        <w:rPr>
          <w:sz w:val="20"/>
          <w:szCs w:val="20"/>
          <w:color w:val="auto"/>
        </w:rPr>
        <w:tab/>
      </w:r>
      <w:r>
        <w:rPr>
          <w:rFonts w:ascii="Arial" w:cs="Arial" w:eastAsia="Arial" w:hAnsi="Arial"/>
          <w:sz w:val="17"/>
          <w:szCs w:val="17"/>
          <w:color w:val="auto"/>
        </w:rPr>
        <w:t>November 19, 2025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to Vote</w:t>
      </w:r>
    </w:p>
    <w:p>
      <w:pPr>
        <w:spacing w:after="0" w:line="117" w:lineRule="exact"/>
        <w:rPr>
          <w:sz w:val="20"/>
          <w:szCs w:val="20"/>
          <w:color w:val="auto"/>
        </w:rPr>
      </w:pPr>
    </w:p>
    <w:p>
      <w:pPr>
        <w:jc w:val="both"/>
        <w:ind w:right="300" w:firstLine="324"/>
        <w:spacing w:after="0" w:line="268" w:lineRule="auto"/>
        <w:rPr>
          <w:sz w:val="20"/>
          <w:szCs w:val="20"/>
          <w:color w:val="auto"/>
        </w:rPr>
      </w:pPr>
      <w:r>
        <w:rPr>
          <w:rFonts w:ascii="Arial" w:cs="Arial" w:eastAsia="Arial" w:hAnsi="Arial"/>
          <w:sz w:val="18"/>
          <w:szCs w:val="18"/>
          <w:color w:val="auto"/>
        </w:rPr>
        <w:t>Your vote is important. You may vote your shares in advance of the 2025 Annual Meeting via the Internet, by telephone or by mail, or during the meeting by attending and voting electronically. If you vote via the Internet, by telephone or plan to vote electronically during the 2025 Annual Meeting, you do not need to mail in a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1059180</wp:posOffset>
            </wp:positionH>
            <wp:positionV relativeFrom="paragraph">
              <wp:posOffset>85725</wp:posOffset>
            </wp:positionV>
            <wp:extent cx="283210" cy="2400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83210" cy="240030"/>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85725</wp:posOffset>
            </wp:positionV>
            <wp:extent cx="154305" cy="2743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4305" cy="274320"/>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180340</wp:posOffset>
            </wp:positionV>
            <wp:extent cx="274320" cy="1797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74320" cy="179705"/>
                    </a:xfrm>
                    <a:prstGeom prst="rect">
                      <a:avLst/>
                    </a:prstGeom>
                    <a:noFill/>
                  </pic:spPr>
                </pic:pic>
              </a:graphicData>
            </a:graphic>
          </wp:anchor>
        </w:drawing>
      </w:r>
    </w:p>
    <w:p>
      <w:pPr>
        <w:sectPr>
          <w:pgSz w:w="11900" w:h="16838" w:orient="portrait"/>
          <w:cols w:equalWidth="0" w:num="1">
            <w:col w:w="11220"/>
          </w:cols>
          <w:pgMar w:left="320" w:top="763" w:right="359" w:bottom="1440" w:gutter="0" w:footer="0" w:header="0"/>
        </w:sectPr>
      </w:pPr>
    </w:p>
    <w:p>
      <w:pPr>
        <w:spacing w:after="0" w:line="200" w:lineRule="exact"/>
        <w:rPr>
          <w:sz w:val="20"/>
          <w:szCs w:val="20"/>
          <w:color w:val="auto"/>
        </w:rPr>
      </w:pPr>
    </w:p>
    <w:p>
      <w:pPr>
        <w:spacing w:after="0" w:line="39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w:t>
      </w:r>
    </w:p>
    <w:p>
      <w:pPr>
        <w:spacing w:after="0" w:line="103" w:lineRule="exact"/>
        <w:rPr>
          <w:sz w:val="20"/>
          <w:szCs w:val="20"/>
          <w:color w:val="auto"/>
        </w:rPr>
      </w:pPr>
    </w:p>
    <w:p>
      <w:pPr>
        <w:jc w:val="center"/>
        <w:ind w:left="40"/>
        <w:spacing w:after="0"/>
        <w:rPr>
          <w:sz w:val="20"/>
          <w:szCs w:val="20"/>
          <w:color w:val="auto"/>
        </w:rPr>
      </w:pPr>
      <w:r>
        <w:rPr>
          <w:rFonts w:ascii="Arial" w:cs="Arial" w:eastAsia="Arial" w:hAnsi="Arial"/>
          <w:sz w:val="18"/>
          <w:szCs w:val="18"/>
          <w:b w:val="1"/>
          <w:bCs w:val="1"/>
          <w:color w:val="EF3A35"/>
        </w:rPr>
        <w:t>INTERNET</w:t>
      </w:r>
    </w:p>
    <w:p>
      <w:pPr>
        <w:spacing w:after="0" w:line="41" w:lineRule="exact"/>
        <w:rPr>
          <w:sz w:val="20"/>
          <w:szCs w:val="20"/>
          <w:color w:val="auto"/>
        </w:rPr>
      </w:pPr>
    </w:p>
    <w:p>
      <w:pPr>
        <w:jc w:val="center"/>
        <w:ind w:left="40"/>
        <w:spacing w:after="0"/>
        <w:rPr>
          <w:sz w:val="20"/>
          <w:szCs w:val="20"/>
          <w:color w:val="auto"/>
        </w:rPr>
      </w:pPr>
      <w:r>
        <w:rPr>
          <w:rFonts w:ascii="Arial" w:cs="Arial" w:eastAsia="Arial" w:hAnsi="Arial"/>
          <w:sz w:val="16"/>
          <w:szCs w:val="16"/>
          <w:color w:val="auto"/>
        </w:rPr>
        <w:t>To vote before the meeting, visit</w:t>
      </w:r>
    </w:p>
    <w:p>
      <w:pPr>
        <w:spacing w:after="0" w:line="31" w:lineRule="exact"/>
        <w:rPr>
          <w:sz w:val="20"/>
          <w:szCs w:val="20"/>
          <w:color w:val="auto"/>
        </w:rPr>
      </w:pPr>
    </w:p>
    <w:p>
      <w:pPr>
        <w:jc w:val="both"/>
        <w:ind w:left="40" w:firstLine="45"/>
        <w:spacing w:after="0" w:line="249" w:lineRule="auto"/>
        <w:rPr>
          <w:sz w:val="20"/>
          <w:szCs w:val="20"/>
          <w:color w:val="auto"/>
        </w:rPr>
      </w:pPr>
      <w:r>
        <w:rPr>
          <w:rFonts w:ascii="Arial" w:cs="Arial" w:eastAsia="Arial" w:hAnsi="Arial"/>
          <w:sz w:val="16"/>
          <w:szCs w:val="16"/>
          <w:b w:val="1"/>
          <w:bCs w:val="1"/>
          <w:color w:val="auto"/>
        </w:rPr>
        <w:t>www.proxyvote.com</w:t>
      </w:r>
      <w:r>
        <w:rPr>
          <w:rFonts w:ascii="Arial" w:cs="Arial" w:eastAsia="Arial" w:hAnsi="Arial"/>
          <w:sz w:val="16"/>
          <w:szCs w:val="16"/>
          <w:color w:val="auto"/>
        </w:rPr>
        <w:t>. To vote at the meeting, visit</w:t>
      </w:r>
      <w:r>
        <w:rPr>
          <w:rFonts w:ascii="Arial" w:cs="Arial" w:eastAsia="Arial" w:hAnsi="Arial"/>
          <w:sz w:val="16"/>
          <w:szCs w:val="16"/>
          <w:b w:val="1"/>
          <w:bCs w:val="1"/>
          <w:color w:val="auto"/>
        </w:rPr>
        <w:t xml:space="preserve"> www.virtualshareholdermeeting.com/SSTK2025</w:t>
      </w:r>
      <w:r>
        <w:rPr>
          <w:rFonts w:ascii="Arial" w:cs="Arial" w:eastAsia="Arial" w:hAnsi="Arial"/>
          <w:sz w:val="16"/>
          <w:szCs w:val="16"/>
          <w:color w:val="auto"/>
        </w:rPr>
        <w:t>.</w:t>
      </w:r>
    </w:p>
    <w:p>
      <w:pPr>
        <w:jc w:val="center"/>
        <w:ind w:left="40" w:right="120"/>
        <w:spacing w:after="0" w:line="283" w:lineRule="auto"/>
        <w:rPr>
          <w:sz w:val="20"/>
          <w:szCs w:val="20"/>
          <w:color w:val="auto"/>
        </w:rPr>
      </w:pPr>
      <w:r>
        <w:rPr>
          <w:rFonts w:ascii="Arial" w:cs="Arial" w:eastAsia="Arial" w:hAnsi="Arial"/>
          <w:sz w:val="16"/>
          <w:szCs w:val="16"/>
          <w:color w:val="auto"/>
        </w:rPr>
        <w:t>You will need the control number printed on your proxy card or voting instruction form.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49" w:lineRule="exact"/>
        <w:rPr>
          <w:sz w:val="20"/>
          <w:szCs w:val="20"/>
          <w:color w:val="auto"/>
        </w:rPr>
      </w:pPr>
    </w:p>
    <w:p>
      <w:pPr>
        <w:jc w:val="center"/>
        <w:ind w:left="-79"/>
        <w:spacing w:after="0"/>
        <w:rPr>
          <w:sz w:val="20"/>
          <w:szCs w:val="20"/>
          <w:color w:val="auto"/>
        </w:rPr>
      </w:pPr>
      <w:r>
        <w:rPr>
          <w:rFonts w:ascii="Arial" w:cs="Arial" w:eastAsia="Arial" w:hAnsi="Arial"/>
          <w:sz w:val="18"/>
          <w:szCs w:val="18"/>
          <w:b w:val="1"/>
          <w:bCs w:val="1"/>
          <w:color w:val="EF3A35"/>
        </w:rPr>
        <w:t>TELEPHONE</w:t>
      </w:r>
    </w:p>
    <w:p>
      <w:pPr>
        <w:spacing w:after="0" w:line="41" w:lineRule="exact"/>
        <w:rPr>
          <w:sz w:val="20"/>
          <w:szCs w:val="20"/>
          <w:color w:val="auto"/>
        </w:rPr>
      </w:pPr>
    </w:p>
    <w:p>
      <w:pPr>
        <w:ind w:left="80" w:firstLine="38"/>
        <w:spacing w:after="0" w:line="261" w:lineRule="auto"/>
        <w:rPr>
          <w:sz w:val="20"/>
          <w:szCs w:val="20"/>
          <w:color w:val="auto"/>
        </w:rPr>
      </w:pPr>
      <w:r>
        <w:rPr>
          <w:rFonts w:ascii="Arial" w:cs="Arial" w:eastAsia="Arial" w:hAnsi="Arial"/>
          <w:sz w:val="16"/>
          <w:szCs w:val="16"/>
          <w:color w:val="auto"/>
        </w:rPr>
        <w:t>Dial toll-free (</w:t>
      </w:r>
      <w:r>
        <w:rPr>
          <w:rFonts w:ascii="Arial" w:cs="Arial" w:eastAsia="Arial" w:hAnsi="Arial"/>
          <w:sz w:val="16"/>
          <w:szCs w:val="16"/>
          <w:b w:val="1"/>
          <w:bCs w:val="1"/>
          <w:color w:val="auto"/>
        </w:rPr>
        <w:t>1-800-690-6903</w:t>
      </w:r>
      <w:r>
        <w:rPr>
          <w:rFonts w:ascii="Arial" w:cs="Arial" w:eastAsia="Arial" w:hAnsi="Arial"/>
          <w:sz w:val="16"/>
          <w:szCs w:val="16"/>
          <w:color w:val="auto"/>
        </w:rPr>
        <w:t>) in accordance with instructions on your proxy card or the telephone number on your voting instruction form in accordance with instructions on the form. You will need the control number printed on your proxy card or voting instruction form.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49" w:lineRule="exact"/>
        <w:rPr>
          <w:sz w:val="20"/>
          <w:szCs w:val="20"/>
          <w:color w:val="auto"/>
        </w:rPr>
      </w:pPr>
    </w:p>
    <w:p>
      <w:pPr>
        <w:jc w:val="center"/>
        <w:ind w:right="240"/>
        <w:spacing w:after="0"/>
        <w:rPr>
          <w:sz w:val="20"/>
          <w:szCs w:val="20"/>
          <w:color w:val="auto"/>
        </w:rPr>
      </w:pPr>
      <w:r>
        <w:rPr>
          <w:rFonts w:ascii="Arial" w:cs="Arial" w:eastAsia="Arial" w:hAnsi="Arial"/>
          <w:sz w:val="18"/>
          <w:szCs w:val="18"/>
          <w:b w:val="1"/>
          <w:bCs w:val="1"/>
          <w:color w:val="EF3A35"/>
        </w:rPr>
        <w:t>MAIL</w:t>
      </w:r>
    </w:p>
    <w:p>
      <w:pPr>
        <w:spacing w:after="0" w:line="40" w:lineRule="exact"/>
        <w:rPr>
          <w:sz w:val="20"/>
          <w:szCs w:val="20"/>
          <w:color w:val="auto"/>
        </w:rPr>
      </w:pPr>
    </w:p>
    <w:p>
      <w:pPr>
        <w:jc w:val="center"/>
        <w:ind w:left="-39"/>
        <w:spacing w:after="0" w:line="228" w:lineRule="auto"/>
        <w:rPr>
          <w:sz w:val="20"/>
          <w:szCs w:val="20"/>
          <w:color w:val="auto"/>
        </w:rPr>
      </w:pPr>
      <w:r>
        <w:rPr>
          <w:rFonts w:ascii="Arial" w:cs="Arial" w:eastAsia="Arial" w:hAnsi="Arial"/>
          <w:sz w:val="16"/>
          <w:szCs w:val="16"/>
          <w:color w:val="auto"/>
        </w:rPr>
        <w:t>Send your completed and signed proxy card or voting instruction form using the enclosed postage-paid envelope.</w:t>
      </w:r>
    </w:p>
    <w:p>
      <w:pPr>
        <w:spacing w:after="0" w:line="862" w:lineRule="exact"/>
        <w:rPr>
          <w:sz w:val="20"/>
          <w:szCs w:val="20"/>
          <w:color w:val="auto"/>
        </w:rPr>
      </w:pPr>
    </w:p>
    <w:p>
      <w:pPr>
        <w:sectPr>
          <w:pgSz w:w="11900" w:h="16838" w:orient="portrait"/>
          <w:cols w:equalWidth="0" w:num="3">
            <w:col w:w="3740" w:space="140"/>
            <w:col w:w="3380" w:space="280"/>
            <w:col w:w="3680"/>
          </w:cols>
          <w:pgMar w:left="320" w:top="763" w:right="359" w:bottom="1440" w:gutter="0" w:footer="0" w:header="0"/>
          <w:type w:val="continuous"/>
        </w:sectPr>
      </w:pPr>
    </w:p>
    <w:p>
      <w:pPr>
        <w:ind w:left="340"/>
        <w:spacing w:after="0"/>
        <w:rPr>
          <w:sz w:val="20"/>
          <w:szCs w:val="20"/>
          <w:color w:val="auto"/>
        </w:rPr>
      </w:pPr>
      <w:r>
        <w:rPr>
          <w:rFonts w:ascii="Arial" w:cs="Arial" w:eastAsia="Arial" w:hAnsi="Arial"/>
          <w:sz w:val="17"/>
          <w:szCs w:val="17"/>
          <w:color w:val="auto"/>
        </w:rPr>
        <w:t>We first began sending our stockholders the Proxy Materials, and made our proxy materials available, on or about November 20, 2025.</w:t>
      </w:r>
    </w:p>
    <w:p>
      <w:pPr>
        <w:sectPr>
          <w:pgSz w:w="11900" w:h="16838" w:orient="portrait"/>
          <w:cols w:equalWidth="0" w:num="1">
            <w:col w:w="11220"/>
          </w:cols>
          <w:pgMar w:left="320" w:top="763"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11220"/>
          </w:cols>
          <w:pgMar w:left="320" w:top="763" w:right="359" w:bottom="1440" w:gutter="0" w:footer="0" w:header="0"/>
          <w:type w:val="continuous"/>
        </w:sectPr>
      </w:pPr>
    </w:p>
    <w:bookmarkStart w:id="4" w:name="page5"/>
    <w:bookmarkEnd w:id="4"/>
    <w:p>
      <w:pPr>
        <w:spacing w:after="0"/>
        <w:rPr>
          <w:sz w:val="20"/>
          <w:szCs w:val="20"/>
          <w:color w:val="auto"/>
        </w:rPr>
      </w:pPr>
      <w:r>
        <w:rPr>
          <w:rFonts w:ascii="Arial" w:cs="Arial" w:eastAsia="Arial" w:hAnsi="Arial"/>
          <w:sz w:val="22"/>
          <w:szCs w:val="22"/>
          <w:b w:val="1"/>
          <w:bCs w:val="1"/>
          <w:color w:val="EF3A35"/>
        </w:rPr>
        <w:t>PROPOSALS AT THE 2025 ANNUAL MEETING</w:t>
      </w:r>
    </w:p>
    <w:p>
      <w:pPr>
        <w:spacing w:after="0" w:line="162" w:lineRule="exact"/>
        <w:rPr>
          <w:sz w:val="20"/>
          <w:szCs w:val="20"/>
          <w:color w:val="auto"/>
        </w:rPr>
      </w:pPr>
    </w:p>
    <w:p>
      <w:pPr>
        <w:ind w:left="20"/>
        <w:spacing w:after="0"/>
        <w:tabs>
          <w:tab w:leader="none" w:pos="1760" w:val="left"/>
        </w:tabs>
        <w:rPr>
          <w:sz w:val="20"/>
          <w:szCs w:val="20"/>
          <w:color w:val="auto"/>
        </w:rPr>
      </w:pPr>
      <w:r>
        <w:rPr>
          <w:rFonts w:ascii="Arial" w:cs="Arial" w:eastAsia="Arial" w:hAnsi="Arial"/>
          <w:sz w:val="18"/>
          <w:szCs w:val="18"/>
          <w:b w:val="1"/>
          <w:bCs w:val="1"/>
          <w:color w:val="EF3A35"/>
        </w:rPr>
        <w:t>PROPOSAL #1</w:t>
      </w:r>
      <w:r>
        <w:rPr>
          <w:sz w:val="20"/>
          <w:szCs w:val="20"/>
          <w:color w:val="auto"/>
        </w:rPr>
        <w:tab/>
      </w:r>
      <w:r>
        <w:rPr>
          <w:rFonts w:ascii="Arial" w:cs="Arial" w:eastAsia="Arial" w:hAnsi="Arial"/>
          <w:sz w:val="18"/>
          <w:szCs w:val="18"/>
          <w:color w:val="auto"/>
        </w:rPr>
        <w:t>Election of each of Jonathan Oringer, Rachna Bhasin and Jaime Teevan to the Board, each to serve as a Class I</w:t>
      </w:r>
    </w:p>
    <w:p>
      <w:pPr>
        <w:spacing w:after="0" w:line="27" w:lineRule="exact"/>
        <w:rPr>
          <w:sz w:val="20"/>
          <w:szCs w:val="20"/>
          <w:color w:val="auto"/>
        </w:rPr>
      </w:pPr>
    </w:p>
    <w:p>
      <w:pPr>
        <w:ind w:left="1780" w:hanging="1759"/>
        <w:spacing w:after="0" w:line="266" w:lineRule="auto"/>
        <w:tabs>
          <w:tab w:leader="none" w:pos="1760" w:val="left"/>
        </w:tabs>
        <w:rPr>
          <w:sz w:val="20"/>
          <w:szCs w:val="20"/>
          <w:color w:val="auto"/>
        </w:rPr>
      </w:pPr>
      <w:r>
        <w:rPr>
          <w:rFonts w:ascii="Arial" w:cs="Arial" w:eastAsia="Arial" w:hAnsi="Arial"/>
          <w:sz w:val="18"/>
          <w:szCs w:val="18"/>
          <w:b w:val="1"/>
          <w:bCs w:val="1"/>
          <w:color w:val="EF3A35"/>
        </w:rPr>
        <w:t>Directors</w:t>
      </w:r>
      <w:r>
        <w:rPr>
          <w:sz w:val="20"/>
          <w:szCs w:val="20"/>
          <w:color w:val="auto"/>
        </w:rPr>
        <w:tab/>
      </w:r>
      <w:r>
        <w:rPr>
          <w:rFonts w:ascii="Arial" w:cs="Arial" w:eastAsia="Arial" w:hAnsi="Arial"/>
          <w:sz w:val="18"/>
          <w:szCs w:val="18"/>
          <w:color w:val="auto"/>
        </w:rPr>
        <w:t>director for a three-year term ending at the 2028 Annual Meeting of Stockholders or until such director’s successor has been duly elected or appointed and qualified, or until such director’s earlier resignation or removal (Proposal 1).</w:t>
      </w:r>
    </w:p>
    <w:p>
      <w:pPr>
        <w:spacing w:after="0" w:line="198"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As requested by Getty Images, the Company has agreed to use reasonable best efforts to cause to be delivered to</w:t>
      </w:r>
    </w:p>
    <w:p>
      <w:pPr>
        <w:spacing w:after="0" w:line="27"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Getty Images prior to the closing of the Merger, resignations executed by directors and officers of Shutterstock and its</w:t>
      </w:r>
    </w:p>
    <w:p>
      <w:pPr>
        <w:spacing w:after="0" w:line="9"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subsidiaries, in each case to be effective upon the effective time of the Merger. Following the Merger, the Getty</w:t>
      </w:r>
    </w:p>
    <w:p>
      <w:pPr>
        <w:spacing w:after="0" w:line="9"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Images board will have eleven members, consisting of the Chief Executive Officer of Getty Images, six directors to be</w:t>
      </w:r>
    </w:p>
    <w:p>
      <w:pPr>
        <w:spacing w:after="0" w:line="9"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designated by Getty Images from among the directors serving on the Getty Images board as of immediately prior to</w:t>
      </w:r>
    </w:p>
    <w:p>
      <w:pPr>
        <w:spacing w:after="0" w:line="9"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the Merger and four directors to be designated by Shutterstock from among the directors serving on the Shutterstock</w:t>
      </w:r>
    </w:p>
    <w:p>
      <w:pPr>
        <w:spacing w:after="0" w:line="9"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board as of immediately prior to the Merger. Paul J. Hennessy is expected to be appointed to serve as one of the</w:t>
      </w:r>
    </w:p>
    <w:p>
      <w:pPr>
        <w:spacing w:after="0" w:line="9"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members of the Getty Images board, and the other three directors to be designated by Shutterstock have not yet been</w:t>
      </w:r>
    </w:p>
    <w:p>
      <w:pPr>
        <w:spacing w:after="0" w:line="9"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determined as of the date of this Proxy Statement.</w:t>
      </w:r>
    </w:p>
    <w:p>
      <w:pPr>
        <w:spacing w:after="0" w:line="250" w:lineRule="exact"/>
        <w:rPr>
          <w:sz w:val="20"/>
          <w:szCs w:val="20"/>
          <w:color w:val="auto"/>
        </w:rPr>
      </w:pPr>
    </w:p>
    <w:p>
      <w:pPr>
        <w:ind w:left="1780"/>
        <w:spacing w:after="0"/>
        <w:rPr>
          <w:sz w:val="20"/>
          <w:szCs w:val="20"/>
          <w:color w:val="auto"/>
        </w:rPr>
      </w:pPr>
      <w:r>
        <w:rPr>
          <w:sz w:val="1"/>
          <w:szCs w:val="1"/>
          <w:color w:val="auto"/>
        </w:rPr>
        <w:drawing>
          <wp:inline distT="0" distB="0" distL="0" distR="0">
            <wp:extent cx="85725" cy="7747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5725" cy="77470"/>
                    </a:xfrm>
                    <a:prstGeom prst="rect">
                      <a:avLst/>
                    </a:prstGeom>
                    <a:noFill/>
                    <a:ln>
                      <a:noFill/>
                    </a:ln>
                  </pic:spPr>
                </pic:pic>
              </a:graphicData>
            </a:graphic>
          </wp:inline>
        </w:drawing>
      </w:r>
      <w:r>
        <w:rPr>
          <w:rFonts w:ascii="Arial" w:cs="Arial" w:eastAsia="Arial" w:hAnsi="Arial"/>
          <w:sz w:val="18"/>
          <w:szCs w:val="18"/>
          <w:i w:val="1"/>
          <w:iCs w:val="1"/>
          <w:color w:val="auto"/>
        </w:rPr>
        <w:t>Our Board unanimously recommends that you vote “FOR ALL” of the director nominees.</w:t>
      </w:r>
    </w:p>
    <w:p>
      <w:pPr>
        <w:spacing w:after="0" w:line="304" w:lineRule="exact"/>
        <w:rPr>
          <w:sz w:val="20"/>
          <w:szCs w:val="20"/>
          <w:color w:val="auto"/>
        </w:rPr>
      </w:pPr>
    </w:p>
    <w:p>
      <w:pPr>
        <w:ind w:left="20"/>
        <w:spacing w:after="0"/>
        <w:tabs>
          <w:tab w:leader="none" w:pos="1760" w:val="left"/>
        </w:tabs>
        <w:rPr>
          <w:sz w:val="20"/>
          <w:szCs w:val="20"/>
          <w:color w:val="auto"/>
        </w:rPr>
      </w:pPr>
      <w:r>
        <w:rPr>
          <w:rFonts w:ascii="Arial" w:cs="Arial" w:eastAsia="Arial" w:hAnsi="Arial"/>
          <w:sz w:val="18"/>
          <w:szCs w:val="18"/>
          <w:b w:val="1"/>
          <w:bCs w:val="1"/>
          <w:color w:val="EF3A35"/>
        </w:rPr>
        <w:t>PROPOSAL #2</w:t>
      </w:r>
      <w:r>
        <w:rPr>
          <w:sz w:val="20"/>
          <w:szCs w:val="20"/>
          <w:color w:val="auto"/>
        </w:rPr>
        <w:tab/>
      </w:r>
      <w:r>
        <w:rPr>
          <w:rFonts w:ascii="Arial" w:cs="Arial" w:eastAsia="Arial" w:hAnsi="Arial"/>
          <w:sz w:val="18"/>
          <w:szCs w:val="18"/>
          <w:color w:val="auto"/>
        </w:rPr>
        <w:t>Approval, on an advisory basis, of the compensation of our named executive officers, as disclosed in this Proxy</w:t>
      </w:r>
    </w:p>
    <w:p>
      <w:pPr>
        <w:spacing w:after="0" w:line="27" w:lineRule="exact"/>
        <w:rPr>
          <w:sz w:val="20"/>
          <w:szCs w:val="20"/>
          <w:color w:val="auto"/>
        </w:rPr>
      </w:pPr>
    </w:p>
    <w:p>
      <w:pPr>
        <w:ind w:left="20"/>
        <w:spacing w:after="0"/>
        <w:tabs>
          <w:tab w:leader="none" w:pos="1760" w:val="left"/>
        </w:tabs>
        <w:rPr>
          <w:sz w:val="20"/>
          <w:szCs w:val="20"/>
          <w:color w:val="auto"/>
        </w:rPr>
      </w:pPr>
      <w:r>
        <w:rPr>
          <w:rFonts w:ascii="Arial" w:cs="Arial" w:eastAsia="Arial" w:hAnsi="Arial"/>
          <w:sz w:val="18"/>
          <w:szCs w:val="18"/>
          <w:b w:val="1"/>
          <w:bCs w:val="1"/>
          <w:color w:val="EF3A35"/>
        </w:rPr>
        <w:t>Say-On-Pay</w:t>
      </w:r>
      <w:r>
        <w:rPr>
          <w:sz w:val="20"/>
          <w:szCs w:val="20"/>
          <w:color w:val="auto"/>
        </w:rPr>
        <w:tab/>
      </w:r>
      <w:r>
        <w:rPr>
          <w:rFonts w:ascii="Arial" w:cs="Arial" w:eastAsia="Arial" w:hAnsi="Arial"/>
          <w:sz w:val="17"/>
          <w:szCs w:val="17"/>
          <w:color w:val="auto"/>
        </w:rPr>
        <w:t>Statement (“say-on-pay”) (Proposal 2).</w:t>
      </w:r>
    </w:p>
    <w:p>
      <w:pPr>
        <w:spacing w:after="0" w:line="334" w:lineRule="exact"/>
        <w:rPr>
          <w:sz w:val="20"/>
          <w:szCs w:val="20"/>
          <w:color w:val="auto"/>
        </w:rPr>
      </w:pPr>
    </w:p>
    <w:p>
      <w:pPr>
        <w:ind w:left="1780" w:right="20" w:hanging="4"/>
        <w:spacing w:after="0" w:line="296" w:lineRule="auto"/>
        <w:rPr>
          <w:sz w:val="20"/>
          <w:szCs w:val="20"/>
          <w:color w:val="auto"/>
        </w:rPr>
      </w:pPr>
      <w:r>
        <w:rPr>
          <w:sz w:val="1"/>
          <w:szCs w:val="1"/>
          <w:color w:val="auto"/>
        </w:rPr>
        <w:drawing>
          <wp:inline distT="0" distB="0" distL="0" distR="0">
            <wp:extent cx="85725" cy="8572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5725" cy="85725"/>
                    </a:xfrm>
                    <a:prstGeom prst="rect">
                      <a:avLst/>
                    </a:prstGeom>
                    <a:noFill/>
                    <a:ln>
                      <a:noFill/>
                    </a:ln>
                  </pic:spPr>
                </pic:pic>
              </a:graphicData>
            </a:graphic>
          </wp:inline>
        </w:drawing>
      </w:r>
      <w:r>
        <w:rPr>
          <w:rFonts w:ascii="Arial" w:cs="Arial" w:eastAsia="Arial" w:hAnsi="Arial"/>
          <w:sz w:val="18"/>
          <w:szCs w:val="18"/>
          <w:i w:val="1"/>
          <w:iCs w:val="1"/>
          <w:color w:val="auto"/>
        </w:rPr>
        <w:t>Our Board unanimously recommends that you vote “FOR” approval, on a non-binding, advisory basis, of the compensation of our named executive officers.</w:t>
      </w:r>
    </w:p>
    <w:p>
      <w:pPr>
        <w:spacing w:after="0" w:line="254" w:lineRule="exact"/>
        <w:rPr>
          <w:sz w:val="20"/>
          <w:szCs w:val="20"/>
          <w:color w:val="auto"/>
        </w:rPr>
      </w:pPr>
    </w:p>
    <w:p>
      <w:pPr>
        <w:ind w:left="20"/>
        <w:spacing w:after="0" w:line="296" w:lineRule="auto"/>
        <w:rPr>
          <w:sz w:val="20"/>
          <w:szCs w:val="20"/>
          <w:color w:val="auto"/>
        </w:rPr>
      </w:pPr>
      <w:r>
        <w:rPr>
          <w:rFonts w:ascii="Arial" w:cs="Arial" w:eastAsia="Arial" w:hAnsi="Arial"/>
          <w:sz w:val="18"/>
          <w:szCs w:val="18"/>
          <w:b w:val="1"/>
          <w:bCs w:val="1"/>
          <w:color w:val="EF3A35"/>
        </w:rPr>
        <w:t xml:space="preserve">PROPOSAL #3 </w:t>
      </w:r>
      <w:r>
        <w:rPr>
          <w:rFonts w:ascii="Arial" w:cs="Arial" w:eastAsia="Arial" w:hAnsi="Arial"/>
          <w:sz w:val="18"/>
          <w:szCs w:val="18"/>
          <w:color w:val="000000"/>
        </w:rPr>
        <w:t>Ratification of the appointment of PricewaterhouseCoopers LLP as our independent registered public accounting firm</w:t>
      </w:r>
      <w:r>
        <w:rPr>
          <w:rFonts w:ascii="Arial" w:cs="Arial" w:eastAsia="Arial" w:hAnsi="Arial"/>
          <w:sz w:val="18"/>
          <w:szCs w:val="18"/>
          <w:b w:val="1"/>
          <w:bCs w:val="1"/>
          <w:color w:val="EF3A35"/>
        </w:rPr>
        <w:t xml:space="preserve"> Auditor Ratification </w:t>
      </w:r>
      <w:r>
        <w:rPr>
          <w:rFonts w:ascii="Arial" w:cs="Arial" w:eastAsia="Arial" w:hAnsi="Arial"/>
          <w:sz w:val="18"/>
          <w:szCs w:val="18"/>
          <w:color w:val="000000"/>
        </w:rPr>
        <w:t>for the fiscal year ending December 31, 2025 (Proposal 3).</w:t>
      </w:r>
    </w:p>
    <w:p>
      <w:pPr>
        <w:spacing w:after="0" w:line="264" w:lineRule="exact"/>
        <w:rPr>
          <w:sz w:val="20"/>
          <w:szCs w:val="20"/>
          <w:color w:val="auto"/>
        </w:rPr>
      </w:pPr>
    </w:p>
    <w:p>
      <w:pPr>
        <w:ind w:left="1780" w:right="20" w:hanging="4"/>
        <w:spacing w:after="0" w:line="285" w:lineRule="auto"/>
        <w:rPr>
          <w:sz w:val="20"/>
          <w:szCs w:val="20"/>
          <w:color w:val="auto"/>
        </w:rPr>
      </w:pPr>
      <w:r>
        <w:rPr>
          <w:sz w:val="1"/>
          <w:szCs w:val="1"/>
          <w:color w:val="auto"/>
        </w:rPr>
        <w:drawing>
          <wp:inline distT="0" distB="0" distL="0" distR="0">
            <wp:extent cx="85725" cy="8572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5725" cy="85725"/>
                    </a:xfrm>
                    <a:prstGeom prst="rect">
                      <a:avLst/>
                    </a:prstGeom>
                    <a:noFill/>
                    <a:ln>
                      <a:noFill/>
                    </a:ln>
                  </pic:spPr>
                </pic:pic>
              </a:graphicData>
            </a:graphic>
          </wp:inline>
        </w:drawing>
      </w:r>
      <w:r>
        <w:rPr>
          <w:rFonts w:ascii="Arial" w:cs="Arial" w:eastAsia="Arial" w:hAnsi="Arial"/>
          <w:sz w:val="18"/>
          <w:szCs w:val="18"/>
          <w:i w:val="1"/>
          <w:iCs w:val="1"/>
          <w:color w:val="auto"/>
        </w:rPr>
        <w:t>Our</w:t>
      </w:r>
      <w:r>
        <w:rPr>
          <w:sz w:val="20"/>
          <w:szCs w:val="20"/>
          <w:color w:val="auto"/>
        </w:rPr>
        <w:t xml:space="preserve"> </w:t>
      </w:r>
      <w:r>
        <w:rPr>
          <w:rFonts w:ascii="Arial" w:cs="Arial" w:eastAsia="Arial" w:hAnsi="Arial"/>
          <w:sz w:val="18"/>
          <w:szCs w:val="18"/>
          <w:i w:val="1"/>
          <w:iCs w:val="1"/>
          <w:color w:val="auto"/>
        </w:rPr>
        <w:t>Board unanimously recommends that you vote “FOR” ratification of the appointment of PricewaterhouseCoopers LLP as our independent registered public accounting firm.</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FF0000"/>
        </w:rPr>
        <w:t>2024 Business Highlights</w:t>
      </w:r>
      <w:r>
        <w:rPr>
          <w:rFonts w:ascii="Arial" w:cs="Arial" w:eastAsia="Arial" w:hAnsi="Arial"/>
          <w:sz w:val="23"/>
          <w:szCs w:val="23"/>
          <w:b w:val="1"/>
          <w:bCs w:val="1"/>
          <w:color w:val="FF0000"/>
          <w:vertAlign w:val="superscript"/>
        </w:rPr>
        <w:t>(1)</w:t>
      </w:r>
    </w:p>
    <w:p>
      <w:pPr>
        <w:spacing w:after="0" w:line="64" w:lineRule="exact"/>
        <w:rPr>
          <w:sz w:val="20"/>
          <w:szCs w:val="20"/>
          <w:color w:val="auto"/>
        </w:rPr>
      </w:pPr>
    </w:p>
    <w:p>
      <w:pPr>
        <w:ind w:right="160" w:firstLine="324"/>
        <w:spacing w:after="0" w:line="263" w:lineRule="auto"/>
        <w:rPr>
          <w:sz w:val="20"/>
          <w:szCs w:val="20"/>
          <w:color w:val="auto"/>
        </w:rPr>
      </w:pPr>
      <w:r>
        <w:rPr>
          <w:rFonts w:ascii="Arial" w:cs="Arial" w:eastAsia="Arial" w:hAnsi="Arial"/>
          <w:sz w:val="18"/>
          <w:szCs w:val="18"/>
          <w:color w:val="auto"/>
        </w:rPr>
        <w:t>Over 4.0 million active, paying customers contributed to our revenue in 2024. Our contributors made their images, footage and music tracks available in our collection, which has grown to 800 million images and 59 million footage clips as of December 31, 2024. This makes our collection of content one of the largest of its kind, and we delivered 134.3 million paid downloads to our customers across our brands during the year ended December 31, 2024. The highlights of our 2024 performance versus 2023 performance</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include:</w:t>
      </w:r>
    </w:p>
    <w:p>
      <w:pPr>
        <w:spacing w:after="0" w:line="2"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Revenue increased 7% to $935.3 million</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Income from operations was $68.7 million, essentially flat</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income decreased 67% to $35.9 million</w:t>
      </w:r>
    </w:p>
    <w:p>
      <w:pPr>
        <w:spacing w:after="0" w:line="6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Adjusted EBITDA increased 3% to $247.1 million</w:t>
      </w:r>
      <w:r>
        <w:rPr>
          <w:rFonts w:ascii="Arial" w:cs="Arial" w:eastAsia="Arial" w:hAnsi="Arial"/>
          <w:sz w:val="23"/>
          <w:szCs w:val="23"/>
          <w:color w:val="auto"/>
          <w:vertAlign w:val="superscript"/>
        </w:rPr>
        <w:t>(2)</w:t>
      </w:r>
    </w:p>
    <w:p>
      <w:pPr>
        <w:spacing w:after="0" w:line="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Operating cash flows decreased $107.9 million to $32.6 million</w:t>
      </w:r>
      <w:r>
        <w:rPr>
          <w:rFonts w:ascii="Arial" w:cs="Arial" w:eastAsia="Arial" w:hAnsi="Arial"/>
          <w:sz w:val="23"/>
          <w:szCs w:val="23"/>
          <w:color w:val="auto"/>
          <w:vertAlign w:val="superscript"/>
        </w:rPr>
        <w:t>(2)</w:t>
      </w:r>
    </w:p>
    <w:p>
      <w:pPr>
        <w:spacing w:after="0" w:line="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Adjusted free cash flow decreased $29.8 million to $108.7 million</w:t>
      </w:r>
      <w:r>
        <w:rPr>
          <w:rFonts w:ascii="Arial" w:cs="Arial" w:eastAsia="Arial" w:hAnsi="Arial"/>
          <w:sz w:val="23"/>
          <w:szCs w:val="23"/>
          <w:color w:val="auto"/>
          <w:vertAlign w:val="superscript"/>
        </w:rPr>
        <w:t>(2)</w:t>
      </w:r>
    </w:p>
    <w:p>
      <w:pPr>
        <w:spacing w:after="0" w:line="78" w:lineRule="exact"/>
        <w:rPr>
          <w:sz w:val="20"/>
          <w:szCs w:val="20"/>
          <w:color w:val="auto"/>
        </w:rPr>
      </w:pPr>
    </w:p>
    <w:p>
      <w:pPr>
        <w:ind w:left="580" w:right="140" w:hanging="329"/>
        <w:spacing w:after="0" w:line="276" w:lineRule="auto"/>
        <w:tabs>
          <w:tab w:leader="none" w:pos="631" w:val="left"/>
        </w:tabs>
        <w:numPr>
          <w:ilvl w:val="0"/>
          <w:numId w:val="4"/>
        </w:numPr>
        <w:rPr>
          <w:rFonts w:ascii="Arial" w:cs="Arial" w:eastAsia="Arial" w:hAnsi="Arial"/>
          <w:sz w:val="14"/>
          <w:szCs w:val="14"/>
          <w:color w:val="auto"/>
        </w:rPr>
      </w:pPr>
      <w:r>
        <w:rPr>
          <w:rFonts w:ascii="Arial" w:cs="Arial" w:eastAsia="Arial" w:hAnsi="Arial"/>
          <w:sz w:val="14"/>
          <w:szCs w:val="14"/>
          <w:color w:val="auto"/>
        </w:rPr>
        <w:t>For additional information regarding our financial results, please see the Original Form 10-K, including “Item 7. Management’s Discussion and Analysis of Financial Condition and Results of Operations.” For a description of our key metrics, including number of subscribers, subscriber revenue, average revenue per customer, paid downloads, revenue per download and content in our collection, see “Key Operating Metrics” within “Item 7. Management’s Discussion and Analysis of Financial Condition and Results of Operations” in the Original Form 10-K.</w:t>
      </w:r>
    </w:p>
    <w:p>
      <w:pPr>
        <w:spacing w:after="0" w:line="15" w:lineRule="exact"/>
        <w:rPr>
          <w:rFonts w:ascii="Arial" w:cs="Arial" w:eastAsia="Arial" w:hAnsi="Arial"/>
          <w:sz w:val="14"/>
          <w:szCs w:val="14"/>
          <w:color w:val="auto"/>
        </w:rPr>
      </w:pPr>
    </w:p>
    <w:p>
      <w:pPr>
        <w:ind w:left="580" w:hanging="329"/>
        <w:spacing w:after="0"/>
        <w:tabs>
          <w:tab w:leader="none" w:pos="580" w:val="left"/>
        </w:tabs>
        <w:numPr>
          <w:ilvl w:val="0"/>
          <w:numId w:val="4"/>
        </w:numPr>
        <w:rPr>
          <w:rFonts w:ascii="Arial" w:cs="Arial" w:eastAsia="Arial" w:hAnsi="Arial"/>
          <w:sz w:val="14"/>
          <w:szCs w:val="14"/>
          <w:color w:val="auto"/>
        </w:rPr>
      </w:pPr>
      <w:r>
        <w:rPr>
          <w:rFonts w:ascii="Arial" w:cs="Arial" w:eastAsia="Arial" w:hAnsi="Arial"/>
          <w:sz w:val="14"/>
          <w:szCs w:val="14"/>
          <w:color w:val="auto"/>
        </w:rPr>
        <w:t>For a discussion regarding, and reconciliation of, our non-GAAP to GAAP financial measures, please see Annex A.</w:t>
      </w:r>
    </w:p>
    <w:p>
      <w:pPr>
        <w:spacing w:after="0" w:line="113" w:lineRule="exact"/>
        <w:rPr>
          <w:sz w:val="20"/>
          <w:szCs w:val="20"/>
          <w:color w:val="auto"/>
        </w:rPr>
      </w:pPr>
    </w:p>
    <w:p>
      <w:pPr>
        <w:ind w:right="220" w:firstLine="324"/>
        <w:spacing w:after="0" w:line="262" w:lineRule="auto"/>
        <w:rPr>
          <w:sz w:val="20"/>
          <w:szCs w:val="20"/>
          <w:color w:val="auto"/>
        </w:rPr>
      </w:pPr>
      <w:r>
        <w:rPr>
          <w:rFonts w:ascii="Arial" w:cs="Arial" w:eastAsia="Arial" w:hAnsi="Arial"/>
          <w:sz w:val="18"/>
          <w:szCs w:val="18"/>
          <w:color w:val="auto"/>
        </w:rPr>
        <w:t>At our 2024 Annual Meeting, approximately 94.8% of the votes cast by stockholders on the advisory vote on executive compensation were in favor of the compensation of our named executive officers. The Board and Compensation Committee reviewed these final vote results and determined that, given the significant level of support of our approach to compensation by our stockholders, stockholders were not demanding significant changes to our executive compensation policies.</w:t>
      </w:r>
    </w:p>
    <w:p>
      <w:pPr>
        <w:sectPr>
          <w:pgSz w:w="11900" w:h="16838" w:orient="portrait"/>
          <w:cols w:equalWidth="0" w:num="1">
            <w:col w:w="11200"/>
          </w:cols>
          <w:pgMar w:left="320" w:top="881"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11200"/>
          </w:cols>
          <w:pgMar w:left="320" w:top="881" w:right="37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8"/>
          <w:szCs w:val="18"/>
          <w:b w:val="1"/>
          <w:bCs w:val="1"/>
          <w:color w:val="EF3A35"/>
        </w:rPr>
        <w:t>Pending Merger with Getty Images</w:t>
      </w:r>
    </w:p>
    <w:p>
      <w:pPr>
        <w:spacing w:after="0" w:line="117"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As previously disclosed, on January 6, 2025, the Company entered into the Merger Agreement to combine in a merger-of-equals transaction with Getty Images. A majority of Shutterstock stockholders approved the adoption of the Merger Agreement at a special meeting of stockholders held on June 10, 2025. The Merger is subject to the satisfaction of customary closing conditions, including receipt of required regulatory approvals. Subject to the satisfaction of the closing conditions, upon closing of the Merger, Shutterstock’s common stock will be delisted from the NYSE and deregistered under the Securities Exchange Act of 1934, as amended. For additional information related to the Merger, please refer to the Information Statement and Proxy Statement/Prospectus and our other filings with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80"/>
          </w:cols>
          <w:pgMar w:left="320" w:top="877" w:right="399" w:bottom="1440" w:gutter="0" w:footer="0" w:header="0"/>
        </w:sectPr>
      </w:pPr>
    </w:p>
    <w:bookmarkStart w:id="6" w:name="page7"/>
    <w:bookmarkEnd w:id="6"/>
    <w:p>
      <w:pPr>
        <w:ind w:left="4260"/>
        <w:spacing w:after="0"/>
        <w:rPr>
          <w:sz w:val="20"/>
          <w:szCs w:val="20"/>
          <w:color w:val="auto"/>
        </w:rPr>
      </w:pPr>
      <w:r>
        <w:rPr>
          <w:rFonts w:ascii="Arial" w:cs="Arial" w:eastAsia="Arial" w:hAnsi="Arial"/>
          <w:sz w:val="25"/>
          <w:szCs w:val="25"/>
          <w:b w:val="1"/>
          <w:bCs w:val="1"/>
          <w:color w:val="EF3A35"/>
        </w:rPr>
        <w:t>TABLE OF CONTENTS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80" w:type="dxa"/>
            <w:vAlign w:val="bottom"/>
            <w:tcBorders>
              <w:bottom w:val="single" w:sz="8" w:color="0000FF"/>
            </w:tcBorders>
            <w:gridSpan w:val="23"/>
          </w:tcPr>
          <w:p>
            <w:pPr>
              <w:spacing w:after="0"/>
              <w:rPr>
                <w:sz w:val="20"/>
                <w:szCs w:val="20"/>
                <w:color w:val="auto"/>
              </w:rPr>
            </w:pPr>
            <w:r>
              <w:rPr>
                <w:rFonts w:ascii="Arial" w:cs="Arial" w:eastAsia="Arial" w:hAnsi="Arial"/>
                <w:sz w:val="18"/>
                <w:szCs w:val="18"/>
                <w:color w:val="0000FF"/>
                <w:w w:val="99"/>
              </w:rPr>
              <w:t>DIRECTORS, EXECUTIVE OFFICERS AND CORPORATE GOVERNANCE</w:t>
            </w:r>
          </w:p>
        </w:tc>
        <w:tc>
          <w:tcPr>
            <w:tcW w:w="3400" w:type="dxa"/>
            <w:vAlign w:val="bottom"/>
            <w:gridSpan w:val="6"/>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79"/>
              </w:rPr>
              <w:t>8</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600" w:type="dxa"/>
            <w:vAlign w:val="bottom"/>
            <w:tcBorders>
              <w:bottom w:val="single" w:sz="8" w:color="0000FF"/>
            </w:tcBorders>
            <w:gridSpan w:val="10"/>
          </w:tcPr>
          <w:p>
            <w:pPr>
              <w:spacing w:after="0"/>
              <w:rPr>
                <w:sz w:val="20"/>
                <w:szCs w:val="20"/>
                <w:color w:val="auto"/>
              </w:rPr>
            </w:pPr>
            <w:r>
              <w:rPr>
                <w:rFonts w:ascii="Arial" w:cs="Arial" w:eastAsia="Arial" w:hAnsi="Arial"/>
                <w:sz w:val="18"/>
                <w:szCs w:val="18"/>
                <w:color w:val="0000FF"/>
                <w:w w:val="99"/>
              </w:rPr>
              <w:t>Directors and Executive Officers</w:t>
            </w:r>
          </w:p>
        </w:tc>
        <w:tc>
          <w:tcPr>
            <w:tcW w:w="6880" w:type="dxa"/>
            <w:vAlign w:val="bottom"/>
            <w:gridSpan w:val="19"/>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79"/>
              </w:rPr>
              <w:t>8</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9480" w:type="dxa"/>
            <w:vAlign w:val="bottom"/>
            <w:gridSpan w:val="29"/>
          </w:tcPr>
          <w:p>
            <w:pPr>
              <w:spacing w:after="0"/>
              <w:rPr>
                <w:sz w:val="20"/>
                <w:szCs w:val="20"/>
                <w:color w:val="auto"/>
              </w:rPr>
            </w:pPr>
            <w:r>
              <w:rPr>
                <w:rFonts w:ascii="Arial" w:cs="Arial" w:eastAsia="Arial" w:hAnsi="Arial"/>
                <w:sz w:val="18"/>
                <w:szCs w:val="18"/>
                <w:color w:val="0000FF"/>
              </w:rPr>
              <w:t>Board Structure, Director Nominations and Qualifications</w:t>
            </w:r>
          </w:p>
        </w:tc>
        <w:tc>
          <w:tcPr>
            <w:tcW w:w="720" w:type="dxa"/>
            <w:vAlign w:val="bottom"/>
            <w:gridSpan w:val="4"/>
          </w:tcPr>
          <w:p>
            <w:pPr>
              <w:ind w:left="440"/>
              <w:spacing w:after="0"/>
              <w:rPr>
                <w:sz w:val="20"/>
                <w:szCs w:val="20"/>
                <w:color w:val="auto"/>
              </w:rPr>
            </w:pPr>
            <w:r>
              <w:rPr>
                <w:rFonts w:ascii="Arial" w:cs="Arial" w:eastAsia="Arial" w:hAnsi="Arial"/>
                <w:sz w:val="18"/>
                <w:szCs w:val="18"/>
                <w:color w:val="0000FF"/>
              </w:rPr>
              <w:t>10</w:t>
            </w:r>
          </w:p>
        </w:tc>
        <w:tc>
          <w:tcPr>
            <w:tcW w:w="0" w:type="dxa"/>
            <w:vAlign w:val="bottom"/>
          </w:tcPr>
          <w:p>
            <w:pPr>
              <w:spacing w:after="0"/>
              <w:rPr>
                <w:sz w:val="1"/>
                <w:szCs w:val="1"/>
                <w:color w:val="auto"/>
              </w:rPr>
            </w:pPr>
          </w:p>
        </w:tc>
      </w:tr>
      <w:tr>
        <w:trPr>
          <w:trHeight w:val="250"/>
        </w:trPr>
        <w:tc>
          <w:tcPr>
            <w:tcW w:w="4520" w:type="dxa"/>
            <w:vAlign w:val="bottom"/>
            <w:tcBorders>
              <w:top w:val="single" w:sz="8" w:color="0000FF"/>
            </w:tcBorders>
            <w:gridSpan w:val="20"/>
          </w:tcPr>
          <w:p>
            <w:pPr>
              <w:spacing w:after="0"/>
              <w:rPr>
                <w:sz w:val="20"/>
                <w:szCs w:val="20"/>
                <w:color w:val="auto"/>
              </w:rPr>
            </w:pPr>
            <w:r>
              <w:rPr>
                <w:rFonts w:ascii="Arial" w:cs="Arial" w:eastAsia="Arial" w:hAnsi="Arial"/>
                <w:sz w:val="18"/>
                <w:szCs w:val="18"/>
                <w:color w:val="0000FF"/>
              </w:rPr>
              <w:t>Corporate Governance and Board Matters</w:t>
            </w:r>
          </w:p>
        </w:tc>
        <w:tc>
          <w:tcPr>
            <w:tcW w:w="4960" w:type="dxa"/>
            <w:vAlign w:val="bottom"/>
            <w:gridSpan w:val="9"/>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Borders>
              <w:top w:val="single" w:sz="8" w:color="0000FF"/>
            </w:tcBorders>
            <w:gridSpan w:val="2"/>
          </w:tcPr>
          <w:p>
            <w:pPr>
              <w:spacing w:after="0"/>
              <w:rPr>
                <w:sz w:val="20"/>
                <w:szCs w:val="20"/>
                <w:color w:val="auto"/>
              </w:rPr>
            </w:pPr>
            <w:r>
              <w:rPr>
                <w:rFonts w:ascii="Arial" w:cs="Arial" w:eastAsia="Arial" w:hAnsi="Arial"/>
                <w:sz w:val="18"/>
                <w:szCs w:val="18"/>
                <w:color w:val="0000FF"/>
                <w:w w:val="89"/>
              </w:rPr>
              <w:t>11</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9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480" w:type="dxa"/>
            <w:vAlign w:val="bottom"/>
            <w:gridSpan w:val="29"/>
          </w:tcPr>
          <w:p>
            <w:pPr>
              <w:spacing w:after="0"/>
              <w:rPr>
                <w:sz w:val="20"/>
                <w:szCs w:val="20"/>
                <w:color w:val="auto"/>
              </w:rPr>
            </w:pPr>
            <w:r>
              <w:rPr>
                <w:rFonts w:ascii="Arial" w:cs="Arial" w:eastAsia="Arial" w:hAnsi="Arial"/>
                <w:sz w:val="18"/>
                <w:szCs w:val="18"/>
                <w:color w:val="0000FF"/>
              </w:rPr>
              <w:t>PROPOSAL ONE: ELECTION OF DIRECTORS</w:t>
            </w:r>
          </w:p>
        </w:tc>
        <w:tc>
          <w:tcPr>
            <w:tcW w:w="720" w:type="dxa"/>
            <w:vAlign w:val="bottom"/>
            <w:gridSpan w:val="4"/>
          </w:tcPr>
          <w:p>
            <w:pPr>
              <w:ind w:left="440"/>
              <w:spacing w:after="0"/>
              <w:rPr>
                <w:sz w:val="20"/>
                <w:szCs w:val="20"/>
                <w:color w:val="auto"/>
              </w:rPr>
            </w:pPr>
            <w:r>
              <w:rPr>
                <w:rFonts w:ascii="Arial" w:cs="Arial" w:eastAsia="Arial" w:hAnsi="Arial"/>
                <w:sz w:val="18"/>
                <w:szCs w:val="18"/>
                <w:color w:val="0000FF"/>
              </w:rPr>
              <w:t>17</w:t>
            </w:r>
          </w:p>
        </w:tc>
        <w:tc>
          <w:tcPr>
            <w:tcW w:w="0" w:type="dxa"/>
            <w:vAlign w:val="bottom"/>
          </w:tcPr>
          <w:p>
            <w:pPr>
              <w:spacing w:after="0"/>
              <w:rPr>
                <w:sz w:val="1"/>
                <w:szCs w:val="1"/>
                <w:color w:val="auto"/>
              </w:rPr>
            </w:pPr>
          </w:p>
        </w:tc>
      </w:tr>
      <w:tr>
        <w:trPr>
          <w:trHeight w:val="20"/>
        </w:trPr>
        <w:tc>
          <w:tcPr>
            <w:tcW w:w="9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440" w:type="dxa"/>
            <w:vAlign w:val="bottom"/>
            <w:gridSpan w:val="8"/>
          </w:tcPr>
          <w:p>
            <w:pPr>
              <w:spacing w:after="0"/>
              <w:rPr>
                <w:sz w:val="20"/>
                <w:szCs w:val="20"/>
                <w:color w:val="auto"/>
              </w:rPr>
            </w:pPr>
            <w:r>
              <w:rPr>
                <w:rFonts w:ascii="Arial" w:cs="Arial" w:eastAsia="Arial" w:hAnsi="Arial"/>
                <w:sz w:val="18"/>
                <w:szCs w:val="18"/>
                <w:color w:val="0000FF"/>
                <w:w w:val="97"/>
              </w:rPr>
              <w:t>DIRECTOR COMPENSATION</w:t>
            </w:r>
          </w:p>
        </w:tc>
        <w:tc>
          <w:tcPr>
            <w:tcW w:w="1400" w:type="dxa"/>
            <w:vAlign w:val="bottom"/>
            <w:gridSpan w:val="10"/>
          </w:tcPr>
          <w:p>
            <w:pPr>
              <w:spacing w:after="0"/>
              <w:rPr>
                <w:sz w:val="21"/>
                <w:szCs w:val="21"/>
                <w:color w:val="auto"/>
              </w:rPr>
            </w:pPr>
          </w:p>
        </w:tc>
        <w:tc>
          <w:tcPr>
            <w:tcW w:w="5640" w:type="dxa"/>
            <w:vAlign w:val="bottom"/>
            <w:gridSpan w:val="11"/>
          </w:tcPr>
          <w:p>
            <w:pPr>
              <w:spacing w:after="0"/>
              <w:rPr>
                <w:sz w:val="21"/>
                <w:szCs w:val="21"/>
                <w:color w:val="auto"/>
              </w:rPr>
            </w:pPr>
          </w:p>
        </w:tc>
        <w:tc>
          <w:tcPr>
            <w:tcW w:w="440" w:type="dxa"/>
            <w:vAlign w:val="bottom"/>
          </w:tcPr>
          <w:p>
            <w:pPr>
              <w:spacing w:after="0"/>
              <w:rPr>
                <w:sz w:val="21"/>
                <w:szCs w:val="21"/>
                <w:color w:val="auto"/>
              </w:rPr>
            </w:pPr>
          </w:p>
        </w:tc>
        <w:tc>
          <w:tcPr>
            <w:tcW w:w="280" w:type="dxa"/>
            <w:vAlign w:val="bottom"/>
            <w:gridSpan w:val="3"/>
          </w:tcPr>
          <w:p>
            <w:pPr>
              <w:spacing w:after="0"/>
              <w:rPr>
                <w:sz w:val="20"/>
                <w:szCs w:val="20"/>
                <w:color w:val="auto"/>
              </w:rPr>
            </w:pPr>
            <w:r>
              <w:rPr>
                <w:rFonts w:ascii="Arial" w:cs="Arial" w:eastAsia="Arial" w:hAnsi="Arial"/>
                <w:sz w:val="18"/>
                <w:szCs w:val="18"/>
                <w:color w:val="0000FF"/>
              </w:rPr>
              <w:t>19</w:t>
            </w:r>
          </w:p>
        </w:tc>
        <w:tc>
          <w:tcPr>
            <w:tcW w:w="0" w:type="dxa"/>
            <w:vAlign w:val="bottom"/>
          </w:tcPr>
          <w:p>
            <w:pPr>
              <w:spacing w:after="0"/>
              <w:rPr>
                <w:sz w:val="1"/>
                <w:szCs w:val="1"/>
                <w:color w:val="auto"/>
              </w:rPr>
            </w:pPr>
          </w:p>
        </w:tc>
      </w:tr>
      <w:tr>
        <w:trPr>
          <w:trHeight w:val="20"/>
        </w:trPr>
        <w:tc>
          <w:tcPr>
            <w:tcW w:w="9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440" w:type="dxa"/>
            <w:vAlign w:val="bottom"/>
            <w:gridSpan w:val="8"/>
          </w:tcPr>
          <w:p>
            <w:pPr>
              <w:spacing w:after="0"/>
              <w:rPr>
                <w:sz w:val="20"/>
                <w:szCs w:val="20"/>
                <w:color w:val="auto"/>
              </w:rPr>
            </w:pPr>
            <w:r>
              <w:rPr>
                <w:rFonts w:ascii="Arial" w:cs="Arial" w:eastAsia="Arial" w:hAnsi="Arial"/>
                <w:sz w:val="18"/>
                <w:szCs w:val="18"/>
                <w:color w:val="0000FF"/>
              </w:rPr>
              <w:t>Director Compensation Table</w:t>
            </w:r>
          </w:p>
        </w:tc>
        <w:tc>
          <w:tcPr>
            <w:tcW w:w="7040" w:type="dxa"/>
            <w:vAlign w:val="bottom"/>
            <w:gridSpan w:val="21"/>
          </w:tcPr>
          <w:p>
            <w:pPr>
              <w:spacing w:after="0"/>
              <w:rPr>
                <w:sz w:val="21"/>
                <w:szCs w:val="21"/>
                <w:color w:val="auto"/>
              </w:rPr>
            </w:pPr>
          </w:p>
        </w:tc>
        <w:tc>
          <w:tcPr>
            <w:tcW w:w="440" w:type="dxa"/>
            <w:vAlign w:val="bottom"/>
          </w:tcPr>
          <w:p>
            <w:pPr>
              <w:spacing w:after="0"/>
              <w:rPr>
                <w:sz w:val="21"/>
                <w:szCs w:val="21"/>
                <w:color w:val="auto"/>
              </w:rPr>
            </w:pPr>
          </w:p>
        </w:tc>
        <w:tc>
          <w:tcPr>
            <w:tcW w:w="280" w:type="dxa"/>
            <w:vAlign w:val="bottom"/>
            <w:gridSpan w:val="3"/>
          </w:tcPr>
          <w:p>
            <w:pPr>
              <w:spacing w:after="0"/>
              <w:rPr>
                <w:sz w:val="20"/>
                <w:szCs w:val="20"/>
                <w:color w:val="auto"/>
              </w:rPr>
            </w:pPr>
            <w:r>
              <w:rPr>
                <w:rFonts w:ascii="Arial" w:cs="Arial" w:eastAsia="Arial" w:hAnsi="Arial"/>
                <w:sz w:val="18"/>
                <w:szCs w:val="18"/>
                <w:color w:val="0000FF"/>
              </w:rPr>
              <w:t>20</w:t>
            </w:r>
          </w:p>
        </w:tc>
        <w:tc>
          <w:tcPr>
            <w:tcW w:w="0" w:type="dxa"/>
            <w:vAlign w:val="bottom"/>
          </w:tcPr>
          <w:p>
            <w:pPr>
              <w:spacing w:after="0"/>
              <w:rPr>
                <w:sz w:val="1"/>
                <w:szCs w:val="1"/>
                <w:color w:val="auto"/>
              </w:rPr>
            </w:pPr>
          </w:p>
        </w:tc>
      </w:tr>
      <w:tr>
        <w:trPr>
          <w:trHeight w:val="20"/>
        </w:trPr>
        <w:tc>
          <w:tcPr>
            <w:tcW w:w="9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480" w:type="dxa"/>
            <w:vAlign w:val="bottom"/>
            <w:gridSpan w:val="29"/>
          </w:tcPr>
          <w:p>
            <w:pPr>
              <w:spacing w:after="0"/>
              <w:rPr>
                <w:sz w:val="20"/>
                <w:szCs w:val="20"/>
                <w:color w:val="auto"/>
              </w:rPr>
            </w:pPr>
            <w:r>
              <w:rPr>
                <w:rFonts w:ascii="Arial" w:cs="Arial" w:eastAsia="Arial" w:hAnsi="Arial"/>
                <w:sz w:val="18"/>
                <w:szCs w:val="18"/>
                <w:color w:val="0000FF"/>
              </w:rPr>
              <w:t>SECURITY OWNERSHIP OF CERTAIN BENEFICIAL OWNERS AND MANAGEMENT</w:t>
            </w:r>
          </w:p>
        </w:tc>
        <w:tc>
          <w:tcPr>
            <w:tcW w:w="720" w:type="dxa"/>
            <w:vAlign w:val="bottom"/>
            <w:gridSpan w:val="4"/>
          </w:tcPr>
          <w:p>
            <w:pPr>
              <w:ind w:left="440"/>
              <w:spacing w:after="0"/>
              <w:rPr>
                <w:sz w:val="20"/>
                <w:szCs w:val="20"/>
                <w:color w:val="auto"/>
              </w:rPr>
            </w:pPr>
            <w:r>
              <w:rPr>
                <w:rFonts w:ascii="Arial" w:cs="Arial" w:eastAsia="Arial" w:hAnsi="Arial"/>
                <w:sz w:val="18"/>
                <w:szCs w:val="18"/>
                <w:color w:val="0000FF"/>
              </w:rPr>
              <w:t>21</w:t>
            </w:r>
          </w:p>
        </w:tc>
        <w:tc>
          <w:tcPr>
            <w:tcW w:w="0" w:type="dxa"/>
            <w:vAlign w:val="bottom"/>
          </w:tcPr>
          <w:p>
            <w:pPr>
              <w:spacing w:after="0"/>
              <w:rPr>
                <w:sz w:val="1"/>
                <w:szCs w:val="1"/>
                <w:color w:val="auto"/>
              </w:rPr>
            </w:pPr>
          </w:p>
        </w:tc>
      </w:tr>
      <w:tr>
        <w:trPr>
          <w:trHeight w:val="20"/>
        </w:trPr>
        <w:tc>
          <w:tcPr>
            <w:tcW w:w="9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900" w:type="dxa"/>
            <w:vAlign w:val="bottom"/>
            <w:gridSpan w:val="2"/>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tcBorders>
              <w:bottom w:val="single" w:sz="8" w:color="0000FF"/>
            </w:tcBorders>
            <w:gridSpan w:val="26"/>
          </w:tcPr>
          <w:p>
            <w:pPr>
              <w:spacing w:after="0"/>
              <w:rPr>
                <w:sz w:val="20"/>
                <w:szCs w:val="20"/>
                <w:color w:val="auto"/>
              </w:rPr>
            </w:pPr>
            <w:r>
              <w:rPr>
                <w:rFonts w:ascii="Arial" w:cs="Arial" w:eastAsia="Arial" w:hAnsi="Arial"/>
                <w:sz w:val="18"/>
                <w:szCs w:val="18"/>
                <w:color w:val="0000FF"/>
                <w:w w:val="99"/>
              </w:rPr>
              <w:t>PROPOSAL TWO: ADVISORY VOTE TO APPROVE THE COMPENSATION OF OUR NAMED EXECUTIVE</w:t>
            </w:r>
          </w:p>
        </w:tc>
        <w:tc>
          <w:tcPr>
            <w:tcW w:w="800" w:type="dxa"/>
            <w:vAlign w:val="bottom"/>
            <w:gridSpan w:val="3"/>
          </w:tcPr>
          <w:p>
            <w:pPr>
              <w:spacing w:after="0"/>
              <w:rPr>
                <w:sz w:val="21"/>
                <w:szCs w:val="21"/>
                <w:color w:val="auto"/>
              </w:rPr>
            </w:pPr>
          </w:p>
        </w:tc>
        <w:tc>
          <w:tcPr>
            <w:tcW w:w="720" w:type="dxa"/>
            <w:vAlign w:val="bottom"/>
            <w:gridSpan w:val="4"/>
            <w:vMerge w:val="restart"/>
          </w:tcPr>
          <w:p>
            <w:pPr>
              <w:ind w:left="440"/>
              <w:spacing w:after="0"/>
              <w:rPr>
                <w:sz w:val="20"/>
                <w:szCs w:val="20"/>
                <w:color w:val="auto"/>
              </w:rPr>
            </w:pPr>
            <w:r>
              <w:rPr>
                <w:rFonts w:ascii="Arial" w:cs="Arial" w:eastAsia="Arial" w:hAnsi="Arial"/>
                <w:sz w:val="18"/>
                <w:szCs w:val="18"/>
                <w:color w:val="0000FF"/>
              </w:rPr>
              <w:t>22</w:t>
            </w:r>
          </w:p>
        </w:tc>
        <w:tc>
          <w:tcPr>
            <w:tcW w:w="0" w:type="dxa"/>
            <w:vAlign w:val="bottom"/>
          </w:tcPr>
          <w:p>
            <w:pPr>
              <w:spacing w:after="0"/>
              <w:rPr>
                <w:sz w:val="1"/>
                <w:szCs w:val="1"/>
                <w:color w:val="auto"/>
              </w:rPr>
            </w:pPr>
          </w:p>
        </w:tc>
      </w:tr>
      <w:tr>
        <w:trPr>
          <w:trHeight w:val="88"/>
        </w:trPr>
        <w:tc>
          <w:tcPr>
            <w:tcW w:w="920" w:type="dxa"/>
            <w:vAlign w:val="bottom"/>
            <w:vMerge w:val="restart"/>
          </w:tcPr>
          <w:p>
            <w:pPr>
              <w:spacing w:after="0" w:line="196" w:lineRule="exact"/>
              <w:rPr>
                <w:sz w:val="20"/>
                <w:szCs w:val="20"/>
                <w:color w:val="auto"/>
              </w:rPr>
            </w:pPr>
            <w:r>
              <w:rPr>
                <w:rFonts w:ascii="Arial" w:cs="Arial" w:eastAsia="Arial" w:hAnsi="Arial"/>
                <w:sz w:val="18"/>
                <w:szCs w:val="18"/>
                <w:color w:val="0000FF"/>
                <w:w w:val="98"/>
              </w:rPr>
              <w:t>OFFICERS</w:t>
            </w:r>
          </w:p>
        </w:tc>
        <w:tc>
          <w:tcPr>
            <w:tcW w:w="8560" w:type="dxa"/>
            <w:vAlign w:val="bottom"/>
            <w:gridSpan w:val="28"/>
            <w:vMerge w:val="restart"/>
          </w:tcPr>
          <w:p>
            <w:pPr>
              <w:spacing w:after="0"/>
              <w:rPr>
                <w:sz w:val="7"/>
                <w:szCs w:val="7"/>
                <w:color w:val="auto"/>
              </w:rPr>
            </w:pPr>
          </w:p>
        </w:tc>
        <w:tc>
          <w:tcPr>
            <w:tcW w:w="72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920" w:type="dxa"/>
            <w:vAlign w:val="bottom"/>
            <w:tcBorders>
              <w:bottom w:val="single" w:sz="8" w:color="0000FF"/>
            </w:tcBorders>
            <w:vMerge w:val="continue"/>
          </w:tcPr>
          <w:p>
            <w:pPr>
              <w:spacing w:after="0"/>
              <w:rPr>
                <w:sz w:val="7"/>
                <w:szCs w:val="7"/>
                <w:color w:val="auto"/>
              </w:rPr>
            </w:pPr>
          </w:p>
        </w:tc>
        <w:tc>
          <w:tcPr>
            <w:tcW w:w="8560" w:type="dxa"/>
            <w:vAlign w:val="bottom"/>
            <w:gridSpan w:val="28"/>
            <w:vMerge w:val="continue"/>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Borders>
              <w:top w:val="single" w:sz="8" w:color="0000FF"/>
            </w:tcBorders>
          </w:tcPr>
          <w:p>
            <w:pPr>
              <w:spacing w:after="0"/>
              <w:rPr>
                <w:sz w:val="7"/>
                <w:szCs w:val="7"/>
                <w:color w:val="auto"/>
              </w:rPr>
            </w:pPr>
          </w:p>
        </w:tc>
        <w:tc>
          <w:tcPr>
            <w:tcW w:w="100" w:type="dxa"/>
            <w:vAlign w:val="bottom"/>
            <w:tcBorders>
              <w:top w:val="single" w:sz="8" w:color="0000FF"/>
            </w:tcBorders>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0"/>
        </w:trPr>
        <w:tc>
          <w:tcPr>
            <w:tcW w:w="9480" w:type="dxa"/>
            <w:vAlign w:val="bottom"/>
            <w:gridSpan w:val="29"/>
          </w:tcPr>
          <w:p>
            <w:pPr>
              <w:spacing w:after="0"/>
              <w:rPr>
                <w:sz w:val="20"/>
                <w:szCs w:val="20"/>
                <w:color w:val="auto"/>
              </w:rPr>
            </w:pPr>
            <w:r>
              <w:rPr>
                <w:rFonts w:ascii="Arial" w:cs="Arial" w:eastAsia="Arial" w:hAnsi="Arial"/>
                <w:sz w:val="18"/>
                <w:szCs w:val="18"/>
                <w:color w:val="0000FF"/>
              </w:rPr>
              <w:t>EXECUTIVE COMPENSATION</w:t>
            </w:r>
          </w:p>
        </w:tc>
        <w:tc>
          <w:tcPr>
            <w:tcW w:w="720" w:type="dxa"/>
            <w:vAlign w:val="bottom"/>
            <w:gridSpan w:val="4"/>
          </w:tcPr>
          <w:p>
            <w:pPr>
              <w:ind w:left="440"/>
              <w:spacing w:after="0"/>
              <w:rPr>
                <w:sz w:val="20"/>
                <w:szCs w:val="20"/>
                <w:color w:val="auto"/>
              </w:rPr>
            </w:pPr>
            <w:r>
              <w:rPr>
                <w:rFonts w:ascii="Arial" w:cs="Arial" w:eastAsia="Arial" w:hAnsi="Arial"/>
                <w:sz w:val="18"/>
                <w:szCs w:val="18"/>
                <w:color w:val="0000FF"/>
              </w:rPr>
              <w:t>23</w:t>
            </w:r>
          </w:p>
        </w:tc>
        <w:tc>
          <w:tcPr>
            <w:tcW w:w="0" w:type="dxa"/>
            <w:vAlign w:val="bottom"/>
          </w:tcPr>
          <w:p>
            <w:pPr>
              <w:spacing w:after="0"/>
              <w:rPr>
                <w:sz w:val="1"/>
                <w:szCs w:val="1"/>
                <w:color w:val="auto"/>
              </w:rPr>
            </w:pPr>
          </w:p>
        </w:tc>
      </w:tr>
      <w:tr>
        <w:trPr>
          <w:trHeight w:val="20"/>
        </w:trPr>
        <w:tc>
          <w:tcPr>
            <w:tcW w:w="154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740" w:type="dxa"/>
            <w:vAlign w:val="bottom"/>
            <w:gridSpan w:val="3"/>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160" w:type="dxa"/>
            <w:vAlign w:val="bottom"/>
            <w:gridSpan w:val="14"/>
          </w:tcPr>
          <w:p>
            <w:pPr>
              <w:spacing w:after="0"/>
              <w:rPr>
                <w:sz w:val="20"/>
                <w:szCs w:val="20"/>
                <w:color w:val="auto"/>
              </w:rPr>
            </w:pPr>
            <w:r>
              <w:rPr>
                <w:rFonts w:ascii="Arial" w:cs="Arial" w:eastAsia="Arial" w:hAnsi="Arial"/>
                <w:sz w:val="18"/>
                <w:szCs w:val="18"/>
                <w:color w:val="0000FF"/>
                <w:w w:val="98"/>
              </w:rPr>
              <w:t>Compensation Discussion and Analysis</w:t>
            </w:r>
          </w:p>
        </w:tc>
        <w:tc>
          <w:tcPr>
            <w:tcW w:w="6320" w:type="dxa"/>
            <w:vAlign w:val="bottom"/>
            <w:gridSpan w:val="15"/>
          </w:tcPr>
          <w:p>
            <w:pPr>
              <w:spacing w:after="0"/>
              <w:rPr>
                <w:sz w:val="21"/>
                <w:szCs w:val="21"/>
                <w:color w:val="auto"/>
              </w:rPr>
            </w:pPr>
          </w:p>
        </w:tc>
        <w:tc>
          <w:tcPr>
            <w:tcW w:w="440" w:type="dxa"/>
            <w:vAlign w:val="bottom"/>
          </w:tcPr>
          <w:p>
            <w:pPr>
              <w:spacing w:after="0"/>
              <w:rPr>
                <w:sz w:val="21"/>
                <w:szCs w:val="21"/>
                <w:color w:val="auto"/>
              </w:rPr>
            </w:pPr>
          </w:p>
        </w:tc>
        <w:tc>
          <w:tcPr>
            <w:tcW w:w="280" w:type="dxa"/>
            <w:vAlign w:val="bottom"/>
            <w:gridSpan w:val="3"/>
          </w:tcPr>
          <w:p>
            <w:pPr>
              <w:spacing w:after="0"/>
              <w:rPr>
                <w:sz w:val="20"/>
                <w:szCs w:val="20"/>
                <w:color w:val="auto"/>
              </w:rPr>
            </w:pPr>
            <w:r>
              <w:rPr>
                <w:rFonts w:ascii="Arial" w:cs="Arial" w:eastAsia="Arial" w:hAnsi="Arial"/>
                <w:sz w:val="18"/>
                <w:szCs w:val="18"/>
                <w:color w:val="0000FF"/>
              </w:rPr>
              <w:t>23</w:t>
            </w:r>
          </w:p>
        </w:tc>
        <w:tc>
          <w:tcPr>
            <w:tcW w:w="0" w:type="dxa"/>
            <w:vAlign w:val="bottom"/>
          </w:tcPr>
          <w:p>
            <w:pPr>
              <w:spacing w:after="0"/>
              <w:rPr>
                <w:sz w:val="1"/>
                <w:szCs w:val="1"/>
                <w:color w:val="auto"/>
              </w:rPr>
            </w:pPr>
          </w:p>
        </w:tc>
      </w:tr>
      <w:tr>
        <w:trPr>
          <w:trHeight w:val="20"/>
        </w:trPr>
        <w:tc>
          <w:tcPr>
            <w:tcW w:w="9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600" w:type="dxa"/>
            <w:vAlign w:val="bottom"/>
            <w:gridSpan w:val="10"/>
          </w:tcPr>
          <w:p>
            <w:pPr>
              <w:spacing w:after="0"/>
              <w:rPr>
                <w:sz w:val="20"/>
                <w:szCs w:val="20"/>
                <w:color w:val="auto"/>
              </w:rPr>
            </w:pPr>
            <w:r>
              <w:rPr>
                <w:rFonts w:ascii="Arial" w:cs="Arial" w:eastAsia="Arial" w:hAnsi="Arial"/>
                <w:sz w:val="18"/>
                <w:szCs w:val="18"/>
                <w:color w:val="0000FF"/>
                <w:w w:val="98"/>
              </w:rPr>
              <w:t>Compensation Risk Assessment</w:t>
            </w:r>
          </w:p>
        </w:tc>
        <w:tc>
          <w:tcPr>
            <w:tcW w:w="560" w:type="dxa"/>
            <w:vAlign w:val="bottom"/>
            <w:gridSpan w:val="4"/>
          </w:tcPr>
          <w:p>
            <w:pPr>
              <w:spacing w:after="0"/>
              <w:rPr>
                <w:sz w:val="21"/>
                <w:szCs w:val="21"/>
                <w:color w:val="auto"/>
              </w:rPr>
            </w:pPr>
          </w:p>
        </w:tc>
        <w:tc>
          <w:tcPr>
            <w:tcW w:w="6320" w:type="dxa"/>
            <w:vAlign w:val="bottom"/>
            <w:gridSpan w:val="15"/>
          </w:tcPr>
          <w:p>
            <w:pPr>
              <w:spacing w:after="0"/>
              <w:rPr>
                <w:sz w:val="21"/>
                <w:szCs w:val="21"/>
                <w:color w:val="auto"/>
              </w:rPr>
            </w:pPr>
          </w:p>
        </w:tc>
        <w:tc>
          <w:tcPr>
            <w:tcW w:w="440" w:type="dxa"/>
            <w:vAlign w:val="bottom"/>
          </w:tcPr>
          <w:p>
            <w:pPr>
              <w:spacing w:after="0"/>
              <w:rPr>
                <w:sz w:val="21"/>
                <w:szCs w:val="21"/>
                <w:color w:val="auto"/>
              </w:rPr>
            </w:pPr>
          </w:p>
        </w:tc>
        <w:tc>
          <w:tcPr>
            <w:tcW w:w="280" w:type="dxa"/>
            <w:vAlign w:val="bottom"/>
            <w:gridSpan w:val="3"/>
          </w:tcPr>
          <w:p>
            <w:pPr>
              <w:spacing w:after="0"/>
              <w:rPr>
                <w:sz w:val="20"/>
                <w:szCs w:val="20"/>
                <w:color w:val="auto"/>
              </w:rPr>
            </w:pPr>
            <w:r>
              <w:rPr>
                <w:rFonts w:ascii="Arial" w:cs="Arial" w:eastAsia="Arial" w:hAnsi="Arial"/>
                <w:sz w:val="18"/>
                <w:szCs w:val="18"/>
                <w:color w:val="0000FF"/>
              </w:rPr>
              <w:t>32</w:t>
            </w:r>
          </w:p>
        </w:tc>
        <w:tc>
          <w:tcPr>
            <w:tcW w:w="0" w:type="dxa"/>
            <w:vAlign w:val="bottom"/>
          </w:tcPr>
          <w:p>
            <w:pPr>
              <w:spacing w:after="0"/>
              <w:rPr>
                <w:sz w:val="1"/>
                <w:szCs w:val="1"/>
                <w:color w:val="auto"/>
              </w:rPr>
            </w:pPr>
          </w:p>
        </w:tc>
      </w:tr>
      <w:tr>
        <w:trPr>
          <w:trHeight w:val="20"/>
        </w:trPr>
        <w:tc>
          <w:tcPr>
            <w:tcW w:w="9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680" w:type="dxa"/>
            <w:vAlign w:val="bottom"/>
            <w:gridSpan w:val="11"/>
          </w:tcPr>
          <w:p>
            <w:pPr>
              <w:spacing w:after="0"/>
              <w:rPr>
                <w:sz w:val="20"/>
                <w:szCs w:val="20"/>
                <w:color w:val="auto"/>
              </w:rPr>
            </w:pPr>
            <w:r>
              <w:rPr>
                <w:rFonts w:ascii="Arial" w:cs="Arial" w:eastAsia="Arial" w:hAnsi="Arial"/>
                <w:sz w:val="18"/>
                <w:szCs w:val="18"/>
                <w:color w:val="0000FF"/>
                <w:w w:val="99"/>
              </w:rPr>
              <w:t>Compensation Committee Report</w:t>
            </w:r>
          </w:p>
        </w:tc>
        <w:tc>
          <w:tcPr>
            <w:tcW w:w="6800" w:type="dxa"/>
            <w:vAlign w:val="bottom"/>
            <w:gridSpan w:val="18"/>
          </w:tcPr>
          <w:p>
            <w:pPr>
              <w:spacing w:after="0"/>
              <w:rPr>
                <w:sz w:val="21"/>
                <w:szCs w:val="21"/>
                <w:color w:val="auto"/>
              </w:rPr>
            </w:pPr>
          </w:p>
        </w:tc>
        <w:tc>
          <w:tcPr>
            <w:tcW w:w="440" w:type="dxa"/>
            <w:vAlign w:val="bottom"/>
          </w:tcPr>
          <w:p>
            <w:pPr>
              <w:spacing w:after="0"/>
              <w:rPr>
                <w:sz w:val="21"/>
                <w:szCs w:val="21"/>
                <w:color w:val="auto"/>
              </w:rPr>
            </w:pPr>
          </w:p>
        </w:tc>
        <w:tc>
          <w:tcPr>
            <w:tcW w:w="280" w:type="dxa"/>
            <w:vAlign w:val="bottom"/>
            <w:gridSpan w:val="3"/>
          </w:tcPr>
          <w:p>
            <w:pPr>
              <w:spacing w:after="0"/>
              <w:rPr>
                <w:sz w:val="20"/>
                <w:szCs w:val="20"/>
                <w:color w:val="auto"/>
              </w:rPr>
            </w:pPr>
            <w:r>
              <w:rPr>
                <w:rFonts w:ascii="Arial" w:cs="Arial" w:eastAsia="Arial" w:hAnsi="Arial"/>
                <w:sz w:val="18"/>
                <w:szCs w:val="18"/>
                <w:color w:val="0000FF"/>
              </w:rPr>
              <w:t>33</w:t>
            </w:r>
          </w:p>
        </w:tc>
        <w:tc>
          <w:tcPr>
            <w:tcW w:w="0" w:type="dxa"/>
            <w:vAlign w:val="bottom"/>
          </w:tcPr>
          <w:p>
            <w:pPr>
              <w:spacing w:after="0"/>
              <w:rPr>
                <w:sz w:val="1"/>
                <w:szCs w:val="1"/>
                <w:color w:val="auto"/>
              </w:rPr>
            </w:pPr>
          </w:p>
        </w:tc>
      </w:tr>
      <w:tr>
        <w:trPr>
          <w:trHeight w:val="20"/>
        </w:trPr>
        <w:tc>
          <w:tcPr>
            <w:tcW w:w="9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680" w:type="dxa"/>
            <w:vAlign w:val="bottom"/>
            <w:gridSpan w:val="11"/>
          </w:tcPr>
          <w:p>
            <w:pPr>
              <w:spacing w:after="0"/>
              <w:rPr>
                <w:sz w:val="20"/>
                <w:szCs w:val="20"/>
                <w:color w:val="auto"/>
              </w:rPr>
            </w:pPr>
            <w:r>
              <w:rPr>
                <w:rFonts w:ascii="Arial" w:cs="Arial" w:eastAsia="Arial" w:hAnsi="Arial"/>
                <w:sz w:val="18"/>
                <w:szCs w:val="18"/>
                <w:color w:val="0000FF"/>
              </w:rPr>
              <w:t>Summary Compensation Table</w:t>
            </w:r>
          </w:p>
        </w:tc>
        <w:tc>
          <w:tcPr>
            <w:tcW w:w="6800" w:type="dxa"/>
            <w:vAlign w:val="bottom"/>
            <w:gridSpan w:val="18"/>
          </w:tcPr>
          <w:p>
            <w:pPr>
              <w:spacing w:after="0"/>
              <w:rPr>
                <w:sz w:val="21"/>
                <w:szCs w:val="21"/>
                <w:color w:val="auto"/>
              </w:rPr>
            </w:pPr>
          </w:p>
        </w:tc>
        <w:tc>
          <w:tcPr>
            <w:tcW w:w="440" w:type="dxa"/>
            <w:vAlign w:val="bottom"/>
          </w:tcPr>
          <w:p>
            <w:pPr>
              <w:spacing w:after="0"/>
              <w:rPr>
                <w:sz w:val="21"/>
                <w:szCs w:val="21"/>
                <w:color w:val="auto"/>
              </w:rPr>
            </w:pPr>
          </w:p>
        </w:tc>
        <w:tc>
          <w:tcPr>
            <w:tcW w:w="280" w:type="dxa"/>
            <w:vAlign w:val="bottom"/>
            <w:gridSpan w:val="3"/>
          </w:tcPr>
          <w:p>
            <w:pPr>
              <w:spacing w:after="0"/>
              <w:rPr>
                <w:sz w:val="20"/>
                <w:szCs w:val="20"/>
                <w:color w:val="auto"/>
              </w:rPr>
            </w:pPr>
            <w:r>
              <w:rPr>
                <w:rFonts w:ascii="Arial" w:cs="Arial" w:eastAsia="Arial" w:hAnsi="Arial"/>
                <w:sz w:val="18"/>
                <w:szCs w:val="18"/>
                <w:color w:val="0000FF"/>
              </w:rPr>
              <w:t>33</w:t>
            </w:r>
          </w:p>
        </w:tc>
        <w:tc>
          <w:tcPr>
            <w:tcW w:w="0" w:type="dxa"/>
            <w:vAlign w:val="bottom"/>
          </w:tcPr>
          <w:p>
            <w:pPr>
              <w:spacing w:after="0"/>
              <w:rPr>
                <w:sz w:val="1"/>
                <w:szCs w:val="1"/>
                <w:color w:val="auto"/>
              </w:rPr>
            </w:pPr>
          </w:p>
        </w:tc>
      </w:tr>
      <w:tr>
        <w:trPr>
          <w:trHeight w:val="20"/>
        </w:trPr>
        <w:tc>
          <w:tcPr>
            <w:tcW w:w="9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720" w:type="dxa"/>
            <w:vAlign w:val="bottom"/>
            <w:gridSpan w:val="21"/>
          </w:tcPr>
          <w:p>
            <w:pPr>
              <w:spacing w:after="0"/>
              <w:rPr>
                <w:sz w:val="20"/>
                <w:szCs w:val="20"/>
                <w:color w:val="auto"/>
              </w:rPr>
            </w:pPr>
            <w:r>
              <w:rPr>
                <w:rFonts w:ascii="Arial" w:cs="Arial" w:eastAsia="Arial" w:hAnsi="Arial"/>
                <w:sz w:val="18"/>
                <w:szCs w:val="18"/>
                <w:color w:val="0000FF"/>
                <w:w w:val="98"/>
              </w:rPr>
              <w:t>Employment Agreements and Compensatory Arrangements</w:t>
            </w:r>
          </w:p>
        </w:tc>
        <w:tc>
          <w:tcPr>
            <w:tcW w:w="4760" w:type="dxa"/>
            <w:vAlign w:val="bottom"/>
            <w:gridSpan w:val="8"/>
          </w:tcPr>
          <w:p>
            <w:pPr>
              <w:spacing w:after="0"/>
              <w:rPr>
                <w:sz w:val="21"/>
                <w:szCs w:val="21"/>
                <w:color w:val="auto"/>
              </w:rPr>
            </w:pPr>
          </w:p>
        </w:tc>
        <w:tc>
          <w:tcPr>
            <w:tcW w:w="440" w:type="dxa"/>
            <w:vAlign w:val="bottom"/>
          </w:tcPr>
          <w:p>
            <w:pPr>
              <w:spacing w:after="0"/>
              <w:rPr>
                <w:sz w:val="21"/>
                <w:szCs w:val="21"/>
                <w:color w:val="auto"/>
              </w:rPr>
            </w:pPr>
          </w:p>
        </w:tc>
        <w:tc>
          <w:tcPr>
            <w:tcW w:w="280" w:type="dxa"/>
            <w:vAlign w:val="bottom"/>
            <w:gridSpan w:val="3"/>
          </w:tcPr>
          <w:p>
            <w:pPr>
              <w:spacing w:after="0"/>
              <w:rPr>
                <w:sz w:val="20"/>
                <w:szCs w:val="20"/>
                <w:color w:val="auto"/>
              </w:rPr>
            </w:pPr>
            <w:r>
              <w:rPr>
                <w:rFonts w:ascii="Arial" w:cs="Arial" w:eastAsia="Arial" w:hAnsi="Arial"/>
                <w:sz w:val="18"/>
                <w:szCs w:val="18"/>
                <w:color w:val="0000FF"/>
              </w:rPr>
              <w:t>34</w:t>
            </w:r>
          </w:p>
        </w:tc>
        <w:tc>
          <w:tcPr>
            <w:tcW w:w="0" w:type="dxa"/>
            <w:vAlign w:val="bottom"/>
          </w:tcPr>
          <w:p>
            <w:pPr>
              <w:spacing w:after="0"/>
              <w:rPr>
                <w:sz w:val="1"/>
                <w:szCs w:val="1"/>
                <w:color w:val="auto"/>
              </w:rPr>
            </w:pPr>
          </w:p>
        </w:tc>
      </w:tr>
      <w:tr>
        <w:trPr>
          <w:trHeight w:val="20"/>
        </w:trPr>
        <w:tc>
          <w:tcPr>
            <w:tcW w:w="9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020" w:type="dxa"/>
            <w:vAlign w:val="bottom"/>
            <w:gridSpan w:val="13"/>
          </w:tcPr>
          <w:p>
            <w:pPr>
              <w:spacing w:after="0"/>
              <w:rPr>
                <w:sz w:val="20"/>
                <w:szCs w:val="20"/>
                <w:color w:val="auto"/>
              </w:rPr>
            </w:pPr>
            <w:r>
              <w:rPr>
                <w:rFonts w:ascii="Arial" w:cs="Arial" w:eastAsia="Arial" w:hAnsi="Arial"/>
                <w:sz w:val="18"/>
                <w:szCs w:val="18"/>
                <w:color w:val="0000FF"/>
                <w:w w:val="99"/>
              </w:rPr>
              <w:t>Grants of Plan-Based Awards in 2024</w:t>
            </w:r>
          </w:p>
        </w:tc>
        <w:tc>
          <w:tcPr>
            <w:tcW w:w="1700" w:type="dxa"/>
            <w:vAlign w:val="bottom"/>
            <w:gridSpan w:val="8"/>
          </w:tcPr>
          <w:p>
            <w:pPr>
              <w:spacing w:after="0"/>
              <w:rPr>
                <w:sz w:val="21"/>
                <w:szCs w:val="21"/>
                <w:color w:val="auto"/>
              </w:rPr>
            </w:pPr>
          </w:p>
        </w:tc>
        <w:tc>
          <w:tcPr>
            <w:tcW w:w="4760" w:type="dxa"/>
            <w:vAlign w:val="bottom"/>
            <w:gridSpan w:val="8"/>
          </w:tcPr>
          <w:p>
            <w:pPr>
              <w:spacing w:after="0"/>
              <w:rPr>
                <w:sz w:val="21"/>
                <w:szCs w:val="21"/>
                <w:color w:val="auto"/>
              </w:rPr>
            </w:pPr>
          </w:p>
        </w:tc>
        <w:tc>
          <w:tcPr>
            <w:tcW w:w="440" w:type="dxa"/>
            <w:vAlign w:val="bottom"/>
          </w:tcPr>
          <w:p>
            <w:pPr>
              <w:spacing w:after="0"/>
              <w:rPr>
                <w:sz w:val="21"/>
                <w:szCs w:val="21"/>
                <w:color w:val="auto"/>
              </w:rPr>
            </w:pPr>
          </w:p>
        </w:tc>
        <w:tc>
          <w:tcPr>
            <w:tcW w:w="280" w:type="dxa"/>
            <w:vAlign w:val="bottom"/>
            <w:gridSpan w:val="3"/>
          </w:tcPr>
          <w:p>
            <w:pPr>
              <w:spacing w:after="0"/>
              <w:rPr>
                <w:sz w:val="20"/>
                <w:szCs w:val="20"/>
                <w:color w:val="auto"/>
              </w:rPr>
            </w:pPr>
            <w:r>
              <w:rPr>
                <w:rFonts w:ascii="Arial" w:cs="Arial" w:eastAsia="Arial" w:hAnsi="Arial"/>
                <w:sz w:val="18"/>
                <w:szCs w:val="18"/>
                <w:color w:val="0000FF"/>
              </w:rPr>
              <w:t>37</w:t>
            </w:r>
          </w:p>
        </w:tc>
        <w:tc>
          <w:tcPr>
            <w:tcW w:w="0" w:type="dxa"/>
            <w:vAlign w:val="bottom"/>
          </w:tcPr>
          <w:p>
            <w:pPr>
              <w:spacing w:after="0"/>
              <w:rPr>
                <w:sz w:val="1"/>
                <w:szCs w:val="1"/>
                <w:color w:val="auto"/>
              </w:rPr>
            </w:pPr>
          </w:p>
        </w:tc>
      </w:tr>
      <w:tr>
        <w:trPr>
          <w:trHeight w:val="20"/>
        </w:trPr>
        <w:tc>
          <w:tcPr>
            <w:tcW w:w="154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740" w:type="dxa"/>
            <w:vAlign w:val="bottom"/>
            <w:gridSpan w:val="3"/>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480" w:type="dxa"/>
            <w:vAlign w:val="bottom"/>
            <w:gridSpan w:val="29"/>
          </w:tcPr>
          <w:p>
            <w:pPr>
              <w:spacing w:after="0"/>
              <w:rPr>
                <w:sz w:val="20"/>
                <w:szCs w:val="20"/>
                <w:color w:val="auto"/>
              </w:rPr>
            </w:pPr>
            <w:r>
              <w:rPr>
                <w:rFonts w:ascii="Arial" w:cs="Arial" w:eastAsia="Arial" w:hAnsi="Arial"/>
                <w:sz w:val="18"/>
                <w:szCs w:val="18"/>
                <w:color w:val="0000FF"/>
              </w:rPr>
              <w:t>Outstanding Equity Awards at Fiscal Year-End</w:t>
            </w:r>
          </w:p>
        </w:tc>
        <w:tc>
          <w:tcPr>
            <w:tcW w:w="720" w:type="dxa"/>
            <w:vAlign w:val="bottom"/>
            <w:gridSpan w:val="4"/>
          </w:tcPr>
          <w:p>
            <w:pPr>
              <w:ind w:left="440"/>
              <w:spacing w:after="0"/>
              <w:rPr>
                <w:sz w:val="20"/>
                <w:szCs w:val="20"/>
                <w:color w:val="auto"/>
              </w:rPr>
            </w:pPr>
            <w:r>
              <w:rPr>
                <w:rFonts w:ascii="Arial" w:cs="Arial" w:eastAsia="Arial" w:hAnsi="Arial"/>
                <w:sz w:val="18"/>
                <w:szCs w:val="18"/>
                <w:color w:val="0000FF"/>
              </w:rPr>
              <w:t>38</w:t>
            </w:r>
          </w:p>
        </w:tc>
        <w:tc>
          <w:tcPr>
            <w:tcW w:w="0" w:type="dxa"/>
            <w:vAlign w:val="bottom"/>
          </w:tcPr>
          <w:p>
            <w:pPr>
              <w:spacing w:after="0"/>
              <w:rPr>
                <w:sz w:val="1"/>
                <w:szCs w:val="1"/>
                <w:color w:val="auto"/>
              </w:rPr>
            </w:pPr>
          </w:p>
        </w:tc>
      </w:tr>
      <w:tr>
        <w:trPr>
          <w:trHeight w:val="20"/>
        </w:trPr>
        <w:tc>
          <w:tcPr>
            <w:tcW w:w="9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gridSpan w:val="16"/>
          </w:tcPr>
          <w:p>
            <w:pPr>
              <w:spacing w:after="0"/>
              <w:rPr>
                <w:sz w:val="20"/>
                <w:szCs w:val="20"/>
                <w:color w:val="auto"/>
              </w:rPr>
            </w:pPr>
            <w:r>
              <w:rPr>
                <w:rFonts w:ascii="Arial" w:cs="Arial" w:eastAsia="Arial" w:hAnsi="Arial"/>
                <w:sz w:val="18"/>
                <w:szCs w:val="18"/>
                <w:color w:val="0000FF"/>
                <w:w w:val="99"/>
              </w:rPr>
              <w:t>Option Exercises and Stock Vested in 2024</w:t>
            </w:r>
          </w:p>
        </w:tc>
        <w:tc>
          <w:tcPr>
            <w:tcW w:w="220" w:type="dxa"/>
            <w:vAlign w:val="bottom"/>
          </w:tcPr>
          <w:p>
            <w:pPr>
              <w:spacing w:after="0"/>
              <w:rPr>
                <w:sz w:val="21"/>
                <w:szCs w:val="21"/>
                <w:color w:val="auto"/>
              </w:rPr>
            </w:pPr>
          </w:p>
        </w:tc>
        <w:tc>
          <w:tcPr>
            <w:tcW w:w="5800" w:type="dxa"/>
            <w:vAlign w:val="bottom"/>
            <w:gridSpan w:val="12"/>
          </w:tcPr>
          <w:p>
            <w:pPr>
              <w:spacing w:after="0"/>
              <w:rPr>
                <w:sz w:val="21"/>
                <w:szCs w:val="21"/>
                <w:color w:val="auto"/>
              </w:rPr>
            </w:pPr>
          </w:p>
        </w:tc>
        <w:tc>
          <w:tcPr>
            <w:tcW w:w="440" w:type="dxa"/>
            <w:vAlign w:val="bottom"/>
          </w:tcPr>
          <w:p>
            <w:pPr>
              <w:spacing w:after="0"/>
              <w:rPr>
                <w:sz w:val="21"/>
                <w:szCs w:val="21"/>
                <w:color w:val="auto"/>
              </w:rPr>
            </w:pPr>
          </w:p>
        </w:tc>
        <w:tc>
          <w:tcPr>
            <w:tcW w:w="280" w:type="dxa"/>
            <w:vAlign w:val="bottom"/>
            <w:gridSpan w:val="3"/>
          </w:tcPr>
          <w:p>
            <w:pPr>
              <w:spacing w:after="0"/>
              <w:rPr>
                <w:sz w:val="20"/>
                <w:szCs w:val="20"/>
                <w:color w:val="auto"/>
              </w:rPr>
            </w:pPr>
            <w:r>
              <w:rPr>
                <w:rFonts w:ascii="Arial" w:cs="Arial" w:eastAsia="Arial" w:hAnsi="Arial"/>
                <w:sz w:val="18"/>
                <w:szCs w:val="18"/>
                <w:color w:val="0000FF"/>
              </w:rPr>
              <w:t>39</w:t>
            </w:r>
          </w:p>
        </w:tc>
        <w:tc>
          <w:tcPr>
            <w:tcW w:w="0" w:type="dxa"/>
            <w:vAlign w:val="bottom"/>
          </w:tcPr>
          <w:p>
            <w:pPr>
              <w:spacing w:after="0"/>
              <w:rPr>
                <w:sz w:val="1"/>
                <w:szCs w:val="1"/>
                <w:color w:val="auto"/>
              </w:rPr>
            </w:pPr>
          </w:p>
        </w:tc>
      </w:tr>
      <w:tr>
        <w:trPr>
          <w:trHeight w:val="20"/>
        </w:trPr>
        <w:tc>
          <w:tcPr>
            <w:tcW w:w="9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480" w:type="dxa"/>
            <w:vAlign w:val="bottom"/>
            <w:gridSpan w:val="29"/>
          </w:tcPr>
          <w:p>
            <w:pPr>
              <w:spacing w:after="0"/>
              <w:rPr>
                <w:sz w:val="20"/>
                <w:szCs w:val="20"/>
                <w:color w:val="auto"/>
              </w:rPr>
            </w:pPr>
            <w:r>
              <w:rPr>
                <w:rFonts w:ascii="Arial" w:cs="Arial" w:eastAsia="Arial" w:hAnsi="Arial"/>
                <w:sz w:val="18"/>
                <w:szCs w:val="18"/>
                <w:color w:val="0000FF"/>
              </w:rPr>
              <w:t>Potential Payments Upon Termination or Change in Control</w:t>
            </w:r>
          </w:p>
        </w:tc>
        <w:tc>
          <w:tcPr>
            <w:tcW w:w="720" w:type="dxa"/>
            <w:vAlign w:val="bottom"/>
            <w:gridSpan w:val="4"/>
          </w:tcPr>
          <w:p>
            <w:pPr>
              <w:ind w:left="440"/>
              <w:spacing w:after="0"/>
              <w:rPr>
                <w:sz w:val="20"/>
                <w:szCs w:val="20"/>
                <w:color w:val="auto"/>
              </w:rPr>
            </w:pPr>
            <w:r>
              <w:rPr>
                <w:rFonts w:ascii="Arial" w:cs="Arial" w:eastAsia="Arial" w:hAnsi="Arial"/>
                <w:sz w:val="18"/>
                <w:szCs w:val="18"/>
                <w:color w:val="0000FF"/>
              </w:rPr>
              <w:t>39</w:t>
            </w:r>
          </w:p>
        </w:tc>
        <w:tc>
          <w:tcPr>
            <w:tcW w:w="0" w:type="dxa"/>
            <w:vAlign w:val="bottom"/>
          </w:tcPr>
          <w:p>
            <w:pPr>
              <w:spacing w:after="0"/>
              <w:rPr>
                <w:sz w:val="1"/>
                <w:szCs w:val="1"/>
                <w:color w:val="auto"/>
              </w:rPr>
            </w:pPr>
          </w:p>
        </w:tc>
      </w:tr>
      <w:tr>
        <w:trPr>
          <w:trHeight w:val="20"/>
        </w:trPr>
        <w:tc>
          <w:tcPr>
            <w:tcW w:w="9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20" w:type="dxa"/>
            <w:vAlign w:val="bottom"/>
            <w:gridSpan w:val="22"/>
          </w:tcPr>
          <w:p>
            <w:pPr>
              <w:spacing w:after="0"/>
              <w:rPr>
                <w:sz w:val="20"/>
                <w:szCs w:val="20"/>
                <w:color w:val="auto"/>
              </w:rPr>
            </w:pPr>
            <w:r>
              <w:rPr>
                <w:rFonts w:ascii="Arial" w:cs="Arial" w:eastAsia="Arial" w:hAnsi="Arial"/>
                <w:sz w:val="18"/>
                <w:szCs w:val="18"/>
                <w:color w:val="0000FF"/>
                <w:w w:val="98"/>
              </w:rPr>
              <w:t>CERTAIN RELATIONSHIPS AND RELATED TRANSACTIONS</w:t>
            </w:r>
          </w:p>
        </w:tc>
        <w:tc>
          <w:tcPr>
            <w:tcW w:w="4460" w:type="dxa"/>
            <w:vAlign w:val="bottom"/>
            <w:gridSpan w:val="7"/>
          </w:tcPr>
          <w:p>
            <w:pPr>
              <w:spacing w:after="0"/>
              <w:rPr>
                <w:sz w:val="21"/>
                <w:szCs w:val="21"/>
                <w:color w:val="auto"/>
              </w:rPr>
            </w:pPr>
          </w:p>
        </w:tc>
        <w:tc>
          <w:tcPr>
            <w:tcW w:w="440" w:type="dxa"/>
            <w:vAlign w:val="bottom"/>
          </w:tcPr>
          <w:p>
            <w:pPr>
              <w:spacing w:after="0"/>
              <w:rPr>
                <w:sz w:val="21"/>
                <w:szCs w:val="21"/>
                <w:color w:val="auto"/>
              </w:rPr>
            </w:pPr>
          </w:p>
        </w:tc>
        <w:tc>
          <w:tcPr>
            <w:tcW w:w="280" w:type="dxa"/>
            <w:vAlign w:val="bottom"/>
            <w:gridSpan w:val="3"/>
          </w:tcPr>
          <w:p>
            <w:pPr>
              <w:spacing w:after="0"/>
              <w:rPr>
                <w:sz w:val="20"/>
                <w:szCs w:val="20"/>
                <w:color w:val="auto"/>
              </w:rPr>
            </w:pPr>
            <w:r>
              <w:rPr>
                <w:rFonts w:ascii="Arial" w:cs="Arial" w:eastAsia="Arial" w:hAnsi="Arial"/>
                <w:sz w:val="18"/>
                <w:szCs w:val="18"/>
                <w:color w:val="0000FF"/>
              </w:rPr>
              <w:t>41</w:t>
            </w:r>
          </w:p>
        </w:tc>
        <w:tc>
          <w:tcPr>
            <w:tcW w:w="0" w:type="dxa"/>
            <w:vAlign w:val="bottom"/>
          </w:tcPr>
          <w:p>
            <w:pPr>
              <w:spacing w:after="0"/>
              <w:rPr>
                <w:sz w:val="1"/>
                <w:szCs w:val="1"/>
                <w:color w:val="auto"/>
              </w:rPr>
            </w:pPr>
          </w:p>
        </w:tc>
      </w:tr>
      <w:tr>
        <w:trPr>
          <w:trHeight w:val="20"/>
        </w:trPr>
        <w:tc>
          <w:tcPr>
            <w:tcW w:w="154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820" w:type="dxa"/>
            <w:vAlign w:val="bottom"/>
            <w:tcBorders>
              <w:left w:val="single" w:sz="8" w:color="0000FF"/>
            </w:tcBorders>
            <w:gridSpan w:val="5"/>
            <w:shd w:val="clear" w:color="auto" w:fill="0000FF"/>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c>
          <w:tcPr>
            <w:tcW w:w="2740" w:type="dxa"/>
            <w:vAlign w:val="bottom"/>
            <w:gridSpan w:val="3"/>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780" w:type="dxa"/>
            <w:vAlign w:val="bottom"/>
            <w:gridSpan w:val="12"/>
          </w:tcPr>
          <w:p>
            <w:pPr>
              <w:spacing w:after="0"/>
              <w:rPr>
                <w:sz w:val="20"/>
                <w:szCs w:val="20"/>
                <w:color w:val="auto"/>
              </w:rPr>
            </w:pPr>
            <w:r>
              <w:rPr>
                <w:rFonts w:ascii="Arial" w:cs="Arial" w:eastAsia="Arial" w:hAnsi="Arial"/>
                <w:sz w:val="18"/>
                <w:szCs w:val="18"/>
                <w:color w:val="0000FF"/>
                <w:w w:val="99"/>
              </w:rPr>
              <w:t>Transactions with Related Persons</w:t>
            </w:r>
          </w:p>
        </w:tc>
        <w:tc>
          <w:tcPr>
            <w:tcW w:w="2240" w:type="dxa"/>
            <w:vAlign w:val="bottom"/>
            <w:gridSpan w:val="10"/>
          </w:tcPr>
          <w:p>
            <w:pPr>
              <w:spacing w:after="0"/>
              <w:rPr>
                <w:sz w:val="21"/>
                <w:szCs w:val="21"/>
                <w:color w:val="auto"/>
              </w:rPr>
            </w:pPr>
          </w:p>
        </w:tc>
        <w:tc>
          <w:tcPr>
            <w:tcW w:w="4460" w:type="dxa"/>
            <w:vAlign w:val="bottom"/>
            <w:gridSpan w:val="7"/>
          </w:tcPr>
          <w:p>
            <w:pPr>
              <w:spacing w:after="0"/>
              <w:rPr>
                <w:sz w:val="21"/>
                <w:szCs w:val="21"/>
                <w:color w:val="auto"/>
              </w:rPr>
            </w:pPr>
          </w:p>
        </w:tc>
        <w:tc>
          <w:tcPr>
            <w:tcW w:w="440" w:type="dxa"/>
            <w:vAlign w:val="bottom"/>
          </w:tcPr>
          <w:p>
            <w:pPr>
              <w:spacing w:after="0"/>
              <w:rPr>
                <w:sz w:val="21"/>
                <w:szCs w:val="21"/>
                <w:color w:val="auto"/>
              </w:rPr>
            </w:pPr>
          </w:p>
        </w:tc>
        <w:tc>
          <w:tcPr>
            <w:tcW w:w="280" w:type="dxa"/>
            <w:vAlign w:val="bottom"/>
            <w:gridSpan w:val="3"/>
          </w:tcPr>
          <w:p>
            <w:pPr>
              <w:spacing w:after="0"/>
              <w:rPr>
                <w:sz w:val="20"/>
                <w:szCs w:val="20"/>
                <w:color w:val="auto"/>
              </w:rPr>
            </w:pPr>
            <w:r>
              <w:rPr>
                <w:rFonts w:ascii="Arial" w:cs="Arial" w:eastAsia="Arial" w:hAnsi="Arial"/>
                <w:sz w:val="18"/>
                <w:szCs w:val="18"/>
                <w:color w:val="0000FF"/>
              </w:rPr>
              <w:t>41</w:t>
            </w:r>
          </w:p>
        </w:tc>
        <w:tc>
          <w:tcPr>
            <w:tcW w:w="0" w:type="dxa"/>
            <w:vAlign w:val="bottom"/>
          </w:tcPr>
          <w:p>
            <w:pPr>
              <w:spacing w:after="0"/>
              <w:rPr>
                <w:sz w:val="1"/>
                <w:szCs w:val="1"/>
                <w:color w:val="auto"/>
              </w:rPr>
            </w:pPr>
          </w:p>
        </w:tc>
      </w:tr>
      <w:tr>
        <w:trPr>
          <w:trHeight w:val="20"/>
        </w:trPr>
        <w:tc>
          <w:tcPr>
            <w:tcW w:w="154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20" w:type="dxa"/>
            <w:vAlign w:val="bottom"/>
            <w:gridSpan w:val="5"/>
          </w:tcPr>
          <w:p>
            <w:pPr>
              <w:spacing w:after="0" w:line="20" w:lineRule="exact"/>
              <w:rPr>
                <w:sz w:val="1"/>
                <w:szCs w:val="1"/>
                <w:color w:val="auto"/>
              </w:rPr>
            </w:pPr>
          </w:p>
        </w:tc>
        <w:tc>
          <w:tcPr>
            <w:tcW w:w="3780" w:type="dxa"/>
            <w:vAlign w:val="bottom"/>
            <w:gridSpan w:val="6"/>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680" w:type="dxa"/>
            <w:vAlign w:val="bottom"/>
            <w:gridSpan w:val="3"/>
          </w:tcPr>
          <w:p>
            <w:pPr>
              <w:spacing w:after="0"/>
              <w:rPr>
                <w:sz w:val="20"/>
                <w:szCs w:val="20"/>
                <w:color w:val="auto"/>
              </w:rPr>
            </w:pPr>
            <w:r>
              <w:rPr>
                <w:rFonts w:ascii="Arial" w:cs="Arial" w:eastAsia="Arial" w:hAnsi="Arial"/>
                <w:sz w:val="18"/>
                <w:szCs w:val="18"/>
                <w:color w:val="0000FF"/>
                <w:w w:val="99"/>
              </w:rPr>
              <w:t>Pay Ratio Disclosure</w:t>
            </w:r>
          </w:p>
        </w:tc>
        <w:tc>
          <w:tcPr>
            <w:tcW w:w="1100" w:type="dxa"/>
            <w:vAlign w:val="bottom"/>
            <w:gridSpan w:val="9"/>
          </w:tcPr>
          <w:p>
            <w:pPr>
              <w:spacing w:after="0"/>
              <w:rPr>
                <w:sz w:val="21"/>
                <w:szCs w:val="21"/>
                <w:color w:val="auto"/>
              </w:rPr>
            </w:pPr>
          </w:p>
        </w:tc>
        <w:tc>
          <w:tcPr>
            <w:tcW w:w="6700" w:type="dxa"/>
            <w:vAlign w:val="bottom"/>
            <w:gridSpan w:val="17"/>
          </w:tcPr>
          <w:p>
            <w:pPr>
              <w:spacing w:after="0"/>
              <w:rPr>
                <w:sz w:val="21"/>
                <w:szCs w:val="21"/>
                <w:color w:val="auto"/>
              </w:rPr>
            </w:pPr>
          </w:p>
        </w:tc>
        <w:tc>
          <w:tcPr>
            <w:tcW w:w="440" w:type="dxa"/>
            <w:vAlign w:val="bottom"/>
          </w:tcPr>
          <w:p>
            <w:pPr>
              <w:spacing w:after="0"/>
              <w:rPr>
                <w:sz w:val="21"/>
                <w:szCs w:val="21"/>
                <w:color w:val="auto"/>
              </w:rPr>
            </w:pPr>
          </w:p>
        </w:tc>
        <w:tc>
          <w:tcPr>
            <w:tcW w:w="280" w:type="dxa"/>
            <w:vAlign w:val="bottom"/>
            <w:gridSpan w:val="3"/>
          </w:tcPr>
          <w:p>
            <w:pPr>
              <w:spacing w:after="0"/>
              <w:rPr>
                <w:sz w:val="20"/>
                <w:szCs w:val="20"/>
                <w:color w:val="auto"/>
              </w:rPr>
            </w:pPr>
            <w:r>
              <w:rPr>
                <w:rFonts w:ascii="Arial" w:cs="Arial" w:eastAsia="Arial" w:hAnsi="Arial"/>
                <w:sz w:val="18"/>
                <w:szCs w:val="18"/>
                <w:color w:val="0000FF"/>
              </w:rPr>
              <w:t>41</w:t>
            </w:r>
          </w:p>
        </w:tc>
        <w:tc>
          <w:tcPr>
            <w:tcW w:w="0" w:type="dxa"/>
            <w:vAlign w:val="bottom"/>
          </w:tcPr>
          <w:p>
            <w:pPr>
              <w:spacing w:after="0"/>
              <w:rPr>
                <w:sz w:val="1"/>
                <w:szCs w:val="1"/>
                <w:color w:val="auto"/>
              </w:rPr>
            </w:pPr>
          </w:p>
        </w:tc>
      </w:tr>
      <w:tr>
        <w:trPr>
          <w:trHeight w:val="20"/>
        </w:trPr>
        <w:tc>
          <w:tcPr>
            <w:tcW w:w="154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820" w:type="dxa"/>
            <w:vAlign w:val="bottom"/>
            <w:gridSpan w:val="5"/>
          </w:tcPr>
          <w:p>
            <w:pPr>
              <w:spacing w:after="0" w:line="20" w:lineRule="exact"/>
              <w:rPr>
                <w:sz w:val="1"/>
                <w:szCs w:val="1"/>
                <w:color w:val="auto"/>
              </w:rPr>
            </w:pPr>
          </w:p>
        </w:tc>
        <w:tc>
          <w:tcPr>
            <w:tcW w:w="3780" w:type="dxa"/>
            <w:vAlign w:val="bottom"/>
            <w:gridSpan w:val="6"/>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00" w:type="dxa"/>
            <w:vAlign w:val="bottom"/>
            <w:gridSpan w:val="6"/>
          </w:tcPr>
          <w:p>
            <w:pPr>
              <w:spacing w:after="0"/>
              <w:rPr>
                <w:sz w:val="20"/>
                <w:szCs w:val="20"/>
                <w:color w:val="auto"/>
              </w:rPr>
            </w:pPr>
            <w:r>
              <w:rPr>
                <w:rFonts w:ascii="Arial" w:cs="Arial" w:eastAsia="Arial" w:hAnsi="Arial"/>
                <w:sz w:val="18"/>
                <w:szCs w:val="18"/>
                <w:color w:val="0000FF"/>
                <w:w w:val="98"/>
              </w:rPr>
              <w:t>Pay Versus Performance</w:t>
            </w:r>
          </w:p>
        </w:tc>
        <w:tc>
          <w:tcPr>
            <w:tcW w:w="7480" w:type="dxa"/>
            <w:vAlign w:val="bottom"/>
            <w:gridSpan w:val="23"/>
          </w:tcPr>
          <w:p>
            <w:pPr>
              <w:spacing w:after="0"/>
              <w:rPr>
                <w:sz w:val="21"/>
                <w:szCs w:val="21"/>
                <w:color w:val="auto"/>
              </w:rPr>
            </w:pPr>
          </w:p>
        </w:tc>
        <w:tc>
          <w:tcPr>
            <w:tcW w:w="440" w:type="dxa"/>
            <w:vAlign w:val="bottom"/>
          </w:tcPr>
          <w:p>
            <w:pPr>
              <w:spacing w:after="0"/>
              <w:rPr>
                <w:sz w:val="21"/>
                <w:szCs w:val="21"/>
                <w:color w:val="auto"/>
              </w:rPr>
            </w:pPr>
          </w:p>
        </w:tc>
        <w:tc>
          <w:tcPr>
            <w:tcW w:w="280" w:type="dxa"/>
            <w:vAlign w:val="bottom"/>
            <w:gridSpan w:val="3"/>
          </w:tcPr>
          <w:p>
            <w:pPr>
              <w:spacing w:after="0"/>
              <w:rPr>
                <w:sz w:val="20"/>
                <w:szCs w:val="20"/>
                <w:color w:val="auto"/>
              </w:rPr>
            </w:pPr>
            <w:r>
              <w:rPr>
                <w:rFonts w:ascii="Arial" w:cs="Arial" w:eastAsia="Arial" w:hAnsi="Arial"/>
                <w:sz w:val="18"/>
                <w:szCs w:val="18"/>
                <w:color w:val="0000FF"/>
              </w:rPr>
              <w:t>42</w:t>
            </w:r>
          </w:p>
        </w:tc>
        <w:tc>
          <w:tcPr>
            <w:tcW w:w="0" w:type="dxa"/>
            <w:vAlign w:val="bottom"/>
          </w:tcPr>
          <w:p>
            <w:pPr>
              <w:spacing w:after="0"/>
              <w:rPr>
                <w:sz w:val="1"/>
                <w:szCs w:val="1"/>
                <w:color w:val="auto"/>
              </w:rPr>
            </w:pPr>
          </w:p>
        </w:tc>
      </w:tr>
      <w:tr>
        <w:trPr>
          <w:trHeight w:val="20"/>
        </w:trPr>
        <w:tc>
          <w:tcPr>
            <w:tcW w:w="1540" w:type="dxa"/>
            <w:vAlign w:val="bottom"/>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820" w:type="dxa"/>
            <w:vAlign w:val="bottom"/>
            <w:gridSpan w:val="5"/>
          </w:tcPr>
          <w:p>
            <w:pPr>
              <w:spacing w:after="0" w:line="20" w:lineRule="exact"/>
              <w:rPr>
                <w:sz w:val="1"/>
                <w:szCs w:val="1"/>
                <w:color w:val="auto"/>
              </w:rPr>
            </w:pPr>
          </w:p>
        </w:tc>
        <w:tc>
          <w:tcPr>
            <w:tcW w:w="3780" w:type="dxa"/>
            <w:vAlign w:val="bottom"/>
            <w:gridSpan w:val="6"/>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480" w:type="dxa"/>
            <w:vAlign w:val="bottom"/>
            <w:gridSpan w:val="29"/>
          </w:tcPr>
          <w:p>
            <w:pPr>
              <w:spacing w:after="0"/>
              <w:rPr>
                <w:sz w:val="20"/>
                <w:szCs w:val="20"/>
                <w:color w:val="auto"/>
              </w:rPr>
            </w:pPr>
            <w:r>
              <w:rPr>
                <w:rFonts w:ascii="Arial" w:cs="Arial" w:eastAsia="Arial" w:hAnsi="Arial"/>
                <w:sz w:val="18"/>
                <w:szCs w:val="18"/>
                <w:color w:val="0000FF"/>
              </w:rPr>
              <w:t>PROPOSAL THREE: RATIFICATION OF THE APPOINTMENT OF OUR INDEPENDENT REGISTERED PUBLIC</w:t>
            </w:r>
          </w:p>
        </w:tc>
        <w:tc>
          <w:tcPr>
            <w:tcW w:w="720" w:type="dxa"/>
            <w:vAlign w:val="bottom"/>
            <w:gridSpan w:val="4"/>
            <w:vMerge w:val="restart"/>
          </w:tcPr>
          <w:p>
            <w:pPr>
              <w:ind w:left="440"/>
              <w:spacing w:after="0"/>
              <w:rPr>
                <w:sz w:val="20"/>
                <w:szCs w:val="20"/>
                <w:color w:val="auto"/>
              </w:rPr>
            </w:pPr>
            <w:r>
              <w:rPr>
                <w:rFonts w:ascii="Arial" w:cs="Arial" w:eastAsia="Arial" w:hAnsi="Arial"/>
                <w:sz w:val="18"/>
                <w:szCs w:val="18"/>
                <w:color w:val="0000FF"/>
              </w:rPr>
              <w:t>46</w:t>
            </w:r>
          </w:p>
        </w:tc>
        <w:tc>
          <w:tcPr>
            <w:tcW w:w="0" w:type="dxa"/>
            <w:vAlign w:val="bottom"/>
          </w:tcPr>
          <w:p>
            <w:pPr>
              <w:spacing w:after="0"/>
              <w:rPr>
                <w:sz w:val="1"/>
                <w:szCs w:val="1"/>
                <w:color w:val="auto"/>
              </w:rPr>
            </w:pPr>
          </w:p>
        </w:tc>
      </w:tr>
      <w:tr>
        <w:trPr>
          <w:trHeight w:val="88"/>
        </w:trPr>
        <w:tc>
          <w:tcPr>
            <w:tcW w:w="9040" w:type="dxa"/>
            <w:vAlign w:val="bottom"/>
            <w:tcBorders>
              <w:top w:val="single" w:sz="8" w:color="0000FF"/>
            </w:tcBorders>
            <w:gridSpan w:val="28"/>
            <w:vMerge w:val="restart"/>
          </w:tcPr>
          <w:p>
            <w:pPr>
              <w:spacing w:after="0" w:line="196" w:lineRule="exact"/>
              <w:rPr>
                <w:sz w:val="20"/>
                <w:szCs w:val="20"/>
                <w:color w:val="auto"/>
              </w:rPr>
            </w:pPr>
            <w:r>
              <w:rPr>
                <w:rFonts w:ascii="Arial" w:cs="Arial" w:eastAsia="Arial" w:hAnsi="Arial"/>
                <w:sz w:val="18"/>
                <w:szCs w:val="18"/>
                <w:color w:val="0000FF"/>
              </w:rPr>
              <w:t>ACCOUNTING FIRM</w:t>
            </w:r>
          </w:p>
        </w:tc>
        <w:tc>
          <w:tcPr>
            <w:tcW w:w="440" w:type="dxa"/>
            <w:vAlign w:val="bottom"/>
            <w:vMerge w:val="restart"/>
          </w:tcPr>
          <w:p>
            <w:pPr>
              <w:spacing w:after="0"/>
              <w:rPr>
                <w:sz w:val="7"/>
                <w:szCs w:val="7"/>
                <w:color w:val="auto"/>
              </w:rPr>
            </w:pPr>
          </w:p>
        </w:tc>
        <w:tc>
          <w:tcPr>
            <w:tcW w:w="72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9040" w:type="dxa"/>
            <w:vAlign w:val="bottom"/>
            <w:tcBorders>
              <w:top w:val="single" w:sz="8" w:color="0000FF"/>
            </w:tcBorders>
            <w:gridSpan w:val="28"/>
            <w:vMerge w:val="continue"/>
          </w:tcPr>
          <w:p>
            <w:pPr>
              <w:spacing w:after="0"/>
              <w:rPr>
                <w:sz w:val="7"/>
                <w:szCs w:val="7"/>
                <w:color w:val="auto"/>
              </w:rPr>
            </w:pPr>
          </w:p>
        </w:tc>
        <w:tc>
          <w:tcPr>
            <w:tcW w:w="440" w:type="dxa"/>
            <w:vAlign w:val="bottom"/>
            <w:vMerge w:val="continue"/>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Borders>
              <w:top w:val="single" w:sz="8" w:color="0000FF"/>
            </w:tcBorders>
          </w:tcPr>
          <w:p>
            <w:pPr>
              <w:spacing w:after="0"/>
              <w:rPr>
                <w:sz w:val="7"/>
                <w:szCs w:val="7"/>
                <w:color w:val="auto"/>
              </w:rPr>
            </w:pPr>
          </w:p>
        </w:tc>
        <w:tc>
          <w:tcPr>
            <w:tcW w:w="100" w:type="dxa"/>
            <w:vAlign w:val="bottom"/>
            <w:tcBorders>
              <w:top w:val="single" w:sz="8" w:color="0000FF"/>
            </w:tcBorders>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540" w:type="dxa"/>
            <w:vAlign w:val="bottom"/>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820" w:type="dxa"/>
            <w:vAlign w:val="bottom"/>
            <w:gridSpan w:val="5"/>
          </w:tcPr>
          <w:p>
            <w:pPr>
              <w:spacing w:after="0" w:line="20" w:lineRule="exact"/>
              <w:rPr>
                <w:sz w:val="1"/>
                <w:szCs w:val="1"/>
                <w:color w:val="auto"/>
              </w:rPr>
            </w:pPr>
          </w:p>
        </w:tc>
        <w:tc>
          <w:tcPr>
            <w:tcW w:w="3780" w:type="dxa"/>
            <w:vAlign w:val="bottom"/>
            <w:gridSpan w:val="6"/>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600" w:type="dxa"/>
            <w:vAlign w:val="bottom"/>
            <w:gridSpan w:val="10"/>
          </w:tcPr>
          <w:p>
            <w:pPr>
              <w:spacing w:after="0"/>
              <w:rPr>
                <w:sz w:val="20"/>
                <w:szCs w:val="20"/>
                <w:color w:val="auto"/>
              </w:rPr>
            </w:pPr>
            <w:r>
              <w:rPr>
                <w:rFonts w:ascii="Arial" w:cs="Arial" w:eastAsia="Arial" w:hAnsi="Arial"/>
                <w:sz w:val="18"/>
                <w:szCs w:val="18"/>
                <w:color w:val="0000FF"/>
                <w:w w:val="98"/>
              </w:rPr>
              <w:t>Selection of the Accounting Firm</w:t>
            </w:r>
          </w:p>
        </w:tc>
        <w:tc>
          <w:tcPr>
            <w:tcW w:w="6880" w:type="dxa"/>
            <w:vAlign w:val="bottom"/>
            <w:gridSpan w:val="19"/>
          </w:tcPr>
          <w:p>
            <w:pPr>
              <w:spacing w:after="0"/>
              <w:rPr>
                <w:sz w:val="21"/>
                <w:szCs w:val="21"/>
                <w:color w:val="auto"/>
              </w:rPr>
            </w:pPr>
          </w:p>
        </w:tc>
        <w:tc>
          <w:tcPr>
            <w:tcW w:w="440" w:type="dxa"/>
            <w:vAlign w:val="bottom"/>
          </w:tcPr>
          <w:p>
            <w:pPr>
              <w:spacing w:after="0"/>
              <w:rPr>
                <w:sz w:val="21"/>
                <w:szCs w:val="21"/>
                <w:color w:val="auto"/>
              </w:rPr>
            </w:pPr>
          </w:p>
        </w:tc>
        <w:tc>
          <w:tcPr>
            <w:tcW w:w="280" w:type="dxa"/>
            <w:vAlign w:val="bottom"/>
            <w:gridSpan w:val="3"/>
          </w:tcPr>
          <w:p>
            <w:pPr>
              <w:spacing w:after="0"/>
              <w:rPr>
                <w:sz w:val="20"/>
                <w:szCs w:val="20"/>
                <w:color w:val="auto"/>
              </w:rPr>
            </w:pPr>
            <w:r>
              <w:rPr>
                <w:rFonts w:ascii="Arial" w:cs="Arial" w:eastAsia="Arial" w:hAnsi="Arial"/>
                <w:sz w:val="18"/>
                <w:szCs w:val="18"/>
                <w:color w:val="0000FF"/>
              </w:rPr>
              <w:t>46</w:t>
            </w:r>
          </w:p>
        </w:tc>
        <w:tc>
          <w:tcPr>
            <w:tcW w:w="0" w:type="dxa"/>
            <w:vAlign w:val="bottom"/>
          </w:tcPr>
          <w:p>
            <w:pPr>
              <w:spacing w:after="0"/>
              <w:rPr>
                <w:sz w:val="1"/>
                <w:szCs w:val="1"/>
                <w:color w:val="auto"/>
              </w:rPr>
            </w:pPr>
          </w:p>
        </w:tc>
      </w:tr>
      <w:tr>
        <w:trPr>
          <w:trHeight w:val="20"/>
        </w:trPr>
        <w:tc>
          <w:tcPr>
            <w:tcW w:w="1540" w:type="dxa"/>
            <w:vAlign w:val="bottom"/>
            <w:gridSpan w:val="2"/>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640" w:type="dxa"/>
            <w:vAlign w:val="bottom"/>
            <w:gridSpan w:val="4"/>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820" w:type="dxa"/>
            <w:vAlign w:val="bottom"/>
            <w:gridSpan w:val="5"/>
          </w:tcPr>
          <w:p>
            <w:pPr>
              <w:spacing w:after="0" w:line="20" w:lineRule="exact"/>
              <w:rPr>
                <w:sz w:val="1"/>
                <w:szCs w:val="1"/>
                <w:color w:val="auto"/>
              </w:rPr>
            </w:pPr>
          </w:p>
        </w:tc>
        <w:tc>
          <w:tcPr>
            <w:tcW w:w="3780" w:type="dxa"/>
            <w:vAlign w:val="bottom"/>
            <w:gridSpan w:val="6"/>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480" w:type="dxa"/>
            <w:vAlign w:val="bottom"/>
            <w:gridSpan w:val="29"/>
          </w:tcPr>
          <w:p>
            <w:pPr>
              <w:spacing w:after="0"/>
              <w:rPr>
                <w:sz w:val="20"/>
                <w:szCs w:val="20"/>
                <w:color w:val="auto"/>
              </w:rPr>
            </w:pPr>
            <w:r>
              <w:rPr>
                <w:rFonts w:ascii="Arial" w:cs="Arial" w:eastAsia="Arial" w:hAnsi="Arial"/>
                <w:sz w:val="18"/>
                <w:szCs w:val="18"/>
                <w:color w:val="0000FF"/>
              </w:rPr>
              <w:t>Policy on Audit Committee Pre-Approval of Audit and Permissible Non-Audit Services of Independent Registered</w:t>
            </w:r>
          </w:p>
        </w:tc>
        <w:tc>
          <w:tcPr>
            <w:tcW w:w="720" w:type="dxa"/>
            <w:vAlign w:val="bottom"/>
            <w:gridSpan w:val="4"/>
            <w:vMerge w:val="restart"/>
          </w:tcPr>
          <w:p>
            <w:pPr>
              <w:ind w:left="440"/>
              <w:spacing w:after="0"/>
              <w:rPr>
                <w:sz w:val="20"/>
                <w:szCs w:val="20"/>
                <w:color w:val="auto"/>
              </w:rPr>
            </w:pPr>
            <w:r>
              <w:rPr>
                <w:rFonts w:ascii="Arial" w:cs="Arial" w:eastAsia="Arial" w:hAnsi="Arial"/>
                <w:sz w:val="18"/>
                <w:szCs w:val="18"/>
                <w:color w:val="0000FF"/>
              </w:rPr>
              <w:t>47</w:t>
            </w:r>
          </w:p>
        </w:tc>
        <w:tc>
          <w:tcPr>
            <w:tcW w:w="0" w:type="dxa"/>
            <w:vAlign w:val="bottom"/>
          </w:tcPr>
          <w:p>
            <w:pPr>
              <w:spacing w:after="0"/>
              <w:rPr>
                <w:sz w:val="1"/>
                <w:szCs w:val="1"/>
                <w:color w:val="auto"/>
              </w:rPr>
            </w:pPr>
          </w:p>
        </w:tc>
      </w:tr>
      <w:tr>
        <w:trPr>
          <w:trHeight w:val="88"/>
        </w:trPr>
        <w:tc>
          <w:tcPr>
            <w:tcW w:w="8960" w:type="dxa"/>
            <w:vAlign w:val="bottom"/>
            <w:tcBorders>
              <w:top w:val="single" w:sz="8" w:color="0000FF"/>
            </w:tcBorders>
            <w:gridSpan w:val="27"/>
            <w:vMerge w:val="restart"/>
          </w:tcPr>
          <w:p>
            <w:pPr>
              <w:spacing w:after="0" w:line="196" w:lineRule="exact"/>
              <w:rPr>
                <w:sz w:val="20"/>
                <w:szCs w:val="20"/>
                <w:color w:val="auto"/>
              </w:rPr>
            </w:pPr>
            <w:r>
              <w:rPr>
                <w:rFonts w:ascii="Arial" w:cs="Arial" w:eastAsia="Arial" w:hAnsi="Arial"/>
                <w:sz w:val="18"/>
                <w:szCs w:val="18"/>
                <w:color w:val="0000FF"/>
              </w:rPr>
              <w:t>Public Accounting Firm</w:t>
            </w:r>
          </w:p>
        </w:tc>
        <w:tc>
          <w:tcPr>
            <w:tcW w:w="520" w:type="dxa"/>
            <w:vAlign w:val="bottom"/>
            <w:gridSpan w:val="2"/>
            <w:vMerge w:val="restart"/>
          </w:tcPr>
          <w:p>
            <w:pPr>
              <w:spacing w:after="0"/>
              <w:rPr>
                <w:sz w:val="7"/>
                <w:szCs w:val="7"/>
                <w:color w:val="auto"/>
              </w:rPr>
            </w:pPr>
          </w:p>
        </w:tc>
        <w:tc>
          <w:tcPr>
            <w:tcW w:w="72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8960" w:type="dxa"/>
            <w:vAlign w:val="bottom"/>
            <w:tcBorders>
              <w:top w:val="single" w:sz="8" w:color="0000FF"/>
            </w:tcBorders>
            <w:gridSpan w:val="27"/>
            <w:vMerge w:val="continue"/>
          </w:tcPr>
          <w:p>
            <w:pPr>
              <w:spacing w:after="0"/>
              <w:rPr>
                <w:sz w:val="7"/>
                <w:szCs w:val="7"/>
                <w:color w:val="auto"/>
              </w:rPr>
            </w:pPr>
          </w:p>
        </w:tc>
        <w:tc>
          <w:tcPr>
            <w:tcW w:w="520" w:type="dxa"/>
            <w:vAlign w:val="bottom"/>
            <w:gridSpan w:val="2"/>
            <w:vMerge w:val="continue"/>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Borders>
              <w:top w:val="single" w:sz="8" w:color="0000FF"/>
            </w:tcBorders>
          </w:tcPr>
          <w:p>
            <w:pPr>
              <w:spacing w:after="0"/>
              <w:rPr>
                <w:sz w:val="7"/>
                <w:szCs w:val="7"/>
                <w:color w:val="auto"/>
              </w:rPr>
            </w:pPr>
          </w:p>
        </w:tc>
        <w:tc>
          <w:tcPr>
            <w:tcW w:w="100" w:type="dxa"/>
            <w:vAlign w:val="bottom"/>
            <w:tcBorders>
              <w:top w:val="single" w:sz="8" w:color="0000FF"/>
            </w:tcBorders>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540" w:type="dxa"/>
            <w:vAlign w:val="bottom"/>
            <w:gridSpan w:val="2"/>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820" w:type="dxa"/>
            <w:vAlign w:val="bottom"/>
            <w:gridSpan w:val="5"/>
          </w:tcPr>
          <w:p>
            <w:pPr>
              <w:spacing w:after="0" w:line="20" w:lineRule="exact"/>
              <w:rPr>
                <w:sz w:val="1"/>
                <w:szCs w:val="1"/>
                <w:color w:val="auto"/>
              </w:rPr>
            </w:pPr>
          </w:p>
        </w:tc>
        <w:tc>
          <w:tcPr>
            <w:tcW w:w="3780" w:type="dxa"/>
            <w:vAlign w:val="bottom"/>
            <w:gridSpan w:val="6"/>
          </w:tcPr>
          <w:p>
            <w:pPr>
              <w:spacing w:after="0" w:line="20" w:lineRule="exact"/>
              <w:rPr>
                <w:sz w:val="1"/>
                <w:szCs w:val="1"/>
                <w:color w:val="auto"/>
              </w:rPr>
            </w:pPr>
          </w:p>
        </w:tc>
        <w:tc>
          <w:tcPr>
            <w:tcW w:w="1720" w:type="dxa"/>
            <w:vAlign w:val="bottom"/>
            <w:gridSpan w:val="4"/>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480" w:type="dxa"/>
            <w:vAlign w:val="bottom"/>
            <w:gridSpan w:val="29"/>
          </w:tcPr>
          <w:p>
            <w:pPr>
              <w:spacing w:after="0"/>
              <w:rPr>
                <w:sz w:val="20"/>
                <w:szCs w:val="20"/>
                <w:color w:val="auto"/>
              </w:rPr>
            </w:pPr>
            <w:r>
              <w:rPr>
                <w:rFonts w:ascii="Arial" w:cs="Arial" w:eastAsia="Arial" w:hAnsi="Arial"/>
                <w:sz w:val="18"/>
                <w:szCs w:val="18"/>
                <w:color w:val="0000FF"/>
              </w:rPr>
              <w:t>Principal Accountant Fees and Services</w:t>
            </w:r>
          </w:p>
        </w:tc>
        <w:tc>
          <w:tcPr>
            <w:tcW w:w="720" w:type="dxa"/>
            <w:vAlign w:val="bottom"/>
            <w:gridSpan w:val="4"/>
          </w:tcPr>
          <w:p>
            <w:pPr>
              <w:ind w:left="440"/>
              <w:spacing w:after="0"/>
              <w:rPr>
                <w:sz w:val="20"/>
                <w:szCs w:val="20"/>
                <w:color w:val="auto"/>
              </w:rPr>
            </w:pPr>
            <w:r>
              <w:rPr>
                <w:rFonts w:ascii="Arial" w:cs="Arial" w:eastAsia="Arial" w:hAnsi="Arial"/>
                <w:sz w:val="18"/>
                <w:szCs w:val="18"/>
                <w:color w:val="0000FF"/>
              </w:rPr>
              <w:t>47</w:t>
            </w:r>
          </w:p>
        </w:tc>
        <w:tc>
          <w:tcPr>
            <w:tcW w:w="0" w:type="dxa"/>
            <w:vAlign w:val="bottom"/>
          </w:tcPr>
          <w:p>
            <w:pPr>
              <w:spacing w:after="0"/>
              <w:rPr>
                <w:sz w:val="1"/>
                <w:szCs w:val="1"/>
                <w:color w:val="auto"/>
              </w:rPr>
            </w:pPr>
          </w:p>
        </w:tc>
      </w:tr>
      <w:tr>
        <w:trPr>
          <w:trHeight w:val="20"/>
        </w:trPr>
        <w:tc>
          <w:tcPr>
            <w:tcW w:w="9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480" w:type="dxa"/>
            <w:vAlign w:val="bottom"/>
            <w:gridSpan w:val="9"/>
          </w:tcPr>
          <w:p>
            <w:pPr>
              <w:spacing w:after="0"/>
              <w:rPr>
                <w:sz w:val="20"/>
                <w:szCs w:val="20"/>
                <w:color w:val="auto"/>
              </w:rPr>
            </w:pPr>
            <w:r>
              <w:rPr>
                <w:rFonts w:ascii="Arial" w:cs="Arial" w:eastAsia="Arial" w:hAnsi="Arial"/>
                <w:sz w:val="18"/>
                <w:szCs w:val="18"/>
                <w:color w:val="0000FF"/>
                <w:w w:val="98"/>
              </w:rPr>
              <w:t>AUDIT COMMITTEE REPORT</w:t>
            </w:r>
          </w:p>
        </w:tc>
        <w:tc>
          <w:tcPr>
            <w:tcW w:w="680" w:type="dxa"/>
            <w:vAlign w:val="bottom"/>
            <w:gridSpan w:val="5"/>
          </w:tcPr>
          <w:p>
            <w:pPr>
              <w:spacing w:after="0"/>
              <w:rPr>
                <w:sz w:val="21"/>
                <w:szCs w:val="21"/>
                <w:color w:val="auto"/>
              </w:rPr>
            </w:pPr>
          </w:p>
        </w:tc>
        <w:tc>
          <w:tcPr>
            <w:tcW w:w="6320" w:type="dxa"/>
            <w:vAlign w:val="bottom"/>
            <w:gridSpan w:val="15"/>
          </w:tcPr>
          <w:p>
            <w:pPr>
              <w:spacing w:after="0"/>
              <w:rPr>
                <w:sz w:val="21"/>
                <w:szCs w:val="21"/>
                <w:color w:val="auto"/>
              </w:rPr>
            </w:pPr>
          </w:p>
        </w:tc>
        <w:tc>
          <w:tcPr>
            <w:tcW w:w="440" w:type="dxa"/>
            <w:vAlign w:val="bottom"/>
          </w:tcPr>
          <w:p>
            <w:pPr>
              <w:spacing w:after="0"/>
              <w:rPr>
                <w:sz w:val="21"/>
                <w:szCs w:val="21"/>
                <w:color w:val="auto"/>
              </w:rPr>
            </w:pPr>
          </w:p>
        </w:tc>
        <w:tc>
          <w:tcPr>
            <w:tcW w:w="280" w:type="dxa"/>
            <w:vAlign w:val="bottom"/>
            <w:gridSpan w:val="3"/>
          </w:tcPr>
          <w:p>
            <w:pPr>
              <w:spacing w:after="0"/>
              <w:rPr>
                <w:sz w:val="20"/>
                <w:szCs w:val="20"/>
                <w:color w:val="auto"/>
              </w:rPr>
            </w:pPr>
            <w:r>
              <w:rPr>
                <w:rFonts w:ascii="Arial" w:cs="Arial" w:eastAsia="Arial" w:hAnsi="Arial"/>
                <w:sz w:val="18"/>
                <w:szCs w:val="18"/>
                <w:color w:val="0000FF"/>
              </w:rPr>
              <w:t>48</w:t>
            </w:r>
          </w:p>
        </w:tc>
        <w:tc>
          <w:tcPr>
            <w:tcW w:w="0" w:type="dxa"/>
            <w:vAlign w:val="bottom"/>
          </w:tcPr>
          <w:p>
            <w:pPr>
              <w:spacing w:after="0"/>
              <w:rPr>
                <w:sz w:val="1"/>
                <w:szCs w:val="1"/>
                <w:color w:val="auto"/>
              </w:rPr>
            </w:pPr>
          </w:p>
        </w:tc>
      </w:tr>
      <w:tr>
        <w:trPr>
          <w:trHeight w:val="20"/>
        </w:trPr>
        <w:tc>
          <w:tcPr>
            <w:tcW w:w="1540" w:type="dxa"/>
            <w:vAlign w:val="bottom"/>
            <w:gridSpan w:val="2"/>
            <w:shd w:val="clear" w:color="auto" w:fill="0000FF"/>
          </w:tcPr>
          <w:p>
            <w:pPr>
              <w:spacing w:after="0" w:line="20" w:lineRule="exact"/>
              <w:rPr>
                <w:sz w:val="1"/>
                <w:szCs w:val="1"/>
                <w:color w:val="auto"/>
              </w:rPr>
            </w:pPr>
          </w:p>
        </w:tc>
        <w:tc>
          <w:tcPr>
            <w:tcW w:w="940" w:type="dxa"/>
            <w:vAlign w:val="bottom"/>
            <w:gridSpan w:val="7"/>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gridSpan w:val="9"/>
          </w:tcPr>
          <w:p>
            <w:pPr>
              <w:spacing w:after="0" w:line="20" w:lineRule="exact"/>
              <w:rPr>
                <w:sz w:val="1"/>
                <w:szCs w:val="1"/>
                <w:color w:val="auto"/>
              </w:rPr>
            </w:pPr>
          </w:p>
        </w:tc>
        <w:tc>
          <w:tcPr>
            <w:tcW w:w="3780" w:type="dxa"/>
            <w:vAlign w:val="bottom"/>
            <w:gridSpan w:val="6"/>
          </w:tcPr>
          <w:p>
            <w:pPr>
              <w:spacing w:after="0" w:line="20" w:lineRule="exact"/>
              <w:rPr>
                <w:sz w:val="1"/>
                <w:szCs w:val="1"/>
                <w:color w:val="auto"/>
              </w:rPr>
            </w:pPr>
          </w:p>
        </w:tc>
        <w:tc>
          <w:tcPr>
            <w:tcW w:w="172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480" w:type="dxa"/>
            <w:vAlign w:val="bottom"/>
            <w:gridSpan w:val="29"/>
          </w:tcPr>
          <w:p>
            <w:pPr>
              <w:spacing w:after="0"/>
              <w:rPr>
                <w:sz w:val="20"/>
                <w:szCs w:val="20"/>
                <w:color w:val="auto"/>
              </w:rPr>
            </w:pPr>
            <w:r>
              <w:rPr>
                <w:rFonts w:ascii="Arial" w:cs="Arial" w:eastAsia="Arial" w:hAnsi="Arial"/>
                <w:sz w:val="18"/>
                <w:szCs w:val="18"/>
                <w:color w:val="0000FF"/>
              </w:rPr>
              <w:t>EQUITY COMPENSATION PLAN INFORMATION</w:t>
            </w:r>
          </w:p>
        </w:tc>
        <w:tc>
          <w:tcPr>
            <w:tcW w:w="720" w:type="dxa"/>
            <w:vAlign w:val="bottom"/>
            <w:gridSpan w:val="4"/>
          </w:tcPr>
          <w:p>
            <w:pPr>
              <w:ind w:left="440"/>
              <w:spacing w:after="0"/>
              <w:rPr>
                <w:sz w:val="20"/>
                <w:szCs w:val="20"/>
                <w:color w:val="auto"/>
              </w:rPr>
            </w:pPr>
            <w:r>
              <w:rPr>
                <w:rFonts w:ascii="Arial" w:cs="Arial" w:eastAsia="Arial" w:hAnsi="Arial"/>
                <w:sz w:val="18"/>
                <w:szCs w:val="18"/>
                <w:color w:val="0000FF"/>
              </w:rPr>
              <w:t>49</w:t>
            </w:r>
          </w:p>
        </w:tc>
        <w:tc>
          <w:tcPr>
            <w:tcW w:w="0" w:type="dxa"/>
            <w:vAlign w:val="bottom"/>
          </w:tcPr>
          <w:p>
            <w:pPr>
              <w:spacing w:after="0"/>
              <w:rPr>
                <w:sz w:val="1"/>
                <w:szCs w:val="1"/>
                <w:color w:val="auto"/>
              </w:rPr>
            </w:pPr>
          </w:p>
        </w:tc>
      </w:tr>
      <w:tr>
        <w:trPr>
          <w:trHeight w:val="20"/>
        </w:trPr>
        <w:tc>
          <w:tcPr>
            <w:tcW w:w="1540" w:type="dxa"/>
            <w:vAlign w:val="bottom"/>
            <w:gridSpan w:val="2"/>
            <w:shd w:val="clear" w:color="auto" w:fill="0000FF"/>
          </w:tcPr>
          <w:p>
            <w:pPr>
              <w:spacing w:after="0" w:line="20" w:lineRule="exact"/>
              <w:rPr>
                <w:sz w:val="1"/>
                <w:szCs w:val="1"/>
                <w:color w:val="auto"/>
              </w:rPr>
            </w:pPr>
          </w:p>
        </w:tc>
        <w:tc>
          <w:tcPr>
            <w:tcW w:w="1060" w:type="dxa"/>
            <w:vAlign w:val="bottom"/>
            <w:tcBorders>
              <w:right w:val="single" w:sz="8" w:color="0000FF"/>
            </w:tcBorders>
            <w:gridSpan w:val="8"/>
            <w:shd w:val="clear" w:color="auto" w:fill="0000FF"/>
          </w:tcPr>
          <w:p>
            <w:pPr>
              <w:spacing w:after="0" w:line="20" w:lineRule="exact"/>
              <w:rPr>
                <w:sz w:val="1"/>
                <w:szCs w:val="1"/>
                <w:color w:val="auto"/>
              </w:rPr>
            </w:pPr>
          </w:p>
        </w:tc>
        <w:tc>
          <w:tcPr>
            <w:tcW w:w="1380" w:type="dxa"/>
            <w:vAlign w:val="bottom"/>
            <w:gridSpan w:val="9"/>
            <w:shd w:val="clear" w:color="auto" w:fill="0000FF"/>
          </w:tcPr>
          <w:p>
            <w:pPr>
              <w:spacing w:after="0" w:line="20" w:lineRule="exact"/>
              <w:rPr>
                <w:sz w:val="1"/>
                <w:szCs w:val="1"/>
                <w:color w:val="auto"/>
              </w:rPr>
            </w:pPr>
          </w:p>
        </w:tc>
        <w:tc>
          <w:tcPr>
            <w:tcW w:w="3780" w:type="dxa"/>
            <w:vAlign w:val="bottom"/>
            <w:gridSpan w:val="6"/>
          </w:tcPr>
          <w:p>
            <w:pPr>
              <w:spacing w:after="0" w:line="20" w:lineRule="exact"/>
              <w:rPr>
                <w:sz w:val="1"/>
                <w:szCs w:val="1"/>
                <w:color w:val="auto"/>
              </w:rPr>
            </w:pPr>
          </w:p>
        </w:tc>
        <w:tc>
          <w:tcPr>
            <w:tcW w:w="172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480" w:type="dxa"/>
            <w:vAlign w:val="bottom"/>
            <w:gridSpan w:val="29"/>
          </w:tcPr>
          <w:p>
            <w:pPr>
              <w:spacing w:after="0"/>
              <w:rPr>
                <w:sz w:val="20"/>
                <w:szCs w:val="20"/>
                <w:color w:val="auto"/>
              </w:rPr>
            </w:pPr>
            <w:r>
              <w:rPr>
                <w:rFonts w:ascii="Arial" w:cs="Arial" w:eastAsia="Arial" w:hAnsi="Arial"/>
                <w:sz w:val="18"/>
                <w:szCs w:val="18"/>
                <w:color w:val="0000FF"/>
              </w:rPr>
              <w:t>QUESTIONS AND ANSWERS ABOUT THE PROXY MATERIALS AND THE ANNUAL MEETING</w:t>
            </w:r>
          </w:p>
        </w:tc>
        <w:tc>
          <w:tcPr>
            <w:tcW w:w="720" w:type="dxa"/>
            <w:vAlign w:val="bottom"/>
            <w:gridSpan w:val="4"/>
          </w:tcPr>
          <w:p>
            <w:pPr>
              <w:ind w:left="440"/>
              <w:spacing w:after="0"/>
              <w:rPr>
                <w:sz w:val="20"/>
                <w:szCs w:val="20"/>
                <w:color w:val="auto"/>
              </w:rPr>
            </w:pPr>
            <w:r>
              <w:rPr>
                <w:rFonts w:ascii="Arial" w:cs="Arial" w:eastAsia="Arial" w:hAnsi="Arial"/>
                <w:sz w:val="18"/>
                <w:szCs w:val="18"/>
                <w:color w:val="0000FF"/>
              </w:rPr>
              <w:t>50</w:t>
            </w:r>
          </w:p>
        </w:tc>
        <w:tc>
          <w:tcPr>
            <w:tcW w:w="0" w:type="dxa"/>
            <w:vAlign w:val="bottom"/>
          </w:tcPr>
          <w:p>
            <w:pPr>
              <w:spacing w:after="0"/>
              <w:rPr>
                <w:sz w:val="1"/>
                <w:szCs w:val="1"/>
                <w:color w:val="auto"/>
              </w:rPr>
            </w:pPr>
          </w:p>
        </w:tc>
      </w:tr>
      <w:tr>
        <w:trPr>
          <w:trHeight w:val="20"/>
        </w:trPr>
        <w:tc>
          <w:tcPr>
            <w:tcW w:w="1540" w:type="dxa"/>
            <w:vAlign w:val="bottom"/>
            <w:gridSpan w:val="2"/>
            <w:shd w:val="clear" w:color="auto" w:fill="0000FF"/>
          </w:tcPr>
          <w:p>
            <w:pPr>
              <w:spacing w:after="0" w:line="20" w:lineRule="exact"/>
              <w:rPr>
                <w:sz w:val="1"/>
                <w:szCs w:val="1"/>
                <w:color w:val="auto"/>
              </w:rPr>
            </w:pPr>
          </w:p>
        </w:tc>
        <w:tc>
          <w:tcPr>
            <w:tcW w:w="1060" w:type="dxa"/>
            <w:vAlign w:val="bottom"/>
            <w:tcBorders>
              <w:right w:val="single" w:sz="8" w:color="0000FF"/>
            </w:tcBorders>
            <w:gridSpan w:val="8"/>
            <w:shd w:val="clear" w:color="auto" w:fill="0000FF"/>
          </w:tcPr>
          <w:p>
            <w:pPr>
              <w:spacing w:after="0" w:line="20" w:lineRule="exact"/>
              <w:rPr>
                <w:sz w:val="1"/>
                <w:szCs w:val="1"/>
                <w:color w:val="auto"/>
              </w:rPr>
            </w:pPr>
          </w:p>
        </w:tc>
        <w:tc>
          <w:tcPr>
            <w:tcW w:w="5160" w:type="dxa"/>
            <w:vAlign w:val="bottom"/>
            <w:gridSpan w:val="15"/>
            <w:shd w:val="clear" w:color="auto" w:fill="0000FF"/>
          </w:tcPr>
          <w:p>
            <w:pPr>
              <w:spacing w:after="0" w:line="20" w:lineRule="exact"/>
              <w:rPr>
                <w:sz w:val="1"/>
                <w:szCs w:val="1"/>
                <w:color w:val="auto"/>
              </w:rPr>
            </w:pPr>
          </w:p>
        </w:tc>
        <w:tc>
          <w:tcPr>
            <w:tcW w:w="172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540" w:type="dxa"/>
            <w:vAlign w:val="bottom"/>
            <w:gridSpan w:val="2"/>
          </w:tcPr>
          <w:p>
            <w:pPr>
              <w:spacing w:after="0"/>
              <w:rPr>
                <w:sz w:val="20"/>
                <w:szCs w:val="20"/>
                <w:color w:val="auto"/>
              </w:rPr>
            </w:pPr>
            <w:r>
              <w:rPr>
                <w:rFonts w:ascii="Arial" w:cs="Arial" w:eastAsia="Arial" w:hAnsi="Arial"/>
                <w:sz w:val="18"/>
                <w:szCs w:val="18"/>
                <w:color w:val="0000FF"/>
                <w:w w:val="98"/>
              </w:rPr>
              <w:t>OTHER MATTERS</w:t>
            </w:r>
          </w:p>
        </w:tc>
        <w:tc>
          <w:tcPr>
            <w:tcW w:w="6220" w:type="dxa"/>
            <w:vAlign w:val="bottom"/>
            <w:gridSpan w:val="23"/>
          </w:tcPr>
          <w:p>
            <w:pPr>
              <w:spacing w:after="0"/>
              <w:rPr>
                <w:sz w:val="21"/>
                <w:szCs w:val="21"/>
                <w:color w:val="auto"/>
              </w:rPr>
            </w:pPr>
          </w:p>
        </w:tc>
        <w:tc>
          <w:tcPr>
            <w:tcW w:w="1720" w:type="dxa"/>
            <w:vAlign w:val="bottom"/>
            <w:gridSpan w:val="4"/>
          </w:tcPr>
          <w:p>
            <w:pPr>
              <w:spacing w:after="0"/>
              <w:rPr>
                <w:sz w:val="21"/>
                <w:szCs w:val="21"/>
                <w:color w:val="auto"/>
              </w:rPr>
            </w:pPr>
          </w:p>
        </w:tc>
        <w:tc>
          <w:tcPr>
            <w:tcW w:w="440" w:type="dxa"/>
            <w:vAlign w:val="bottom"/>
          </w:tcPr>
          <w:p>
            <w:pPr>
              <w:spacing w:after="0"/>
              <w:rPr>
                <w:sz w:val="21"/>
                <w:szCs w:val="21"/>
                <w:color w:val="auto"/>
              </w:rPr>
            </w:pPr>
          </w:p>
        </w:tc>
        <w:tc>
          <w:tcPr>
            <w:tcW w:w="280" w:type="dxa"/>
            <w:vAlign w:val="bottom"/>
            <w:gridSpan w:val="3"/>
          </w:tcPr>
          <w:p>
            <w:pPr>
              <w:spacing w:after="0"/>
              <w:rPr>
                <w:sz w:val="20"/>
                <w:szCs w:val="20"/>
                <w:color w:val="auto"/>
              </w:rPr>
            </w:pPr>
            <w:r>
              <w:rPr>
                <w:rFonts w:ascii="Arial" w:cs="Arial" w:eastAsia="Arial" w:hAnsi="Arial"/>
                <w:sz w:val="18"/>
                <w:szCs w:val="18"/>
                <w:color w:val="0000FF"/>
              </w:rPr>
              <w:t>56</w:t>
            </w:r>
          </w:p>
        </w:tc>
        <w:tc>
          <w:tcPr>
            <w:tcW w:w="0" w:type="dxa"/>
            <w:vAlign w:val="bottom"/>
          </w:tcPr>
          <w:p>
            <w:pPr>
              <w:spacing w:after="0"/>
              <w:rPr>
                <w:sz w:val="1"/>
                <w:szCs w:val="1"/>
                <w:color w:val="auto"/>
              </w:rPr>
            </w:pPr>
          </w:p>
        </w:tc>
      </w:tr>
      <w:tr>
        <w:trPr>
          <w:trHeight w:val="20"/>
        </w:trPr>
        <w:tc>
          <w:tcPr>
            <w:tcW w:w="1540" w:type="dxa"/>
            <w:vAlign w:val="bottom"/>
            <w:gridSpan w:val="2"/>
            <w:shd w:val="clear" w:color="auto" w:fill="0000FF"/>
          </w:tcPr>
          <w:p>
            <w:pPr>
              <w:spacing w:after="0" w:line="20" w:lineRule="exact"/>
              <w:rPr>
                <w:sz w:val="1"/>
                <w:szCs w:val="1"/>
                <w:color w:val="auto"/>
              </w:rPr>
            </w:pPr>
          </w:p>
        </w:tc>
        <w:tc>
          <w:tcPr>
            <w:tcW w:w="1060" w:type="dxa"/>
            <w:vAlign w:val="bottom"/>
            <w:gridSpan w:val="8"/>
          </w:tcPr>
          <w:p>
            <w:pPr>
              <w:spacing w:after="0" w:line="20" w:lineRule="exact"/>
              <w:rPr>
                <w:sz w:val="1"/>
                <w:szCs w:val="1"/>
                <w:color w:val="auto"/>
              </w:rPr>
            </w:pPr>
          </w:p>
        </w:tc>
        <w:tc>
          <w:tcPr>
            <w:tcW w:w="6880" w:type="dxa"/>
            <w:vAlign w:val="bottom"/>
            <w:gridSpan w:val="19"/>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480" w:type="dxa"/>
            <w:vAlign w:val="bottom"/>
            <w:gridSpan w:val="29"/>
          </w:tcPr>
          <w:p>
            <w:pPr>
              <w:spacing w:after="0"/>
              <w:rPr>
                <w:sz w:val="20"/>
                <w:szCs w:val="20"/>
                <w:color w:val="auto"/>
              </w:rPr>
            </w:pPr>
            <w:r>
              <w:rPr>
                <w:rFonts w:ascii="Arial" w:cs="Arial" w:eastAsia="Arial" w:hAnsi="Arial"/>
                <w:sz w:val="18"/>
                <w:szCs w:val="18"/>
                <w:color w:val="0000FF"/>
              </w:rPr>
              <w:t>Annex A – Non-GAAP Measures</w:t>
            </w:r>
          </w:p>
        </w:tc>
        <w:tc>
          <w:tcPr>
            <w:tcW w:w="720" w:type="dxa"/>
            <w:vAlign w:val="bottom"/>
            <w:gridSpan w:val="4"/>
          </w:tcPr>
          <w:p>
            <w:pPr>
              <w:ind w:left="440"/>
              <w:spacing w:after="0"/>
              <w:rPr>
                <w:sz w:val="20"/>
                <w:szCs w:val="20"/>
                <w:color w:val="auto"/>
              </w:rPr>
            </w:pPr>
            <w:r>
              <w:rPr>
                <w:rFonts w:ascii="Arial" w:cs="Arial" w:eastAsia="Arial" w:hAnsi="Arial"/>
                <w:sz w:val="18"/>
                <w:szCs w:val="18"/>
                <w:color w:val="0000FF"/>
                <w:w w:val="92"/>
              </w:rPr>
              <w:t>A-1</w:t>
            </w:r>
          </w:p>
        </w:tc>
        <w:tc>
          <w:tcPr>
            <w:tcW w:w="0" w:type="dxa"/>
            <w:vAlign w:val="bottom"/>
          </w:tcPr>
          <w:p>
            <w:pPr>
              <w:spacing w:after="0"/>
              <w:rPr>
                <w:sz w:val="1"/>
                <w:szCs w:val="1"/>
                <w:color w:val="auto"/>
              </w:rPr>
            </w:pPr>
          </w:p>
        </w:tc>
      </w:tr>
      <w:tr>
        <w:trPr>
          <w:trHeight w:val="20"/>
        </w:trPr>
        <w:tc>
          <w:tcPr>
            <w:tcW w:w="9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200"/>
          </w:cols>
          <w:pgMar w:left="340" w:top="763" w:right="135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25"/>
          <w:szCs w:val="25"/>
          <w:b w:val="1"/>
          <w:bCs w:val="1"/>
          <w:color w:val="EF3A35"/>
        </w:rPr>
        <w:t>FORWARD-LOOKING STATEMENTS</w:t>
      </w:r>
    </w:p>
    <w:p>
      <w:pPr>
        <w:spacing w:after="0" w:line="12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This Proxy Statement contains forward-looking statements within the meaning of Section 27A of the Securities Act of 1933, as amended, and Section 21E of the Securities Exchange Act of 1934, as amended, with respect to Shutterstock, Inc.’s (“Shutterstock,” “we,” “us,” or the “Company”) plans, intentions, expectations, assumptions, goals and beliefs regarding its business, including the expected benefits, timing and completion of the proposed Merger. All statements other than statements of historical fact are forward-looking statements. Examples of forward-looking statements include, but are not limited to, statements regarding our proposed Merger, future business, our ability to consummate other acquisitions and integrate the businesses we have acquired or may acquire into our existing operations, management strategies and our competitive position.</w:t>
      </w:r>
    </w:p>
    <w:p>
      <w:pPr>
        <w:spacing w:after="0" w:line="75"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You can identify many forward-looking statements by words such as “may,” “will,” “would,” “should,” “could,” “expects,” “aims,” “anticipates,” “believes,” “estimates,” “intends,” “plans,” “predicts,” “projects,” “seeks,” “potential,” “opportunities,” “targets,” “goals,” and other similar expressions and the negatives of such expressions. However, not all forward-looking statements contain these words.</w:t>
      </w:r>
    </w:p>
    <w:p>
      <w:pPr>
        <w:spacing w:after="0" w:line="6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Forward-looking statements are subject to known and unknown risks, uncertainties and other factors that could cause actual results to differ materially from those expressed or implied in the forward-looking statements. Important factors that could cause actual results to differ materially include, among other things, risks related to the closing of our propose Merger and those factors discussed under “Risk Factors” in our Annual Report on Form 10-K filed with the Securities and Exchange Commission on February 25, 2025, and our Form 10-K/A filed on March 28, 2025, as supplemented from time to time. Given these and other risks and uncertainties, you should not place undue reliance on any forward-looking statements.</w:t>
      </w:r>
    </w:p>
    <w:p>
      <w:pPr>
        <w:spacing w:after="0" w:line="74"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The forward-looking statements contained in this Proxy Statement speak only as of the date of this Proxy Statement. We do not intend, and except as required by law, undertake no obligation, to update any forward-looking statements as a result of new information, future events or otherwise. All subsequent written and oral forward-looking statements attributable to the Company or persons acting on its behalf are expressly qualified in their entirety by the cautionary statements contained in this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20"/>
          </w:cols>
          <w:pgMar w:left="320" w:top="763" w:right="359" w:bottom="1440" w:gutter="0" w:footer="0" w:header="0"/>
        </w:sectPr>
      </w:pPr>
    </w:p>
    <w:bookmarkStart w:id="8" w:name="page9"/>
    <w:bookmarkEnd w:id="8"/>
    <w:p>
      <w:pPr>
        <w:ind w:left="1360"/>
        <w:spacing w:after="0"/>
        <w:rPr>
          <w:sz w:val="20"/>
          <w:szCs w:val="20"/>
          <w:color w:val="auto"/>
        </w:rPr>
      </w:pPr>
      <w:r>
        <w:rPr>
          <w:rFonts w:ascii="Arial" w:cs="Arial" w:eastAsia="Arial" w:hAnsi="Arial"/>
          <w:sz w:val="25"/>
          <w:szCs w:val="25"/>
          <w:b w:val="1"/>
          <w:bCs w:val="1"/>
          <w:color w:val="EF3A35"/>
        </w:rPr>
        <w:t>DIRECTORS, EXECUTIVE OFFICERS AND CORPORATE GOVERNANCE</w:t>
      </w:r>
    </w:p>
    <w:p>
      <w:pPr>
        <w:spacing w:after="0" w:line="127" w:lineRule="exact"/>
        <w:rPr>
          <w:sz w:val="20"/>
          <w:szCs w:val="20"/>
          <w:color w:val="auto"/>
        </w:rPr>
      </w:pPr>
    </w:p>
    <w:p>
      <w:pPr>
        <w:spacing w:after="0"/>
        <w:rPr>
          <w:sz w:val="20"/>
          <w:szCs w:val="20"/>
          <w:color w:val="auto"/>
        </w:rPr>
      </w:pPr>
      <w:r>
        <w:rPr>
          <w:rFonts w:ascii="Arial" w:cs="Arial" w:eastAsia="Arial" w:hAnsi="Arial"/>
          <w:sz w:val="22"/>
          <w:szCs w:val="22"/>
          <w:b w:val="1"/>
          <w:bCs w:val="1"/>
          <w:color w:val="EF3A35"/>
        </w:rPr>
        <w:t>Directors and Executive Officers</w:t>
      </w:r>
    </w:p>
    <w:p>
      <w:pPr>
        <w:spacing w:after="0" w:line="121"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The names of our directors and executive officers and their ages, positions and biographies as of November 20, 2025 are set forth below. Our business and affairs are managed under the oversight of our Board of Directors, and our executive officers are appointed by and serve at the discretion of our Board of Directors. There are no family relationships among our directors or executive officers.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17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Name</w:t>
            </w:r>
          </w:p>
        </w:tc>
        <w:tc>
          <w:tcPr>
            <w:tcW w:w="88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rPr>
              <w:t>Age</w:t>
            </w:r>
          </w:p>
        </w:tc>
        <w:tc>
          <w:tcPr>
            <w:tcW w:w="858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Position</w:t>
            </w:r>
          </w:p>
        </w:tc>
      </w:tr>
      <w:tr>
        <w:trPr>
          <w:trHeight w:val="241"/>
        </w:trPr>
        <w:tc>
          <w:tcPr>
            <w:tcW w:w="1760" w:type="dxa"/>
            <w:vAlign w:val="bottom"/>
          </w:tcPr>
          <w:p>
            <w:pPr>
              <w:ind w:left="20"/>
              <w:spacing w:after="0"/>
              <w:rPr>
                <w:sz w:val="20"/>
                <w:szCs w:val="20"/>
                <w:color w:val="auto"/>
              </w:rPr>
            </w:pPr>
            <w:r>
              <w:rPr>
                <w:rFonts w:ascii="Arial" w:cs="Arial" w:eastAsia="Arial" w:hAnsi="Arial"/>
                <w:sz w:val="18"/>
                <w:szCs w:val="18"/>
                <w:color w:val="auto"/>
              </w:rPr>
              <w:t>Jonathan Oringer</w:t>
            </w:r>
          </w:p>
        </w:tc>
        <w:tc>
          <w:tcPr>
            <w:tcW w:w="880" w:type="dxa"/>
            <w:vAlign w:val="bottom"/>
          </w:tcPr>
          <w:p>
            <w:pPr>
              <w:ind w:left="300"/>
              <w:spacing w:after="0"/>
              <w:rPr>
                <w:sz w:val="20"/>
                <w:szCs w:val="20"/>
                <w:color w:val="auto"/>
              </w:rPr>
            </w:pPr>
            <w:r>
              <w:rPr>
                <w:rFonts w:ascii="Arial" w:cs="Arial" w:eastAsia="Arial" w:hAnsi="Arial"/>
                <w:sz w:val="18"/>
                <w:szCs w:val="18"/>
                <w:color w:val="auto"/>
              </w:rPr>
              <w:t>51</w:t>
            </w:r>
          </w:p>
        </w:tc>
        <w:tc>
          <w:tcPr>
            <w:tcW w:w="8580" w:type="dxa"/>
            <w:vAlign w:val="bottom"/>
          </w:tcPr>
          <w:p>
            <w:pPr>
              <w:ind w:left="240"/>
              <w:spacing w:after="0"/>
              <w:rPr>
                <w:sz w:val="20"/>
                <w:szCs w:val="20"/>
                <w:color w:val="auto"/>
              </w:rPr>
            </w:pPr>
            <w:r>
              <w:rPr>
                <w:rFonts w:ascii="Arial" w:cs="Arial" w:eastAsia="Arial" w:hAnsi="Arial"/>
                <w:sz w:val="18"/>
                <w:szCs w:val="18"/>
                <w:color w:val="auto"/>
              </w:rPr>
              <w:t xml:space="preserve">Founder and Executive Chairman of the Board </w:t>
            </w:r>
            <w:r>
              <w:rPr>
                <w:rFonts w:ascii="Arial" w:cs="Arial" w:eastAsia="Arial" w:hAnsi="Arial"/>
                <w:sz w:val="18"/>
                <w:szCs w:val="18"/>
                <w:i w:val="1"/>
                <w:iCs w:val="1"/>
                <w:color w:val="auto"/>
              </w:rPr>
              <w:t>(Nominee for election at the 2025 Annual Meeting)</w:t>
            </w:r>
          </w:p>
        </w:tc>
      </w:tr>
      <w:tr>
        <w:trPr>
          <w:trHeight w:val="270"/>
        </w:trPr>
        <w:tc>
          <w:tcPr>
            <w:tcW w:w="1760" w:type="dxa"/>
            <w:vAlign w:val="bottom"/>
          </w:tcPr>
          <w:p>
            <w:pPr>
              <w:ind w:left="20"/>
              <w:spacing w:after="0"/>
              <w:rPr>
                <w:sz w:val="20"/>
                <w:szCs w:val="20"/>
                <w:color w:val="auto"/>
              </w:rPr>
            </w:pPr>
            <w:r>
              <w:rPr>
                <w:rFonts w:ascii="Arial" w:cs="Arial" w:eastAsia="Arial" w:hAnsi="Arial"/>
                <w:sz w:val="18"/>
                <w:szCs w:val="18"/>
                <w:color w:val="auto"/>
              </w:rPr>
              <w:t>Rachna Bhasin</w:t>
            </w:r>
          </w:p>
        </w:tc>
        <w:tc>
          <w:tcPr>
            <w:tcW w:w="880" w:type="dxa"/>
            <w:vAlign w:val="bottom"/>
          </w:tcPr>
          <w:p>
            <w:pPr>
              <w:ind w:left="300"/>
              <w:spacing w:after="0"/>
              <w:rPr>
                <w:sz w:val="20"/>
                <w:szCs w:val="20"/>
                <w:color w:val="auto"/>
              </w:rPr>
            </w:pPr>
            <w:r>
              <w:rPr>
                <w:rFonts w:ascii="Arial" w:cs="Arial" w:eastAsia="Arial" w:hAnsi="Arial"/>
                <w:sz w:val="18"/>
                <w:szCs w:val="18"/>
                <w:color w:val="auto"/>
              </w:rPr>
              <w:t>53</w:t>
            </w:r>
          </w:p>
        </w:tc>
        <w:tc>
          <w:tcPr>
            <w:tcW w:w="8580" w:type="dxa"/>
            <w:vAlign w:val="bottom"/>
          </w:tcPr>
          <w:p>
            <w:pPr>
              <w:ind w:left="240"/>
              <w:spacing w:after="0"/>
              <w:rPr>
                <w:sz w:val="20"/>
                <w:szCs w:val="20"/>
                <w:color w:val="auto"/>
              </w:rPr>
            </w:pPr>
            <w:r>
              <w:rPr>
                <w:rFonts w:ascii="Arial" w:cs="Arial" w:eastAsia="Arial" w:hAnsi="Arial"/>
                <w:sz w:val="18"/>
                <w:szCs w:val="18"/>
                <w:color w:val="auto"/>
              </w:rPr>
              <w:t xml:space="preserve">Director </w:t>
            </w:r>
            <w:r>
              <w:rPr>
                <w:rFonts w:ascii="Arial" w:cs="Arial" w:eastAsia="Arial" w:hAnsi="Arial"/>
                <w:sz w:val="18"/>
                <w:szCs w:val="18"/>
                <w:i w:val="1"/>
                <w:iCs w:val="1"/>
                <w:color w:val="auto"/>
              </w:rPr>
              <w:t>(Nominee for election at the 2025 Annual Meeting)</w:t>
            </w:r>
          </w:p>
        </w:tc>
      </w:tr>
      <w:tr>
        <w:trPr>
          <w:trHeight w:val="270"/>
        </w:trPr>
        <w:tc>
          <w:tcPr>
            <w:tcW w:w="1760" w:type="dxa"/>
            <w:vAlign w:val="bottom"/>
          </w:tcPr>
          <w:p>
            <w:pPr>
              <w:ind w:left="20"/>
              <w:spacing w:after="0"/>
              <w:rPr>
                <w:sz w:val="20"/>
                <w:szCs w:val="20"/>
                <w:color w:val="auto"/>
              </w:rPr>
            </w:pPr>
            <w:r>
              <w:rPr>
                <w:rFonts w:ascii="Arial" w:cs="Arial" w:eastAsia="Arial" w:hAnsi="Arial"/>
                <w:sz w:val="18"/>
                <w:szCs w:val="18"/>
                <w:color w:val="auto"/>
              </w:rPr>
              <w:t>Deirdre Bigley</w:t>
            </w:r>
          </w:p>
        </w:tc>
        <w:tc>
          <w:tcPr>
            <w:tcW w:w="880" w:type="dxa"/>
            <w:vAlign w:val="bottom"/>
          </w:tcPr>
          <w:p>
            <w:pPr>
              <w:ind w:left="300"/>
              <w:spacing w:after="0"/>
              <w:rPr>
                <w:sz w:val="20"/>
                <w:szCs w:val="20"/>
                <w:color w:val="auto"/>
              </w:rPr>
            </w:pPr>
            <w:r>
              <w:rPr>
                <w:rFonts w:ascii="Arial" w:cs="Arial" w:eastAsia="Arial" w:hAnsi="Arial"/>
                <w:sz w:val="18"/>
                <w:szCs w:val="18"/>
                <w:color w:val="auto"/>
              </w:rPr>
              <w:t>61</w:t>
            </w:r>
          </w:p>
        </w:tc>
        <w:tc>
          <w:tcPr>
            <w:tcW w:w="8580" w:type="dxa"/>
            <w:vAlign w:val="bottom"/>
          </w:tcPr>
          <w:p>
            <w:pPr>
              <w:ind w:left="240"/>
              <w:spacing w:after="0"/>
              <w:rPr>
                <w:sz w:val="20"/>
                <w:szCs w:val="20"/>
                <w:color w:val="auto"/>
              </w:rPr>
            </w:pPr>
            <w:r>
              <w:rPr>
                <w:rFonts w:ascii="Arial" w:cs="Arial" w:eastAsia="Arial" w:hAnsi="Arial"/>
                <w:sz w:val="18"/>
                <w:szCs w:val="18"/>
                <w:color w:val="auto"/>
              </w:rPr>
              <w:t>Director</w:t>
            </w:r>
          </w:p>
        </w:tc>
      </w:tr>
      <w:tr>
        <w:trPr>
          <w:trHeight w:val="270"/>
        </w:trPr>
        <w:tc>
          <w:tcPr>
            <w:tcW w:w="1760" w:type="dxa"/>
            <w:vAlign w:val="bottom"/>
          </w:tcPr>
          <w:p>
            <w:pPr>
              <w:ind w:left="20"/>
              <w:spacing w:after="0"/>
              <w:rPr>
                <w:sz w:val="20"/>
                <w:szCs w:val="20"/>
                <w:color w:val="auto"/>
              </w:rPr>
            </w:pPr>
            <w:r>
              <w:rPr>
                <w:rFonts w:ascii="Arial" w:cs="Arial" w:eastAsia="Arial" w:hAnsi="Arial"/>
                <w:sz w:val="18"/>
                <w:szCs w:val="18"/>
                <w:color w:val="auto"/>
              </w:rPr>
              <w:t>Thomas R. Evans</w:t>
            </w:r>
          </w:p>
        </w:tc>
        <w:tc>
          <w:tcPr>
            <w:tcW w:w="880" w:type="dxa"/>
            <w:vAlign w:val="bottom"/>
          </w:tcPr>
          <w:p>
            <w:pPr>
              <w:ind w:left="300"/>
              <w:spacing w:after="0"/>
              <w:rPr>
                <w:sz w:val="20"/>
                <w:szCs w:val="20"/>
                <w:color w:val="auto"/>
              </w:rPr>
            </w:pPr>
            <w:r>
              <w:rPr>
                <w:rFonts w:ascii="Arial" w:cs="Arial" w:eastAsia="Arial" w:hAnsi="Arial"/>
                <w:sz w:val="18"/>
                <w:szCs w:val="18"/>
                <w:color w:val="auto"/>
              </w:rPr>
              <w:t>71</w:t>
            </w:r>
          </w:p>
        </w:tc>
        <w:tc>
          <w:tcPr>
            <w:tcW w:w="8580" w:type="dxa"/>
            <w:vAlign w:val="bottom"/>
          </w:tcPr>
          <w:p>
            <w:pPr>
              <w:ind w:left="240"/>
              <w:spacing w:after="0"/>
              <w:rPr>
                <w:sz w:val="20"/>
                <w:szCs w:val="20"/>
                <w:color w:val="auto"/>
              </w:rPr>
            </w:pPr>
            <w:r>
              <w:rPr>
                <w:rFonts w:ascii="Arial" w:cs="Arial" w:eastAsia="Arial" w:hAnsi="Arial"/>
                <w:sz w:val="18"/>
                <w:szCs w:val="18"/>
                <w:color w:val="auto"/>
              </w:rPr>
              <w:t>Director</w:t>
            </w:r>
          </w:p>
        </w:tc>
      </w:tr>
      <w:tr>
        <w:trPr>
          <w:trHeight w:val="270"/>
        </w:trPr>
        <w:tc>
          <w:tcPr>
            <w:tcW w:w="1760" w:type="dxa"/>
            <w:vAlign w:val="bottom"/>
          </w:tcPr>
          <w:p>
            <w:pPr>
              <w:ind w:left="20"/>
              <w:spacing w:after="0"/>
              <w:rPr>
                <w:sz w:val="20"/>
                <w:szCs w:val="20"/>
                <w:color w:val="auto"/>
              </w:rPr>
            </w:pPr>
            <w:r>
              <w:rPr>
                <w:rFonts w:ascii="Arial" w:cs="Arial" w:eastAsia="Arial" w:hAnsi="Arial"/>
                <w:sz w:val="18"/>
                <w:szCs w:val="18"/>
                <w:color w:val="auto"/>
              </w:rPr>
              <w:t>Paul J. Hennessy</w:t>
            </w:r>
          </w:p>
        </w:tc>
        <w:tc>
          <w:tcPr>
            <w:tcW w:w="880" w:type="dxa"/>
            <w:vAlign w:val="bottom"/>
          </w:tcPr>
          <w:p>
            <w:pPr>
              <w:ind w:left="300"/>
              <w:spacing w:after="0"/>
              <w:rPr>
                <w:sz w:val="20"/>
                <w:szCs w:val="20"/>
                <w:color w:val="auto"/>
              </w:rPr>
            </w:pPr>
            <w:r>
              <w:rPr>
                <w:rFonts w:ascii="Arial" w:cs="Arial" w:eastAsia="Arial" w:hAnsi="Arial"/>
                <w:sz w:val="18"/>
                <w:szCs w:val="18"/>
                <w:color w:val="auto"/>
              </w:rPr>
              <w:t>61</w:t>
            </w:r>
          </w:p>
        </w:tc>
        <w:tc>
          <w:tcPr>
            <w:tcW w:w="8580" w:type="dxa"/>
            <w:vAlign w:val="bottom"/>
          </w:tcPr>
          <w:p>
            <w:pPr>
              <w:ind w:left="240"/>
              <w:spacing w:after="0"/>
              <w:rPr>
                <w:sz w:val="20"/>
                <w:szCs w:val="20"/>
                <w:color w:val="auto"/>
              </w:rPr>
            </w:pPr>
            <w:r>
              <w:rPr>
                <w:rFonts w:ascii="Arial" w:cs="Arial" w:eastAsia="Arial" w:hAnsi="Arial"/>
                <w:sz w:val="18"/>
                <w:szCs w:val="18"/>
                <w:color w:val="auto"/>
              </w:rPr>
              <w:t>Director and Chief Executive Officer</w:t>
            </w:r>
          </w:p>
        </w:tc>
      </w:tr>
      <w:tr>
        <w:trPr>
          <w:trHeight w:val="270"/>
        </w:trPr>
        <w:tc>
          <w:tcPr>
            <w:tcW w:w="1760" w:type="dxa"/>
            <w:vAlign w:val="bottom"/>
          </w:tcPr>
          <w:p>
            <w:pPr>
              <w:ind w:left="20"/>
              <w:spacing w:after="0"/>
              <w:rPr>
                <w:sz w:val="20"/>
                <w:szCs w:val="20"/>
                <w:color w:val="auto"/>
              </w:rPr>
            </w:pPr>
            <w:r>
              <w:rPr>
                <w:rFonts w:ascii="Arial" w:cs="Arial" w:eastAsia="Arial" w:hAnsi="Arial"/>
                <w:sz w:val="18"/>
                <w:szCs w:val="18"/>
                <w:color w:val="auto"/>
              </w:rPr>
              <w:t>Rik Powell</w:t>
            </w:r>
          </w:p>
        </w:tc>
        <w:tc>
          <w:tcPr>
            <w:tcW w:w="880" w:type="dxa"/>
            <w:vAlign w:val="bottom"/>
          </w:tcPr>
          <w:p>
            <w:pPr>
              <w:ind w:left="300"/>
              <w:spacing w:after="0"/>
              <w:rPr>
                <w:sz w:val="20"/>
                <w:szCs w:val="20"/>
                <w:color w:val="auto"/>
              </w:rPr>
            </w:pPr>
            <w:r>
              <w:rPr>
                <w:rFonts w:ascii="Arial" w:cs="Arial" w:eastAsia="Arial" w:hAnsi="Arial"/>
                <w:sz w:val="18"/>
                <w:szCs w:val="18"/>
                <w:color w:val="auto"/>
              </w:rPr>
              <w:t>53</w:t>
            </w:r>
          </w:p>
        </w:tc>
        <w:tc>
          <w:tcPr>
            <w:tcW w:w="8580" w:type="dxa"/>
            <w:vAlign w:val="bottom"/>
          </w:tcPr>
          <w:p>
            <w:pPr>
              <w:ind w:left="240"/>
              <w:spacing w:after="0"/>
              <w:rPr>
                <w:sz w:val="20"/>
                <w:szCs w:val="20"/>
                <w:color w:val="auto"/>
              </w:rPr>
            </w:pPr>
            <w:r>
              <w:rPr>
                <w:rFonts w:ascii="Arial" w:cs="Arial" w:eastAsia="Arial" w:hAnsi="Arial"/>
                <w:sz w:val="18"/>
                <w:szCs w:val="18"/>
                <w:color w:val="auto"/>
              </w:rPr>
              <w:t>Chief Financial Officer</w:t>
            </w:r>
          </w:p>
        </w:tc>
      </w:tr>
      <w:tr>
        <w:trPr>
          <w:trHeight w:val="270"/>
        </w:trPr>
        <w:tc>
          <w:tcPr>
            <w:tcW w:w="1760" w:type="dxa"/>
            <w:vAlign w:val="bottom"/>
          </w:tcPr>
          <w:p>
            <w:pPr>
              <w:ind w:left="20"/>
              <w:spacing w:after="0"/>
              <w:rPr>
                <w:sz w:val="20"/>
                <w:szCs w:val="20"/>
                <w:color w:val="auto"/>
              </w:rPr>
            </w:pPr>
            <w:r>
              <w:rPr>
                <w:rFonts w:ascii="Arial" w:cs="Arial" w:eastAsia="Arial" w:hAnsi="Arial"/>
                <w:sz w:val="18"/>
                <w:szCs w:val="18"/>
                <w:color w:val="auto"/>
              </w:rPr>
              <w:t>Jaime Teevan</w:t>
            </w:r>
          </w:p>
        </w:tc>
        <w:tc>
          <w:tcPr>
            <w:tcW w:w="880" w:type="dxa"/>
            <w:vAlign w:val="bottom"/>
          </w:tcPr>
          <w:p>
            <w:pPr>
              <w:ind w:left="300"/>
              <w:spacing w:after="0"/>
              <w:rPr>
                <w:sz w:val="20"/>
                <w:szCs w:val="20"/>
                <w:color w:val="auto"/>
              </w:rPr>
            </w:pPr>
            <w:r>
              <w:rPr>
                <w:rFonts w:ascii="Arial" w:cs="Arial" w:eastAsia="Arial" w:hAnsi="Arial"/>
                <w:sz w:val="18"/>
                <w:szCs w:val="18"/>
                <w:color w:val="auto"/>
              </w:rPr>
              <w:t>49</w:t>
            </w:r>
          </w:p>
        </w:tc>
        <w:tc>
          <w:tcPr>
            <w:tcW w:w="8580" w:type="dxa"/>
            <w:vAlign w:val="bottom"/>
          </w:tcPr>
          <w:p>
            <w:pPr>
              <w:ind w:left="240"/>
              <w:spacing w:after="0"/>
              <w:rPr>
                <w:sz w:val="20"/>
                <w:szCs w:val="20"/>
                <w:color w:val="auto"/>
              </w:rPr>
            </w:pPr>
            <w:r>
              <w:rPr>
                <w:rFonts w:ascii="Arial" w:cs="Arial" w:eastAsia="Arial" w:hAnsi="Arial"/>
                <w:sz w:val="18"/>
                <w:szCs w:val="18"/>
                <w:color w:val="auto"/>
              </w:rPr>
              <w:t xml:space="preserve">Director </w:t>
            </w:r>
            <w:r>
              <w:rPr>
                <w:rFonts w:ascii="Arial" w:cs="Arial" w:eastAsia="Arial" w:hAnsi="Arial"/>
                <w:sz w:val="18"/>
                <w:szCs w:val="18"/>
                <w:i w:val="1"/>
                <w:iCs w:val="1"/>
                <w:color w:val="auto"/>
              </w:rPr>
              <w:t>(Nominee for election at the 2025 Annual Meeting)</w:t>
            </w:r>
          </w:p>
        </w:tc>
      </w:tr>
      <w:tr>
        <w:trPr>
          <w:trHeight w:val="270"/>
        </w:trPr>
        <w:tc>
          <w:tcPr>
            <w:tcW w:w="1760" w:type="dxa"/>
            <w:vAlign w:val="bottom"/>
          </w:tcPr>
          <w:p>
            <w:pPr>
              <w:ind w:left="20"/>
              <w:spacing w:after="0"/>
              <w:rPr>
                <w:sz w:val="20"/>
                <w:szCs w:val="20"/>
                <w:color w:val="auto"/>
              </w:rPr>
            </w:pPr>
            <w:r>
              <w:rPr>
                <w:rFonts w:ascii="Arial" w:cs="Arial" w:eastAsia="Arial" w:hAnsi="Arial"/>
                <w:sz w:val="18"/>
                <w:szCs w:val="18"/>
                <w:color w:val="auto"/>
              </w:rPr>
              <w:t>Alfonse Upshaw</w:t>
            </w:r>
          </w:p>
        </w:tc>
        <w:tc>
          <w:tcPr>
            <w:tcW w:w="880" w:type="dxa"/>
            <w:vAlign w:val="bottom"/>
          </w:tcPr>
          <w:p>
            <w:pPr>
              <w:ind w:left="300"/>
              <w:spacing w:after="0"/>
              <w:rPr>
                <w:sz w:val="20"/>
                <w:szCs w:val="20"/>
                <w:color w:val="auto"/>
              </w:rPr>
            </w:pPr>
            <w:r>
              <w:rPr>
                <w:rFonts w:ascii="Arial" w:cs="Arial" w:eastAsia="Arial" w:hAnsi="Arial"/>
                <w:sz w:val="18"/>
                <w:szCs w:val="18"/>
                <w:color w:val="auto"/>
              </w:rPr>
              <w:t>56</w:t>
            </w:r>
          </w:p>
        </w:tc>
        <w:tc>
          <w:tcPr>
            <w:tcW w:w="8580" w:type="dxa"/>
            <w:vAlign w:val="bottom"/>
          </w:tcPr>
          <w:p>
            <w:pPr>
              <w:ind w:left="240"/>
              <w:spacing w:after="0"/>
              <w:rPr>
                <w:sz w:val="20"/>
                <w:szCs w:val="20"/>
                <w:color w:val="auto"/>
              </w:rPr>
            </w:pPr>
            <w:r>
              <w:rPr>
                <w:rFonts w:ascii="Arial" w:cs="Arial" w:eastAsia="Arial" w:hAnsi="Arial"/>
                <w:sz w:val="18"/>
                <w:szCs w:val="18"/>
                <w:color w:val="auto"/>
              </w:rPr>
              <w:t>Director</w:t>
            </w:r>
          </w:p>
        </w:tc>
      </w:tr>
    </w:tbl>
    <w:p>
      <w:pPr>
        <w:spacing w:after="0" w:line="19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b w:val="1"/>
          <w:bCs w:val="1"/>
          <w:i w:val="1"/>
          <w:iCs w:val="1"/>
          <w:color w:val="auto"/>
        </w:rPr>
        <w:t xml:space="preserve">Jonathan Oringer </w:t>
      </w:r>
      <w:r>
        <w:rPr>
          <w:rFonts w:ascii="Arial" w:cs="Arial" w:eastAsia="Arial" w:hAnsi="Arial"/>
          <w:sz w:val="18"/>
          <w:szCs w:val="18"/>
          <w:color w:val="auto"/>
        </w:rPr>
        <w:t>has served as our Executive Chairman of the Board since April 2020. Prior to assuming the role of Executive Chairman,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Mr. Oringer served as Chief Executive Officer since the founding the Company in 2003. Prior to founding Shutterstock, Mr. Oringer served as a director of several private companies. Mr. Oringer served on the Columbia Engineering Board of Visitors from 2019 to June 2025.</w:t>
      </w:r>
    </w:p>
    <w:p>
      <w:pPr>
        <w:spacing w:after="0" w:line="1" w:lineRule="exact"/>
        <w:rPr>
          <w:sz w:val="20"/>
          <w:szCs w:val="20"/>
          <w:color w:val="auto"/>
        </w:rPr>
      </w:pPr>
    </w:p>
    <w:p>
      <w:pPr>
        <w:ind w:right="240"/>
        <w:spacing w:after="0" w:line="266" w:lineRule="auto"/>
        <w:rPr>
          <w:sz w:val="20"/>
          <w:szCs w:val="20"/>
          <w:color w:val="auto"/>
        </w:rPr>
      </w:pPr>
      <w:r>
        <w:rPr>
          <w:rFonts w:ascii="Arial" w:cs="Arial" w:eastAsia="Arial" w:hAnsi="Arial"/>
          <w:sz w:val="18"/>
          <w:szCs w:val="18"/>
          <w:color w:val="auto"/>
        </w:rPr>
        <w:t>Mr. Oringer holds a B.S. in computer science and mathematics from State University of New York at Stony Brook and an M.S. in computer science from Columbia University.</w:t>
      </w:r>
    </w:p>
    <w:p>
      <w:pPr>
        <w:spacing w:after="0" w:line="63" w:lineRule="exact"/>
        <w:rPr>
          <w:sz w:val="20"/>
          <w:szCs w:val="20"/>
          <w:color w:val="auto"/>
        </w:rPr>
      </w:pPr>
    </w:p>
    <w:p>
      <w:pPr>
        <w:spacing w:after="0" w:line="252" w:lineRule="auto"/>
        <w:rPr>
          <w:sz w:val="20"/>
          <w:szCs w:val="20"/>
          <w:color w:val="auto"/>
        </w:rPr>
      </w:pPr>
      <w:r>
        <w:rPr>
          <w:rFonts w:ascii="Arial" w:cs="Arial" w:eastAsia="Arial" w:hAnsi="Arial"/>
          <w:sz w:val="18"/>
          <w:szCs w:val="18"/>
          <w:b w:val="1"/>
          <w:bCs w:val="1"/>
          <w:i w:val="1"/>
          <w:iCs w:val="1"/>
          <w:color w:val="auto"/>
        </w:rPr>
        <w:t xml:space="preserve">Rachna Bhasin </w:t>
      </w:r>
      <w:r>
        <w:rPr>
          <w:rFonts w:ascii="Arial" w:cs="Arial" w:eastAsia="Arial" w:hAnsi="Arial"/>
          <w:sz w:val="18"/>
          <w:szCs w:val="18"/>
          <w:color w:val="auto"/>
        </w:rPr>
        <w:t>has served as a member of our Board since August 2019. Ms. Bhasin is the Founder/CEO of EQ Partners, a strategic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advisory, consulting and investment company serving early-stage companies in the areas of technology and media. Ms. Bhasin was Chief Business Officer of Magic Leap, Inc., a spatial computing company, from October 2015 through January 2019 and prior to that, served as SVP, Corporate Strategy and Business Development at SiriusXM Radio, Inc. from November 2010 through October 2015. Ms. Bhasin also held positions at Dell, Inc., where Ms. Bhasin led the company’s consumer strategic partnership and personalization, and at EMI Music North America as Vice President of Business Development. Since March 2016, Ms. Bhasin has served as an Independent Director for Ryman Hospitality Properties (NYSE: RHP), a hotel, resort, entertainment and media company, where Ms. Bhasin serves on the Human Resources Committee and Chairs the Risk Committee. Ms. Bhasin is a member of the Board of Directors of Audiomack, a private company providing a music streaming and audio distribution platform, and is a Senior Advisor to Alignment Growth Capital, a fund that invests globally in growth-stage companies across media, entertainment and gaming. Ms. Bhasin joined the Board of Directors of Lotus House Sundari Foundation, Inc., a nonprofit organization that provides shelter and resources to homeless women and children, in December 2024. Ms. Bhasin joined the board of Valocity, a global technology company that provides digital solutions for the property valuation and mortgage lending industries, in May 2025. Ms. Bhasin served as an Independent Director for PropertyGuru (NYSE: PGRU), a South East Asian Property Platform, where Ms. Bhasin served on the Audit Committee, from August 2021 through December 2024 and on the Special Committee as it was taken private. Ms. Bhasin also served as a member of the Board of Directors for Newlab, who help commercialize and scale the critical technologies needed to decarbonize the economy, from June 2023 to December 2024. Ms. Bhasin holds a Bachelor of Commerce and Administration with Honors from the Victoria University of Wellington in New Zealand and an M.B.A. from Harvard Business School.</w:t>
      </w:r>
    </w:p>
    <w:p>
      <w:pPr>
        <w:spacing w:after="0" w:line="85"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b w:val="1"/>
          <w:bCs w:val="1"/>
          <w:i w:val="1"/>
          <w:iCs w:val="1"/>
          <w:color w:val="auto"/>
        </w:rPr>
        <w:t xml:space="preserve">Deirdre Bigley </w:t>
      </w:r>
      <w:r>
        <w:rPr>
          <w:rFonts w:ascii="Arial" w:cs="Arial" w:eastAsia="Arial" w:hAnsi="Arial"/>
          <w:sz w:val="18"/>
          <w:szCs w:val="18"/>
          <w:color w:val="auto"/>
        </w:rPr>
        <w:t>has served as a member of our Board since May 2016. Ms. Bigley was with Bloomberg, L.P., a global business and financial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information and news leader, joining in 2009 and serving as the Chief Marketing Officer from 2013 to 2021. Prior to joining Bloomberg, L.P., Ms. Bigley spent thirteen years at International Business Machines Corporation (IBM), serving in several capacities, including Vice President of Worldwide Advertising and Interactive, and Vice President of Worldwide Brand. Ms. Bigley serves on the Boards of: Wix.com, a cloud-based development platform, since November 2017 and Sportradar, a sports betting and sports entertainment company, since April 2021. Ms. Bigley served as a director of Taboola, an advertising company that powers recommendations for the open web, from April 2021 to June 2025. Ms. Bigley holds a B.A. in English from West Chester University.</w:t>
      </w:r>
    </w:p>
    <w:p>
      <w:pPr>
        <w:spacing w:after="0" w:line="75"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b w:val="1"/>
          <w:bCs w:val="1"/>
          <w:i w:val="1"/>
          <w:iCs w:val="1"/>
          <w:color w:val="auto"/>
        </w:rPr>
        <w:t xml:space="preserve">Thomas R. Evans </w:t>
      </w:r>
      <w:r>
        <w:rPr>
          <w:rFonts w:ascii="Arial" w:cs="Arial" w:eastAsia="Arial" w:hAnsi="Arial"/>
          <w:sz w:val="18"/>
          <w:szCs w:val="18"/>
          <w:color w:val="auto"/>
        </w:rPr>
        <w:t>has served as a member of our Board since March 2012. From January 2014 through December 2015, Mr. Evans served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Advisor to the Board of Bankrate, Inc., a leading aggregator of financial rate information, and from March 2004 until December 2013, when he retired, Mr. Evans served as its 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20"/>
          </w:cols>
          <w:pgMar w:left="320" w:top="871" w:right="359" w:bottom="1440" w:gutter="0" w:footer="0" w:header="0"/>
        </w:sectPr>
      </w:pPr>
    </w:p>
    <w:bookmarkStart w:id="9" w:name="page10"/>
    <w:bookmarkEnd w:id="9"/>
    <w:p>
      <w:pPr>
        <w:ind w:right="80"/>
        <w:spacing w:after="0" w:line="254" w:lineRule="auto"/>
        <w:rPr>
          <w:sz w:val="20"/>
          <w:szCs w:val="20"/>
          <w:color w:val="auto"/>
        </w:rPr>
      </w:pPr>
      <w:r>
        <w:rPr>
          <w:rFonts w:ascii="Arial" w:cs="Arial" w:eastAsia="Arial" w:hAnsi="Arial"/>
          <w:sz w:val="18"/>
          <w:szCs w:val="18"/>
          <w:color w:val="auto"/>
        </w:rPr>
        <w:t>and a director. Mr. Evans served as a director of Millennial Media, Inc., a public mobile marketplace company, from 2014 to November 2015 and as a director of Future Fuel Corp., a public chemical manufacturing company, from 2005 until September 2015. Mr. Evans served as a director of Angie's List, Inc., an online platform that connects home service professionals to customers, from February 2016 to September 2017, including serving as its Chairman of the Board from October 2016 through September 2017, until it was merged with the HomeAdvisor business of IAC/InterActiveCorp. Mr. Evans currently serves as a director of ANGI Homeservices Inc. and serves as a member of its Audit Committee and Chairman of its Compensation Committee. Mr. Evans also serves as a director and the Executive Chairman of Torticity, an end-to-end technology-driven online service for litigation law firms. From February 2021 to 2023, Mr. Evans also served as a director of G Squared Ascend I Inc., a special purpose acquisition company, and served as a member of its Audit, Compensation and Nominating and Corporate Governance Committees. Mr. Evans also served as a director of The Knot Worldwide from February 2018 until December 2024. Mr. Evans holds a B.S. in business administration from Arizona State University.</w:t>
      </w:r>
    </w:p>
    <w:p>
      <w:pPr>
        <w:spacing w:after="0" w:line="7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b w:val="1"/>
          <w:bCs w:val="1"/>
          <w:i w:val="1"/>
          <w:iCs w:val="1"/>
          <w:color w:val="auto"/>
        </w:rPr>
        <w:t xml:space="preserve">Paul J. Hennessy </w:t>
      </w:r>
      <w:r>
        <w:rPr>
          <w:rFonts w:ascii="Arial" w:cs="Arial" w:eastAsia="Arial" w:hAnsi="Arial"/>
          <w:sz w:val="18"/>
          <w:szCs w:val="18"/>
          <w:color w:val="auto"/>
        </w:rPr>
        <w:t>has served as our Chief Executive Officer since July 2022 and as a member of our Board since April 2015. From June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2016 to May 2022, Mr. Hennessy served as Chief Executive Officer and member of the Board of Directors of Vroom, Inc., an online pre-owned car retailer. Prior to joining Vroom, from April 2015 through June 2016, Mr. Hennessy served as Chief Executive Officer of priceline.com, a provider of online travel and travel related reservation and search services. From November 2011 to March 2015, Mr. Hennessy served as Chief Marketing Officer of Booking.com, an online booking accommodations provider. From July 2006 to October 2011, Mr. Hennessy was Chief Distribution Officer of priceline.com. Since April 2023, Mr. Hennessy has served on the board of directors of Aledade, Inc., the nation’s largest network of independent primary care. Mr. Hennessy is also a member of the board of directors of TickPick, the modern transparent ticket marketplace transforming the event ticketing industry, as of January 2025. Mr. Hennessy is also a member of the Board of Directors of Liquidity Services, a B2B e-commerce marketplace platform for surplus assets, and serves as a member of its Audit and Corporate Governance and Nominating Committees as of October 2025. Mr. Hennessy holds a B.S. in marketing management from Dominican College and an M.B.A. from Long Island University.</w:t>
      </w:r>
    </w:p>
    <w:p>
      <w:pPr>
        <w:spacing w:after="0" w:line="74"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b w:val="1"/>
          <w:bCs w:val="1"/>
          <w:i w:val="1"/>
          <w:iCs w:val="1"/>
          <w:color w:val="auto"/>
        </w:rPr>
        <w:t xml:space="preserve">Rik Powell </w:t>
      </w:r>
      <w:r>
        <w:rPr>
          <w:rFonts w:ascii="Arial" w:cs="Arial" w:eastAsia="Arial" w:hAnsi="Arial"/>
          <w:sz w:val="18"/>
          <w:szCs w:val="18"/>
          <w:color w:val="auto"/>
        </w:rPr>
        <w:t>has served as our Chief Financial Officer since November 2024. Prior to joining the Company, Mr. Powell was Senior Vice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President, Finance and Investor Relations at Shake Shack, an NYSE publicly traded quick services restaurant group, from 2022 to 2024. Prior to that, Mr. Powell served in various finance positions at Getty Images, a visual media company, where he ultimately advanced to the position of Chief Financial Officer from 2017 to 2020. Prior to that, Mr. Powell held various finance roles at Dell Computer Corporation and HP Inc. and started his career at Grant Thornton LLP. Mr. Powell is from Oxford in the United Kingdom and has been a Fellow of the UK Chartered Association of Certified Accountants for a number of years.</w:t>
      </w:r>
    </w:p>
    <w:p>
      <w:pPr>
        <w:spacing w:after="0" w:line="74"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i w:val="1"/>
          <w:iCs w:val="1"/>
          <w:color w:val="auto"/>
        </w:rPr>
        <w:t xml:space="preserve">Jaime Teevan </w:t>
      </w:r>
      <w:r>
        <w:rPr>
          <w:rFonts w:ascii="Arial" w:cs="Arial" w:eastAsia="Arial" w:hAnsi="Arial"/>
          <w:sz w:val="18"/>
          <w:szCs w:val="18"/>
          <w:color w:val="auto"/>
        </w:rPr>
        <w:t>has served as a member of our Board since July 2024. Recognized globally for her contributions to productivity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personalized search, Dr. Teevan’s work has earned her a spot on TIME Magazine’s list of the top 100 influential figures in AI. As Microsoft's Chief Scientist and Technical Fellow, her career is distinguished by pioneering product innovations that are deeply rooted in rigorous research. Dr. Teevan spearheaded the creation of M365 Copilot, integrating AI into Microsoft’s suite of products, and is credited with inventing Bing’s first personalized search algorithm. Prior to her current role, Dr. Teevan was the Technical Advisor to Microsoft CEO Satya Nadella. Dr. Teevan is an elected ACM Fellow and member of the prestigious SIGIR and CHI Academies. Dr. Teevan holds a Ph.D. in AI from MIT and a B.S. from Yale University, and is an Affiliate Professor at the University of Washington. Dr. Teevan has served on the Board of Trustees of Yale University since July 2025. Dr. Teevan served on the board of the Computing Research Association, which plays a crucial role in shaping the future of computing research and influencing policy decisions until July 2025.</w:t>
      </w:r>
    </w:p>
    <w:p>
      <w:pPr>
        <w:spacing w:after="0" w:line="7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b w:val="1"/>
          <w:bCs w:val="1"/>
          <w:i w:val="1"/>
          <w:iCs w:val="1"/>
          <w:color w:val="auto"/>
        </w:rPr>
        <w:t xml:space="preserve">Alfonse Upshaw </w:t>
      </w:r>
      <w:r>
        <w:rPr>
          <w:rFonts w:ascii="Arial" w:cs="Arial" w:eastAsia="Arial" w:hAnsi="Arial"/>
          <w:sz w:val="18"/>
          <w:szCs w:val="18"/>
          <w:color w:val="auto"/>
        </w:rPr>
        <w:t>has served as a member of our Board since December 2020. Mr. Upshaw is Senior Vice President and Chief Financial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Officer, Northern California Market for Kaiser Foundation Health Plans and Hospitals (Kaiser Permanente). Mr. Upshaw also served as Senior Vice President, Corporate Controller &amp; Chief Accounting Officer for Kaiser Permanente until January 2022. Previously, Mr. Upshaw was an audit partner with Deloitte where he served Fortune 500 public as well as high growth private clients in a variety of industries. Mr. Upshaw has served on not-for-profit boards and several advisory committees including the Black Directors Health Equity Agenda, Inc., Kennedy-King Memorial Scholarship Foundation, the UC Berkeley Center for Financial Reporting and Management, and the American Heart Association Research Roundtable. Mr. Upshaw holds a B.S. in Business Administration from the University of California, Berkeley. Mr. Upshaw is a lifetime member of the National Association of Black Accountants,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40"/>
          </w:cols>
          <w:pgMar w:left="320" w:top="877" w:right="339" w:bottom="1440" w:gutter="0" w:footer="0" w:header="0"/>
        </w:sectPr>
      </w:pPr>
    </w:p>
    <w:bookmarkStart w:id="10" w:name="page11"/>
    <w:bookmarkEnd w:id="10"/>
    <w:p>
      <w:pPr>
        <w:spacing w:after="0"/>
        <w:rPr>
          <w:sz w:val="20"/>
          <w:szCs w:val="20"/>
          <w:color w:val="auto"/>
        </w:rPr>
      </w:pPr>
      <w:r>
        <w:rPr>
          <w:rFonts w:ascii="Arial" w:cs="Arial" w:eastAsia="Arial" w:hAnsi="Arial"/>
          <w:sz w:val="22"/>
          <w:szCs w:val="22"/>
          <w:b w:val="1"/>
          <w:bCs w:val="1"/>
          <w:color w:val="EF3A35"/>
        </w:rPr>
        <w:t>Board Structure, Director Nominations and Qualifications</w:t>
      </w:r>
    </w:p>
    <w:p>
      <w:pPr>
        <w:spacing w:after="0" w:line="108"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Our Board is divided into three classes for purposes of election. One class is elected at each Annual Meeting of Stockholders to serve for a three-year term. The directors are classified into three classes as follows: Jonathan Oringer, Rachna Bhasin and Jaime Teevan each serve as a Class I director with a term ending at the 2025 Annual Meeting of Stockholders; Deirdre Bigley and Alfonse Upshaw each serve as a Class II director with a term ending at the 2026 Annual Meeting of Stockholders; and Thomas R. Evans and Paul J. Hennessy each serve as a Class III director with a term ending at the 2027 Annual Meeting of Stockholders.</w:t>
      </w:r>
    </w:p>
    <w:p>
      <w:pPr>
        <w:spacing w:after="0" w:line="71"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Our Nominating and Corporate Governance Committee is charged with identifying, evaluating and recommending director nominees to the full Board, as well as considering candidates for election to the Board recommended by stockholders. In evaluating the suitability of individual Board members, the Nominating and Corporate Governance Committee takes into account many factors, including international business experience; experience in industries beyond technology; financial experience and a good reputation within the financial community; business management experience and the potential to succeed top management in the event Board intervention is necessary on an unexpected basis; business contacts, business knowledge and influence that may be useful to our business and product lines; and knowledge about our industries and technologies. The Nominating and Corporate Governance Committee will also factor into its determination the following qualities with respect to potential director nominees:</w:t>
      </w:r>
    </w:p>
    <w:p>
      <w:pPr>
        <w:spacing w:after="0" w:line="131" w:lineRule="exact"/>
        <w:rPr>
          <w:sz w:val="20"/>
          <w:szCs w:val="20"/>
          <w:color w:val="auto"/>
        </w:rPr>
      </w:pPr>
    </w:p>
    <w:p>
      <w:pPr>
        <w:ind w:left="700" w:hanging="314"/>
        <w:spacing w:after="0"/>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reputation for integrity, honesty and adherence to high ethical standards;</w:t>
      </w:r>
    </w:p>
    <w:p>
      <w:pPr>
        <w:spacing w:after="0" w:line="63" w:lineRule="exact"/>
        <w:rPr>
          <w:rFonts w:ascii="Arial" w:cs="Arial" w:eastAsia="Arial" w:hAnsi="Arial"/>
          <w:sz w:val="18"/>
          <w:szCs w:val="18"/>
          <w:color w:val="auto"/>
        </w:rPr>
      </w:pPr>
    </w:p>
    <w:p>
      <w:pPr>
        <w:jc w:val="both"/>
        <w:ind w:left="700" w:right="600" w:hanging="314"/>
        <w:spacing w:after="0" w:line="268" w:lineRule="auto"/>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demonstrated business acumen, experience and ability to exercise sound judgments in matters that relate to the current and long-term objectives of the Company and willingness and ability to contribute positively to the decision-making process of the Company;</w:t>
      </w:r>
    </w:p>
    <w:p>
      <w:pPr>
        <w:spacing w:after="0" w:line="8" w:lineRule="exact"/>
        <w:rPr>
          <w:rFonts w:ascii="Arial" w:cs="Arial" w:eastAsia="Arial" w:hAnsi="Arial"/>
          <w:sz w:val="18"/>
          <w:szCs w:val="18"/>
          <w:color w:val="auto"/>
        </w:rPr>
      </w:pPr>
    </w:p>
    <w:p>
      <w:pPr>
        <w:ind w:left="700" w:right="440" w:hanging="314"/>
        <w:spacing w:after="0" w:line="281" w:lineRule="auto"/>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commitment to understand the Company and its industry and to regularly attend and participate in meetings of the Board and its committees;</w:t>
      </w:r>
    </w:p>
    <w:p>
      <w:pPr>
        <w:spacing w:after="0" w:line="1" w:lineRule="exact"/>
        <w:rPr>
          <w:rFonts w:ascii="Arial" w:cs="Arial" w:eastAsia="Arial" w:hAnsi="Arial"/>
          <w:sz w:val="18"/>
          <w:szCs w:val="18"/>
          <w:color w:val="auto"/>
        </w:rPr>
      </w:pPr>
    </w:p>
    <w:p>
      <w:pPr>
        <w:ind w:left="700" w:right="480" w:hanging="314"/>
        <w:spacing w:after="0" w:line="268" w:lineRule="auto"/>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interest and ability to understand the sometimes-conflicting interests of the various constituencies of the Company, which include stockholders, employees, customers, contributors and the general public, and to act in the interests of all stockholders; and</w:t>
      </w:r>
    </w:p>
    <w:p>
      <w:pPr>
        <w:spacing w:after="0" w:line="8" w:lineRule="exact"/>
        <w:rPr>
          <w:rFonts w:ascii="Arial" w:cs="Arial" w:eastAsia="Arial" w:hAnsi="Arial"/>
          <w:sz w:val="18"/>
          <w:szCs w:val="18"/>
          <w:color w:val="auto"/>
        </w:rPr>
      </w:pPr>
    </w:p>
    <w:p>
      <w:pPr>
        <w:ind w:left="700" w:right="400" w:hanging="314"/>
        <w:spacing w:after="0" w:line="287" w:lineRule="auto"/>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no actual or perceived conflict of interests that would impair the nominee’s ability to represent the interests of all the Company’s stockholders and to fulfill the responsibilities of a director.</w:t>
      </w:r>
    </w:p>
    <w:p>
      <w:pPr>
        <w:spacing w:after="0" w:line="166"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 </w:t>
      </w:r>
      <w:r>
        <w:rPr>
          <w:rFonts w:ascii="Arial" w:cs="Arial" w:eastAsia="Arial" w:hAnsi="Arial"/>
          <w:sz w:val="18"/>
          <w:szCs w:val="18"/>
          <w:color w:val="auto"/>
        </w:rPr>
        <w:t>In determining whether to recommend a director for re-election, the Nominating and Corporate Governance Committee also considers</w:t>
      </w:r>
      <w:r>
        <w:rPr>
          <w:rFonts w:ascii="Times New Roman" w:cs="Times New Roman" w:eastAsia="Times New Roman" w:hAnsi="Times New Roman"/>
          <w:sz w:val="18"/>
          <w:szCs w:val="18"/>
          <w:color w:val="auto"/>
        </w:rPr>
        <w:t xml:space="preserve"> </w:t>
      </w:r>
      <w:r>
        <w:rPr>
          <w:rFonts w:ascii="Arial" w:cs="Arial" w:eastAsia="Arial" w:hAnsi="Arial"/>
          <w:sz w:val="18"/>
          <w:szCs w:val="18"/>
          <w:color w:val="auto"/>
        </w:rPr>
        <w:t>the director’s past attendance at meetings and participation in and contributions to the activities of the Board as well as the director’s service on the boards of other public companies to ensure that the director can carry out director duties in a responsible manner. Upon determining the need for additional or replacement Board members, the Nominating and Corporate Governance Committee will identify one or more director candidates and evaluate each candidate under the criteria described above based on information provided to the committee by the Company or a third-party or may also include discussions with persons familiar with the candidate, an interview of the candidate or other actions the committee deems appropriate. Based on its assessment of each candidate’s independence, skills and qualifications and the criteria described above, the Nominating and Corporate Governance Committee will make recommendations regarding potential director candidates to the Board. The Nominating and Corporate Governance Committee may consult with management or engage third parties to assist in the search for director candidates or to assist in gathering information regarding a candidate’s background and experience.</w:t>
      </w:r>
    </w:p>
    <w:p>
      <w:pPr>
        <w:spacing w:after="0" w:line="76"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We have adopted a director resignation policy, pursuant to which any nominee for director who, in an uncontested election, receives more votes “WITHHELD” than “FOR” his or her election is expected to promptly tender his or her resignation for consideration by the Nominating and Corporate Governance Committee and subsequently by the Board. Our director resignation policy is incorporated into our Corporate Governance Guidelines, a copy of which can be found through the “Corporate Governance” link on our Investor Relations page at investor.shutterstock.com.</w:t>
      </w:r>
    </w:p>
    <w:p>
      <w:pPr>
        <w:spacing w:after="0" w:line="71" w:lineRule="exact"/>
        <w:rPr>
          <w:sz w:val="20"/>
          <w:szCs w:val="20"/>
          <w:color w:val="auto"/>
        </w:rPr>
      </w:pPr>
    </w:p>
    <w:p>
      <w:pPr>
        <w:ind w:right="60" w:firstLine="324"/>
        <w:spacing w:after="0" w:line="262" w:lineRule="auto"/>
        <w:rPr>
          <w:sz w:val="20"/>
          <w:szCs w:val="20"/>
          <w:color w:val="auto"/>
        </w:rPr>
      </w:pPr>
      <w:r>
        <w:rPr>
          <w:rFonts w:ascii="Arial" w:cs="Arial" w:eastAsia="Arial" w:hAnsi="Arial"/>
          <w:sz w:val="18"/>
          <w:szCs w:val="18"/>
          <w:color w:val="auto"/>
        </w:rPr>
        <w:t>Our Board, upon the recommendation of the Nominating and Corporate Governance Committee, has voted to nominate Mr. Oringer, Ms. Bhasin, and Dr. Teevan for election to the Board as Class I directors at the 2025 Annual Meeting to serve for a term of three years until the 2028 Annual Meeting of Stockholders, or until their respective successors have been elected and qualified or, if sooner, until their respective resignation or removal. Mr. Oringer, Ms. Bhasin, and Dr. Teevan are currently members of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20"/>
          </w:cols>
          <w:pgMar w:left="320" w:top="881" w:right="359" w:bottom="1440" w:gutter="0" w:footer="0" w:header="0"/>
        </w:sectPr>
      </w:pPr>
    </w:p>
    <w:bookmarkStart w:id="11" w:name="page12"/>
    <w:bookmarkEnd w:id="11"/>
    <w:p>
      <w:pPr>
        <w:spacing w:after="0"/>
        <w:rPr>
          <w:sz w:val="20"/>
          <w:szCs w:val="20"/>
          <w:color w:val="auto"/>
        </w:rPr>
      </w:pPr>
      <w:r>
        <w:rPr>
          <w:rFonts w:ascii="Arial" w:cs="Arial" w:eastAsia="Arial" w:hAnsi="Arial"/>
          <w:sz w:val="22"/>
          <w:szCs w:val="22"/>
          <w:b w:val="1"/>
          <w:bCs w:val="1"/>
          <w:color w:val="EF3A35"/>
        </w:rPr>
        <w:t>Corporate Governance and Board Matters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Business Conduct and Compliance</w:t>
      </w:r>
    </w:p>
    <w:p>
      <w:pPr>
        <w:spacing w:after="0" w:line="117" w:lineRule="exact"/>
        <w:rPr>
          <w:sz w:val="20"/>
          <w:szCs w:val="20"/>
          <w:color w:val="auto"/>
        </w:rPr>
      </w:pPr>
    </w:p>
    <w:p>
      <w:pPr>
        <w:ind w:right="180" w:firstLine="324"/>
        <w:spacing w:after="0" w:line="262" w:lineRule="auto"/>
        <w:rPr>
          <w:sz w:val="20"/>
          <w:szCs w:val="20"/>
          <w:color w:val="auto"/>
        </w:rPr>
      </w:pPr>
      <w:r>
        <w:rPr>
          <w:rFonts w:ascii="Arial" w:cs="Arial" w:eastAsia="Arial" w:hAnsi="Arial"/>
          <w:sz w:val="18"/>
          <w:szCs w:val="18"/>
          <w:color w:val="auto"/>
        </w:rPr>
        <w:t>We have a strong commitment to effective corporate governance and have in place a comprehensive corporate governance framework for our operations. We have adopted Corporate Governance Guidelines, which, in conjunction with our amended and restated certificate of incorporation (the “</w:t>
      </w:r>
      <w:r>
        <w:rPr>
          <w:rFonts w:ascii="Arial" w:cs="Arial" w:eastAsia="Arial" w:hAnsi="Arial"/>
          <w:sz w:val="18"/>
          <w:szCs w:val="18"/>
          <w:u w:val="single" w:color="auto"/>
          <w:color w:val="auto"/>
        </w:rPr>
        <w:t>Charter</w:t>
      </w:r>
      <w:r>
        <w:rPr>
          <w:rFonts w:ascii="Arial" w:cs="Arial" w:eastAsia="Arial" w:hAnsi="Arial"/>
          <w:sz w:val="18"/>
          <w:szCs w:val="18"/>
          <w:color w:val="auto"/>
        </w:rPr>
        <w:t>”), our Bylaws, and charters of the standing committees of our Board, form the framework for our corporate governance.</w:t>
      </w:r>
    </w:p>
    <w:p>
      <w:pPr>
        <w:spacing w:after="0" w:line="68"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We have also adopted a Code of Business Conduct and Ethics (“</w:t>
      </w:r>
      <w:r>
        <w:rPr>
          <w:rFonts w:ascii="Arial" w:cs="Arial" w:eastAsia="Arial" w:hAnsi="Arial"/>
          <w:sz w:val="18"/>
          <w:szCs w:val="18"/>
          <w:u w:val="single" w:color="auto"/>
          <w:color w:val="auto"/>
        </w:rPr>
        <w:t>Code of Ethics</w:t>
      </w:r>
      <w:r>
        <w:rPr>
          <w:rFonts w:ascii="Arial" w:cs="Arial" w:eastAsia="Arial" w:hAnsi="Arial"/>
          <w:sz w:val="18"/>
          <w:szCs w:val="18"/>
          <w:color w:val="auto"/>
        </w:rPr>
        <w:t>”), that applies to all of our directors, officers and employees, including our senior financial officers. Our Code of Ethics requires, among other things, that all of our directors, officers and employees comply with all laws, attempt to avoid conflicts of interest, conduct business in an honest and ethical manner and otherwise act with integrity and in the Company’s best interest. In addition, our Code of Ethics imposes obligations on all of our directors, officers and employees to maintain books, records, accounts and financial statements that are accurate and that comply with applicable laws and with our internal controls, as well as providing for disclosure controls and procedures.</w:t>
      </w:r>
    </w:p>
    <w:p>
      <w:pPr>
        <w:spacing w:after="0" w:line="74" w:lineRule="exact"/>
        <w:rPr>
          <w:sz w:val="20"/>
          <w:szCs w:val="20"/>
          <w:color w:val="auto"/>
        </w:rPr>
      </w:pPr>
    </w:p>
    <w:p>
      <w:pPr>
        <w:ind w:right="40" w:firstLine="324"/>
        <w:spacing w:after="0" w:line="262" w:lineRule="auto"/>
        <w:rPr>
          <w:sz w:val="20"/>
          <w:szCs w:val="20"/>
          <w:color w:val="auto"/>
        </w:rPr>
      </w:pPr>
      <w:r>
        <w:rPr>
          <w:rFonts w:ascii="Arial" w:cs="Arial" w:eastAsia="Arial" w:hAnsi="Arial"/>
          <w:sz w:val="18"/>
          <w:szCs w:val="18"/>
          <w:color w:val="auto"/>
        </w:rPr>
        <w:t>We maintain a corporate governance page on our website that includes key information about our corporate governance initiatives, including our Corporate Governance Guidelines and Code of Ethics. The corporate governance page can be found on our Investor Relations website at investor.shutterstock.com under the link for “Corporate Governance.” We will promptly post under the same link amendments to or waivers, if any, of our Code of Ethics, involving our directors and executive officers.</w:t>
      </w:r>
    </w:p>
    <w:p>
      <w:pPr>
        <w:spacing w:after="0" w:line="68" w:lineRule="exact"/>
        <w:rPr>
          <w:sz w:val="20"/>
          <w:szCs w:val="20"/>
          <w:color w:val="auto"/>
        </w:rPr>
      </w:pPr>
    </w:p>
    <w:p>
      <w:pPr>
        <w:ind w:right="140" w:firstLine="324"/>
        <w:spacing w:after="0" w:line="268" w:lineRule="auto"/>
        <w:rPr>
          <w:sz w:val="20"/>
          <w:szCs w:val="20"/>
          <w:color w:val="auto"/>
        </w:rPr>
      </w:pPr>
      <w:r>
        <w:rPr>
          <w:rFonts w:ascii="Arial" w:cs="Arial" w:eastAsia="Arial" w:hAnsi="Arial"/>
          <w:sz w:val="18"/>
          <w:szCs w:val="18"/>
          <w:color w:val="auto"/>
        </w:rPr>
        <w:t>We also maintain policies to ensure our operations not only are compliant with applicable law, the rules and regulations of the SEC, and the listing standards of the New York Stock Exchange (“</w:t>
      </w:r>
      <w:r>
        <w:rPr>
          <w:rFonts w:ascii="Arial" w:cs="Arial" w:eastAsia="Arial" w:hAnsi="Arial"/>
          <w:sz w:val="18"/>
          <w:szCs w:val="18"/>
          <w:u w:val="single" w:color="auto"/>
          <w:color w:val="auto"/>
        </w:rPr>
        <w:t>NYSE</w:t>
      </w:r>
      <w:r>
        <w:rPr>
          <w:rFonts w:ascii="Arial" w:cs="Arial" w:eastAsia="Arial" w:hAnsi="Arial"/>
          <w:sz w:val="18"/>
          <w:szCs w:val="18"/>
          <w:color w:val="auto"/>
        </w:rPr>
        <w:t>”), but also promote good corporate governance principles and standards of behavior. A summary of our corporate governance policies is set forth in the following table.</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28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Policy</w:t>
            </w:r>
          </w:p>
        </w:tc>
        <w:tc>
          <w:tcPr>
            <w:tcW w:w="786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Description</w:t>
            </w:r>
          </w:p>
        </w:tc>
      </w:tr>
      <w:tr>
        <w:trPr>
          <w:trHeight w:val="224"/>
        </w:trPr>
        <w:tc>
          <w:tcPr>
            <w:tcW w:w="2860" w:type="dxa"/>
            <w:vAlign w:val="bottom"/>
          </w:tcPr>
          <w:p>
            <w:pPr>
              <w:ind w:left="20"/>
              <w:spacing w:after="0"/>
              <w:rPr>
                <w:sz w:val="20"/>
                <w:szCs w:val="20"/>
                <w:color w:val="auto"/>
              </w:rPr>
            </w:pPr>
            <w:r>
              <w:rPr>
                <w:rFonts w:ascii="Arial" w:cs="Arial" w:eastAsia="Arial" w:hAnsi="Arial"/>
                <w:sz w:val="18"/>
                <w:szCs w:val="18"/>
                <w:b w:val="1"/>
                <w:bCs w:val="1"/>
                <w:color w:val="auto"/>
              </w:rPr>
              <w:t>Insider Trading and Disclosure</w:t>
            </w:r>
          </w:p>
        </w:tc>
        <w:tc>
          <w:tcPr>
            <w:tcW w:w="7860" w:type="dxa"/>
            <w:vAlign w:val="bottom"/>
          </w:tcPr>
          <w:p>
            <w:pPr>
              <w:ind w:left="220"/>
              <w:spacing w:after="0"/>
              <w:rPr>
                <w:sz w:val="20"/>
                <w:szCs w:val="20"/>
                <w:color w:val="auto"/>
              </w:rPr>
            </w:pPr>
            <w:r>
              <w:rPr>
                <w:rFonts w:ascii="Arial" w:cs="Arial" w:eastAsia="Arial" w:hAnsi="Arial"/>
                <w:sz w:val="18"/>
                <w:szCs w:val="18"/>
                <w:color w:val="auto"/>
              </w:rPr>
              <w:t>Sets forth the Company’s limitations regarding trading in Company securities and the handling</w:t>
            </w:r>
          </w:p>
        </w:tc>
      </w:tr>
      <w:tr>
        <w:trPr>
          <w:trHeight w:val="247"/>
        </w:trPr>
        <w:tc>
          <w:tcPr>
            <w:tcW w:w="2860" w:type="dxa"/>
            <w:vAlign w:val="bottom"/>
          </w:tcPr>
          <w:p>
            <w:pPr>
              <w:ind w:left="20"/>
              <w:spacing w:after="0"/>
              <w:rPr>
                <w:sz w:val="20"/>
                <w:szCs w:val="20"/>
                <w:color w:val="auto"/>
              </w:rPr>
            </w:pPr>
            <w:r>
              <w:rPr>
                <w:rFonts w:ascii="Arial" w:cs="Arial" w:eastAsia="Arial" w:hAnsi="Arial"/>
                <w:sz w:val="18"/>
                <w:szCs w:val="18"/>
                <w:b w:val="1"/>
                <w:bCs w:val="1"/>
                <w:color w:val="auto"/>
              </w:rPr>
              <w:t>Policy</w:t>
            </w:r>
          </w:p>
        </w:tc>
        <w:tc>
          <w:tcPr>
            <w:tcW w:w="7860" w:type="dxa"/>
            <w:vAlign w:val="bottom"/>
          </w:tcPr>
          <w:p>
            <w:pPr>
              <w:ind w:left="220"/>
              <w:spacing w:after="0"/>
              <w:rPr>
                <w:sz w:val="20"/>
                <w:szCs w:val="20"/>
                <w:color w:val="auto"/>
              </w:rPr>
            </w:pPr>
            <w:r>
              <w:rPr>
                <w:rFonts w:ascii="Arial" w:cs="Arial" w:eastAsia="Arial" w:hAnsi="Arial"/>
                <w:sz w:val="18"/>
                <w:szCs w:val="18"/>
                <w:color w:val="auto"/>
              </w:rPr>
              <w:t>of non-public material information.</w:t>
            </w:r>
          </w:p>
        </w:tc>
      </w:tr>
      <w:tr>
        <w:trPr>
          <w:trHeight w:val="239"/>
        </w:trPr>
        <w:tc>
          <w:tcPr>
            <w:tcW w:w="2860" w:type="dxa"/>
            <w:vAlign w:val="bottom"/>
          </w:tcPr>
          <w:p>
            <w:pPr>
              <w:ind w:left="20"/>
              <w:spacing w:after="0"/>
              <w:rPr>
                <w:sz w:val="20"/>
                <w:szCs w:val="20"/>
                <w:color w:val="auto"/>
              </w:rPr>
            </w:pPr>
            <w:r>
              <w:rPr>
                <w:rFonts w:ascii="Arial" w:cs="Arial" w:eastAsia="Arial" w:hAnsi="Arial"/>
                <w:sz w:val="18"/>
                <w:szCs w:val="18"/>
                <w:b w:val="1"/>
                <w:bCs w:val="1"/>
                <w:color w:val="auto"/>
              </w:rPr>
              <w:t>Whistleblower Policy</w:t>
            </w:r>
          </w:p>
        </w:tc>
        <w:tc>
          <w:tcPr>
            <w:tcW w:w="7860" w:type="dxa"/>
            <w:vAlign w:val="bottom"/>
          </w:tcPr>
          <w:p>
            <w:pPr>
              <w:ind w:left="220"/>
              <w:spacing w:after="0"/>
              <w:rPr>
                <w:sz w:val="20"/>
                <w:szCs w:val="20"/>
                <w:color w:val="auto"/>
              </w:rPr>
            </w:pPr>
            <w:r>
              <w:rPr>
                <w:rFonts w:ascii="Arial" w:cs="Arial" w:eastAsia="Arial" w:hAnsi="Arial"/>
                <w:sz w:val="18"/>
                <w:szCs w:val="18"/>
                <w:color w:val="auto"/>
              </w:rPr>
              <w:t>Sets forth the procedures for the reporting of suspected misconduct, illegal activities or fraud,</w:t>
            </w:r>
          </w:p>
        </w:tc>
      </w:tr>
      <w:tr>
        <w:trPr>
          <w:trHeight w:val="216"/>
        </w:trPr>
        <w:tc>
          <w:tcPr>
            <w:tcW w:w="2860" w:type="dxa"/>
            <w:vAlign w:val="bottom"/>
          </w:tcPr>
          <w:p>
            <w:pPr>
              <w:spacing w:after="0"/>
              <w:rPr>
                <w:sz w:val="18"/>
                <w:szCs w:val="18"/>
                <w:color w:val="auto"/>
              </w:rPr>
            </w:pPr>
          </w:p>
        </w:tc>
        <w:tc>
          <w:tcPr>
            <w:tcW w:w="7860" w:type="dxa"/>
            <w:vAlign w:val="bottom"/>
          </w:tcPr>
          <w:p>
            <w:pPr>
              <w:ind w:left="220"/>
              <w:spacing w:after="0"/>
              <w:rPr>
                <w:sz w:val="20"/>
                <w:szCs w:val="20"/>
                <w:color w:val="auto"/>
              </w:rPr>
            </w:pPr>
            <w:r>
              <w:rPr>
                <w:rFonts w:ascii="Arial" w:cs="Arial" w:eastAsia="Arial" w:hAnsi="Arial"/>
                <w:sz w:val="18"/>
                <w:szCs w:val="18"/>
                <w:color w:val="auto"/>
              </w:rPr>
              <w:t>including any questionable accounting, internal accounting controls and auditing matters, or</w:t>
            </w:r>
          </w:p>
        </w:tc>
      </w:tr>
      <w:tr>
        <w:trPr>
          <w:trHeight w:val="216"/>
        </w:trPr>
        <w:tc>
          <w:tcPr>
            <w:tcW w:w="2860" w:type="dxa"/>
            <w:vAlign w:val="bottom"/>
          </w:tcPr>
          <w:p>
            <w:pPr>
              <w:spacing w:after="0"/>
              <w:rPr>
                <w:sz w:val="18"/>
                <w:szCs w:val="18"/>
                <w:color w:val="auto"/>
              </w:rPr>
            </w:pPr>
          </w:p>
        </w:tc>
        <w:tc>
          <w:tcPr>
            <w:tcW w:w="7860" w:type="dxa"/>
            <w:vAlign w:val="bottom"/>
          </w:tcPr>
          <w:p>
            <w:pPr>
              <w:ind w:left="220"/>
              <w:spacing w:after="0"/>
              <w:rPr>
                <w:sz w:val="20"/>
                <w:szCs w:val="20"/>
                <w:color w:val="auto"/>
              </w:rPr>
            </w:pPr>
            <w:r>
              <w:rPr>
                <w:rFonts w:ascii="Arial" w:cs="Arial" w:eastAsia="Arial" w:hAnsi="Arial"/>
                <w:sz w:val="18"/>
                <w:szCs w:val="18"/>
                <w:color w:val="auto"/>
              </w:rPr>
              <w:t>other violations of federal or state laws or the Code of Ethics and the receipt, treatment and</w:t>
            </w:r>
          </w:p>
        </w:tc>
      </w:tr>
      <w:tr>
        <w:trPr>
          <w:trHeight w:val="239"/>
        </w:trPr>
        <w:tc>
          <w:tcPr>
            <w:tcW w:w="2860" w:type="dxa"/>
            <w:vAlign w:val="bottom"/>
          </w:tcPr>
          <w:p>
            <w:pPr>
              <w:spacing w:after="0"/>
              <w:rPr>
                <w:sz w:val="20"/>
                <w:szCs w:val="20"/>
                <w:color w:val="auto"/>
              </w:rPr>
            </w:pPr>
          </w:p>
        </w:tc>
        <w:tc>
          <w:tcPr>
            <w:tcW w:w="7860" w:type="dxa"/>
            <w:vAlign w:val="bottom"/>
          </w:tcPr>
          <w:p>
            <w:pPr>
              <w:ind w:left="220"/>
              <w:spacing w:after="0"/>
              <w:rPr>
                <w:sz w:val="20"/>
                <w:szCs w:val="20"/>
                <w:color w:val="auto"/>
              </w:rPr>
            </w:pPr>
            <w:r>
              <w:rPr>
                <w:rFonts w:ascii="Arial" w:cs="Arial" w:eastAsia="Arial" w:hAnsi="Arial"/>
                <w:sz w:val="18"/>
                <w:szCs w:val="18"/>
                <w:color w:val="auto"/>
              </w:rPr>
              <w:t>investigation of such reports.</w:t>
            </w:r>
          </w:p>
        </w:tc>
      </w:tr>
      <w:tr>
        <w:trPr>
          <w:trHeight w:val="247"/>
        </w:trPr>
        <w:tc>
          <w:tcPr>
            <w:tcW w:w="2860" w:type="dxa"/>
            <w:vAlign w:val="bottom"/>
          </w:tcPr>
          <w:p>
            <w:pPr>
              <w:ind w:left="20"/>
              <w:spacing w:after="0"/>
              <w:rPr>
                <w:sz w:val="20"/>
                <w:szCs w:val="20"/>
                <w:color w:val="auto"/>
              </w:rPr>
            </w:pPr>
            <w:r>
              <w:rPr>
                <w:rFonts w:ascii="Arial" w:cs="Arial" w:eastAsia="Arial" w:hAnsi="Arial"/>
                <w:sz w:val="18"/>
                <w:szCs w:val="18"/>
                <w:b w:val="1"/>
                <w:bCs w:val="1"/>
                <w:color w:val="auto"/>
              </w:rPr>
              <w:t>Related Person Transaction</w:t>
            </w:r>
          </w:p>
        </w:tc>
        <w:tc>
          <w:tcPr>
            <w:tcW w:w="7860" w:type="dxa"/>
            <w:vAlign w:val="bottom"/>
          </w:tcPr>
          <w:p>
            <w:pPr>
              <w:ind w:left="220"/>
              <w:spacing w:after="0"/>
              <w:rPr>
                <w:sz w:val="20"/>
                <w:szCs w:val="20"/>
                <w:color w:val="auto"/>
              </w:rPr>
            </w:pPr>
            <w:r>
              <w:rPr>
                <w:rFonts w:ascii="Arial" w:cs="Arial" w:eastAsia="Arial" w:hAnsi="Arial"/>
                <w:sz w:val="18"/>
                <w:szCs w:val="18"/>
                <w:color w:val="auto"/>
              </w:rPr>
              <w:t>Sets forth the policies and procedures for reviewing, approving and ratifying proposed</w:t>
            </w:r>
          </w:p>
        </w:tc>
      </w:tr>
      <w:tr>
        <w:trPr>
          <w:trHeight w:val="216"/>
        </w:trPr>
        <w:tc>
          <w:tcPr>
            <w:tcW w:w="2860" w:type="dxa"/>
            <w:vAlign w:val="bottom"/>
          </w:tcPr>
          <w:p>
            <w:pPr>
              <w:ind w:left="20"/>
              <w:spacing w:after="0"/>
              <w:rPr>
                <w:sz w:val="20"/>
                <w:szCs w:val="20"/>
                <w:color w:val="auto"/>
              </w:rPr>
            </w:pPr>
            <w:r>
              <w:rPr>
                <w:rFonts w:ascii="Arial" w:cs="Arial" w:eastAsia="Arial" w:hAnsi="Arial"/>
                <w:sz w:val="18"/>
                <w:szCs w:val="18"/>
                <w:b w:val="1"/>
                <w:bCs w:val="1"/>
                <w:color w:val="auto"/>
              </w:rPr>
              <w:t>Policy</w:t>
            </w:r>
          </w:p>
        </w:tc>
        <w:tc>
          <w:tcPr>
            <w:tcW w:w="7860" w:type="dxa"/>
            <w:vAlign w:val="bottom"/>
          </w:tcPr>
          <w:p>
            <w:pPr>
              <w:ind w:left="220"/>
              <w:spacing w:after="0"/>
              <w:rPr>
                <w:sz w:val="20"/>
                <w:szCs w:val="20"/>
                <w:color w:val="auto"/>
              </w:rPr>
            </w:pPr>
            <w:r>
              <w:rPr>
                <w:rFonts w:ascii="Arial" w:cs="Arial" w:eastAsia="Arial" w:hAnsi="Arial"/>
                <w:sz w:val="18"/>
                <w:szCs w:val="18"/>
                <w:color w:val="auto"/>
              </w:rPr>
              <w:t>transactions with directors, executive officers, significant stockholders or any other related</w:t>
            </w:r>
          </w:p>
        </w:tc>
      </w:tr>
      <w:tr>
        <w:trPr>
          <w:trHeight w:val="239"/>
        </w:trPr>
        <w:tc>
          <w:tcPr>
            <w:tcW w:w="2860" w:type="dxa"/>
            <w:vAlign w:val="bottom"/>
          </w:tcPr>
          <w:p>
            <w:pPr>
              <w:spacing w:after="0"/>
              <w:rPr>
                <w:sz w:val="20"/>
                <w:szCs w:val="20"/>
                <w:color w:val="auto"/>
              </w:rPr>
            </w:pPr>
          </w:p>
        </w:tc>
        <w:tc>
          <w:tcPr>
            <w:tcW w:w="7860" w:type="dxa"/>
            <w:vAlign w:val="bottom"/>
          </w:tcPr>
          <w:p>
            <w:pPr>
              <w:ind w:left="220"/>
              <w:spacing w:after="0"/>
              <w:rPr>
                <w:sz w:val="20"/>
                <w:szCs w:val="20"/>
                <w:color w:val="auto"/>
              </w:rPr>
            </w:pPr>
            <w:r>
              <w:rPr>
                <w:rFonts w:ascii="Arial" w:cs="Arial" w:eastAsia="Arial" w:hAnsi="Arial"/>
                <w:sz w:val="18"/>
                <w:szCs w:val="18"/>
                <w:color w:val="auto"/>
              </w:rPr>
              <w:t>persons.</w:t>
            </w:r>
          </w:p>
        </w:tc>
      </w:tr>
      <w:tr>
        <w:trPr>
          <w:trHeight w:val="247"/>
        </w:trPr>
        <w:tc>
          <w:tcPr>
            <w:tcW w:w="2860" w:type="dxa"/>
            <w:vAlign w:val="bottom"/>
          </w:tcPr>
          <w:p>
            <w:pPr>
              <w:ind w:left="20"/>
              <w:spacing w:after="0"/>
              <w:rPr>
                <w:sz w:val="20"/>
                <w:szCs w:val="20"/>
                <w:color w:val="auto"/>
              </w:rPr>
            </w:pPr>
            <w:r>
              <w:rPr>
                <w:rFonts w:ascii="Arial" w:cs="Arial" w:eastAsia="Arial" w:hAnsi="Arial"/>
                <w:sz w:val="18"/>
                <w:szCs w:val="18"/>
                <w:b w:val="1"/>
                <w:bCs w:val="1"/>
                <w:color w:val="auto"/>
              </w:rPr>
              <w:t>Anti-Corruption Policy</w:t>
            </w:r>
          </w:p>
        </w:tc>
        <w:tc>
          <w:tcPr>
            <w:tcW w:w="7860" w:type="dxa"/>
            <w:vAlign w:val="bottom"/>
          </w:tcPr>
          <w:p>
            <w:pPr>
              <w:ind w:left="220"/>
              <w:spacing w:after="0"/>
              <w:rPr>
                <w:sz w:val="20"/>
                <w:szCs w:val="20"/>
                <w:color w:val="auto"/>
              </w:rPr>
            </w:pPr>
            <w:r>
              <w:rPr>
                <w:rFonts w:ascii="Arial" w:cs="Arial" w:eastAsia="Arial" w:hAnsi="Arial"/>
                <w:sz w:val="18"/>
                <w:szCs w:val="18"/>
                <w:color w:val="auto"/>
              </w:rPr>
              <w:t>Provides detailed guidance for our Board members, officers, employees and third parties acting</w:t>
            </w:r>
          </w:p>
        </w:tc>
      </w:tr>
      <w:tr>
        <w:trPr>
          <w:trHeight w:val="239"/>
        </w:trPr>
        <w:tc>
          <w:tcPr>
            <w:tcW w:w="2860" w:type="dxa"/>
            <w:vAlign w:val="bottom"/>
          </w:tcPr>
          <w:p>
            <w:pPr>
              <w:spacing w:after="0"/>
              <w:rPr>
                <w:sz w:val="20"/>
                <w:szCs w:val="20"/>
                <w:color w:val="auto"/>
              </w:rPr>
            </w:pPr>
          </w:p>
        </w:tc>
        <w:tc>
          <w:tcPr>
            <w:tcW w:w="7860" w:type="dxa"/>
            <w:vAlign w:val="bottom"/>
          </w:tcPr>
          <w:p>
            <w:pPr>
              <w:ind w:left="220"/>
              <w:spacing w:after="0"/>
              <w:rPr>
                <w:sz w:val="20"/>
                <w:szCs w:val="20"/>
                <w:color w:val="auto"/>
              </w:rPr>
            </w:pPr>
            <w:r>
              <w:rPr>
                <w:rFonts w:ascii="Arial" w:cs="Arial" w:eastAsia="Arial" w:hAnsi="Arial"/>
                <w:sz w:val="18"/>
                <w:szCs w:val="18"/>
                <w:color w:val="auto"/>
              </w:rPr>
              <w:t>on our behalf on prohibited actions under anti-bribery and anti-corruption laws.</w:t>
            </w:r>
          </w:p>
        </w:tc>
      </w:tr>
      <w:tr>
        <w:trPr>
          <w:trHeight w:val="247"/>
        </w:trPr>
        <w:tc>
          <w:tcPr>
            <w:tcW w:w="2860" w:type="dxa"/>
            <w:vAlign w:val="bottom"/>
          </w:tcPr>
          <w:p>
            <w:pPr>
              <w:ind w:left="20"/>
              <w:spacing w:after="0"/>
              <w:rPr>
                <w:sz w:val="20"/>
                <w:szCs w:val="20"/>
                <w:color w:val="auto"/>
              </w:rPr>
            </w:pPr>
            <w:r>
              <w:rPr>
                <w:rFonts w:ascii="Arial" w:cs="Arial" w:eastAsia="Arial" w:hAnsi="Arial"/>
                <w:sz w:val="18"/>
                <w:szCs w:val="18"/>
                <w:b w:val="1"/>
                <w:bCs w:val="1"/>
                <w:color w:val="auto"/>
              </w:rPr>
              <w:t>Anti-Harassment Policy</w:t>
            </w:r>
          </w:p>
        </w:tc>
        <w:tc>
          <w:tcPr>
            <w:tcW w:w="7860" w:type="dxa"/>
            <w:vAlign w:val="bottom"/>
          </w:tcPr>
          <w:p>
            <w:pPr>
              <w:ind w:left="220"/>
              <w:spacing w:after="0"/>
              <w:rPr>
                <w:sz w:val="20"/>
                <w:szCs w:val="20"/>
                <w:color w:val="auto"/>
              </w:rPr>
            </w:pPr>
            <w:r>
              <w:rPr>
                <w:rFonts w:ascii="Arial" w:cs="Arial" w:eastAsia="Arial" w:hAnsi="Arial"/>
                <w:sz w:val="18"/>
                <w:szCs w:val="18"/>
                <w:color w:val="auto"/>
              </w:rPr>
              <w:t>Provides that all persons shall be treated with dignity and respect and shall not be subject to</w:t>
            </w:r>
          </w:p>
        </w:tc>
      </w:tr>
      <w:tr>
        <w:trPr>
          <w:trHeight w:val="216"/>
        </w:trPr>
        <w:tc>
          <w:tcPr>
            <w:tcW w:w="2860" w:type="dxa"/>
            <w:vAlign w:val="bottom"/>
          </w:tcPr>
          <w:p>
            <w:pPr>
              <w:spacing w:after="0"/>
              <w:rPr>
                <w:sz w:val="18"/>
                <w:szCs w:val="18"/>
                <w:color w:val="auto"/>
              </w:rPr>
            </w:pPr>
          </w:p>
        </w:tc>
        <w:tc>
          <w:tcPr>
            <w:tcW w:w="7860" w:type="dxa"/>
            <w:vAlign w:val="bottom"/>
          </w:tcPr>
          <w:p>
            <w:pPr>
              <w:ind w:left="220"/>
              <w:spacing w:after="0"/>
              <w:rPr>
                <w:sz w:val="20"/>
                <w:szCs w:val="20"/>
                <w:color w:val="auto"/>
              </w:rPr>
            </w:pPr>
            <w:r>
              <w:rPr>
                <w:rFonts w:ascii="Arial" w:cs="Arial" w:eastAsia="Arial" w:hAnsi="Arial"/>
                <w:sz w:val="18"/>
                <w:szCs w:val="18"/>
                <w:color w:val="auto"/>
              </w:rPr>
              <w:t>discriminatory practices and harassment and sets forth the policies and procedures for</w:t>
            </w:r>
          </w:p>
        </w:tc>
      </w:tr>
      <w:tr>
        <w:trPr>
          <w:trHeight w:val="239"/>
        </w:trPr>
        <w:tc>
          <w:tcPr>
            <w:tcW w:w="2860" w:type="dxa"/>
            <w:vAlign w:val="bottom"/>
          </w:tcPr>
          <w:p>
            <w:pPr>
              <w:spacing w:after="0"/>
              <w:rPr>
                <w:sz w:val="20"/>
                <w:szCs w:val="20"/>
                <w:color w:val="auto"/>
              </w:rPr>
            </w:pPr>
          </w:p>
        </w:tc>
        <w:tc>
          <w:tcPr>
            <w:tcW w:w="7860" w:type="dxa"/>
            <w:vAlign w:val="bottom"/>
          </w:tcPr>
          <w:p>
            <w:pPr>
              <w:ind w:left="220"/>
              <w:spacing w:after="0"/>
              <w:rPr>
                <w:sz w:val="20"/>
                <w:szCs w:val="20"/>
                <w:color w:val="auto"/>
              </w:rPr>
            </w:pPr>
            <w:r>
              <w:rPr>
                <w:rFonts w:ascii="Arial" w:cs="Arial" w:eastAsia="Arial" w:hAnsi="Arial"/>
                <w:sz w:val="18"/>
                <w:szCs w:val="18"/>
                <w:color w:val="auto"/>
              </w:rPr>
              <w:t>reporting and investigation suspected harassment.</w:t>
            </w:r>
          </w:p>
        </w:tc>
      </w:tr>
      <w:tr>
        <w:trPr>
          <w:trHeight w:val="247"/>
        </w:trPr>
        <w:tc>
          <w:tcPr>
            <w:tcW w:w="2860" w:type="dxa"/>
            <w:vAlign w:val="bottom"/>
          </w:tcPr>
          <w:p>
            <w:pPr>
              <w:ind w:left="20"/>
              <w:spacing w:after="0"/>
              <w:rPr>
                <w:sz w:val="20"/>
                <w:szCs w:val="20"/>
                <w:color w:val="auto"/>
              </w:rPr>
            </w:pPr>
            <w:r>
              <w:rPr>
                <w:rFonts w:ascii="Arial" w:cs="Arial" w:eastAsia="Arial" w:hAnsi="Arial"/>
                <w:sz w:val="18"/>
                <w:szCs w:val="18"/>
                <w:b w:val="1"/>
                <w:bCs w:val="1"/>
                <w:color w:val="auto"/>
              </w:rPr>
              <w:t>Corporate Communications</w:t>
            </w:r>
          </w:p>
        </w:tc>
        <w:tc>
          <w:tcPr>
            <w:tcW w:w="7860" w:type="dxa"/>
            <w:vAlign w:val="bottom"/>
          </w:tcPr>
          <w:p>
            <w:pPr>
              <w:ind w:left="220"/>
              <w:spacing w:after="0"/>
              <w:rPr>
                <w:sz w:val="20"/>
                <w:szCs w:val="20"/>
                <w:color w:val="auto"/>
              </w:rPr>
            </w:pPr>
            <w:r>
              <w:rPr>
                <w:rFonts w:ascii="Arial" w:cs="Arial" w:eastAsia="Arial" w:hAnsi="Arial"/>
                <w:sz w:val="18"/>
                <w:szCs w:val="18"/>
                <w:color w:val="auto"/>
              </w:rPr>
              <w:t>Sets forth guidelines on fair and complete disclosure of Company information to current and</w:t>
            </w:r>
          </w:p>
        </w:tc>
      </w:tr>
      <w:tr>
        <w:trPr>
          <w:trHeight w:val="216"/>
        </w:trPr>
        <w:tc>
          <w:tcPr>
            <w:tcW w:w="2860" w:type="dxa"/>
            <w:vAlign w:val="bottom"/>
          </w:tcPr>
          <w:p>
            <w:pPr>
              <w:ind w:left="20"/>
              <w:spacing w:after="0"/>
              <w:rPr>
                <w:sz w:val="20"/>
                <w:szCs w:val="20"/>
                <w:color w:val="auto"/>
              </w:rPr>
            </w:pPr>
            <w:r>
              <w:rPr>
                <w:rFonts w:ascii="Arial" w:cs="Arial" w:eastAsia="Arial" w:hAnsi="Arial"/>
                <w:sz w:val="18"/>
                <w:szCs w:val="18"/>
                <w:b w:val="1"/>
                <w:bCs w:val="1"/>
                <w:color w:val="auto"/>
              </w:rPr>
              <w:t>and Disclosure Policy</w:t>
            </w:r>
          </w:p>
        </w:tc>
        <w:tc>
          <w:tcPr>
            <w:tcW w:w="7860" w:type="dxa"/>
            <w:vAlign w:val="bottom"/>
          </w:tcPr>
          <w:p>
            <w:pPr>
              <w:ind w:left="220"/>
              <w:spacing w:after="0"/>
              <w:rPr>
                <w:sz w:val="20"/>
                <w:szCs w:val="20"/>
                <w:color w:val="auto"/>
              </w:rPr>
            </w:pPr>
            <w:r>
              <w:rPr>
                <w:rFonts w:ascii="Arial" w:cs="Arial" w:eastAsia="Arial" w:hAnsi="Arial"/>
                <w:sz w:val="18"/>
                <w:szCs w:val="18"/>
                <w:color w:val="auto"/>
              </w:rPr>
              <w:t>future stockholders, the investing public and the financial community to ensure compliance with</w:t>
            </w:r>
          </w:p>
        </w:tc>
      </w:tr>
      <w:tr>
        <w:trPr>
          <w:trHeight w:val="239"/>
        </w:trPr>
        <w:tc>
          <w:tcPr>
            <w:tcW w:w="2860" w:type="dxa"/>
            <w:vAlign w:val="bottom"/>
          </w:tcPr>
          <w:p>
            <w:pPr>
              <w:spacing w:after="0"/>
              <w:rPr>
                <w:sz w:val="20"/>
                <w:szCs w:val="20"/>
                <w:color w:val="auto"/>
              </w:rPr>
            </w:pPr>
          </w:p>
        </w:tc>
        <w:tc>
          <w:tcPr>
            <w:tcW w:w="7860" w:type="dxa"/>
            <w:vAlign w:val="bottom"/>
          </w:tcPr>
          <w:p>
            <w:pPr>
              <w:ind w:left="220"/>
              <w:spacing w:after="0"/>
              <w:rPr>
                <w:sz w:val="20"/>
                <w:szCs w:val="20"/>
                <w:color w:val="auto"/>
              </w:rPr>
            </w:pPr>
            <w:r>
              <w:rPr>
                <w:rFonts w:ascii="Arial" w:cs="Arial" w:eastAsia="Arial" w:hAnsi="Arial"/>
                <w:sz w:val="18"/>
                <w:szCs w:val="18"/>
                <w:color w:val="auto"/>
              </w:rPr>
              <w:t>SEC rules and regulations.</w:t>
            </w:r>
          </w:p>
        </w:tc>
      </w:tr>
      <w:tr>
        <w:trPr>
          <w:trHeight w:val="247"/>
        </w:trPr>
        <w:tc>
          <w:tcPr>
            <w:tcW w:w="2860" w:type="dxa"/>
            <w:vAlign w:val="bottom"/>
          </w:tcPr>
          <w:p>
            <w:pPr>
              <w:ind w:left="20"/>
              <w:spacing w:after="0"/>
              <w:rPr>
                <w:sz w:val="20"/>
                <w:szCs w:val="20"/>
                <w:color w:val="auto"/>
              </w:rPr>
            </w:pPr>
            <w:r>
              <w:rPr>
                <w:rFonts w:ascii="Arial" w:cs="Arial" w:eastAsia="Arial" w:hAnsi="Arial"/>
                <w:sz w:val="18"/>
                <w:szCs w:val="18"/>
                <w:b w:val="1"/>
                <w:bCs w:val="1"/>
                <w:color w:val="auto"/>
              </w:rPr>
              <w:t>Economic Sanctions</w:t>
            </w:r>
          </w:p>
        </w:tc>
        <w:tc>
          <w:tcPr>
            <w:tcW w:w="7860" w:type="dxa"/>
            <w:vAlign w:val="bottom"/>
          </w:tcPr>
          <w:p>
            <w:pPr>
              <w:ind w:left="220"/>
              <w:spacing w:after="0"/>
              <w:rPr>
                <w:sz w:val="20"/>
                <w:szCs w:val="20"/>
                <w:color w:val="auto"/>
              </w:rPr>
            </w:pPr>
            <w:r>
              <w:rPr>
                <w:rFonts w:ascii="Arial" w:cs="Arial" w:eastAsia="Arial" w:hAnsi="Arial"/>
                <w:sz w:val="18"/>
                <w:szCs w:val="18"/>
                <w:color w:val="auto"/>
              </w:rPr>
              <w:t>Provides that all Company activities by directors, officers, employees and agents acting on</w:t>
            </w:r>
          </w:p>
        </w:tc>
      </w:tr>
      <w:tr>
        <w:trPr>
          <w:trHeight w:val="216"/>
        </w:trPr>
        <w:tc>
          <w:tcPr>
            <w:tcW w:w="2860" w:type="dxa"/>
            <w:vAlign w:val="bottom"/>
          </w:tcPr>
          <w:p>
            <w:pPr>
              <w:ind w:left="20"/>
              <w:spacing w:after="0"/>
              <w:rPr>
                <w:sz w:val="20"/>
                <w:szCs w:val="20"/>
                <w:color w:val="auto"/>
              </w:rPr>
            </w:pPr>
            <w:r>
              <w:rPr>
                <w:rFonts w:ascii="Arial" w:cs="Arial" w:eastAsia="Arial" w:hAnsi="Arial"/>
                <w:sz w:val="18"/>
                <w:szCs w:val="18"/>
                <w:b w:val="1"/>
                <w:bCs w:val="1"/>
                <w:color w:val="auto"/>
              </w:rPr>
              <w:t>Compliance Policy</w:t>
            </w:r>
          </w:p>
        </w:tc>
        <w:tc>
          <w:tcPr>
            <w:tcW w:w="7860" w:type="dxa"/>
            <w:vAlign w:val="bottom"/>
          </w:tcPr>
          <w:p>
            <w:pPr>
              <w:ind w:left="220"/>
              <w:spacing w:after="0"/>
              <w:rPr>
                <w:sz w:val="20"/>
                <w:szCs w:val="20"/>
                <w:color w:val="auto"/>
              </w:rPr>
            </w:pPr>
            <w:r>
              <w:rPr>
                <w:rFonts w:ascii="Arial" w:cs="Arial" w:eastAsia="Arial" w:hAnsi="Arial"/>
                <w:sz w:val="18"/>
                <w:szCs w:val="18"/>
                <w:color w:val="auto"/>
              </w:rPr>
              <w:t>behalf of the Company comport fully with applicable embargoes and other economic sanctions</w:t>
            </w:r>
          </w:p>
        </w:tc>
      </w:tr>
      <w:tr>
        <w:trPr>
          <w:trHeight w:val="239"/>
        </w:trPr>
        <w:tc>
          <w:tcPr>
            <w:tcW w:w="2860" w:type="dxa"/>
            <w:vAlign w:val="bottom"/>
          </w:tcPr>
          <w:p>
            <w:pPr>
              <w:spacing w:after="0"/>
              <w:rPr>
                <w:sz w:val="20"/>
                <w:szCs w:val="20"/>
                <w:color w:val="auto"/>
              </w:rPr>
            </w:pPr>
          </w:p>
        </w:tc>
        <w:tc>
          <w:tcPr>
            <w:tcW w:w="7860" w:type="dxa"/>
            <w:vAlign w:val="bottom"/>
          </w:tcPr>
          <w:p>
            <w:pPr>
              <w:ind w:left="220"/>
              <w:spacing w:after="0"/>
              <w:rPr>
                <w:sz w:val="20"/>
                <w:szCs w:val="20"/>
                <w:color w:val="auto"/>
              </w:rPr>
            </w:pPr>
            <w:r>
              <w:rPr>
                <w:rFonts w:ascii="Arial" w:cs="Arial" w:eastAsia="Arial" w:hAnsi="Arial"/>
                <w:sz w:val="18"/>
                <w:szCs w:val="18"/>
                <w:color w:val="auto"/>
              </w:rPr>
              <w:t>requirements.</w:t>
            </w:r>
          </w:p>
        </w:tc>
      </w:tr>
      <w:tr>
        <w:trPr>
          <w:trHeight w:val="247"/>
        </w:trPr>
        <w:tc>
          <w:tcPr>
            <w:tcW w:w="2860" w:type="dxa"/>
            <w:vAlign w:val="bottom"/>
          </w:tcPr>
          <w:p>
            <w:pPr>
              <w:ind w:left="20"/>
              <w:spacing w:after="0"/>
              <w:rPr>
                <w:sz w:val="20"/>
                <w:szCs w:val="20"/>
                <w:color w:val="auto"/>
              </w:rPr>
            </w:pPr>
            <w:r>
              <w:rPr>
                <w:rFonts w:ascii="Arial" w:cs="Arial" w:eastAsia="Arial" w:hAnsi="Arial"/>
                <w:sz w:val="18"/>
                <w:szCs w:val="18"/>
                <w:b w:val="1"/>
                <w:bCs w:val="1"/>
                <w:color w:val="auto"/>
              </w:rPr>
              <w:t>Executive Compensation</w:t>
            </w:r>
          </w:p>
        </w:tc>
        <w:tc>
          <w:tcPr>
            <w:tcW w:w="7860" w:type="dxa"/>
            <w:vAlign w:val="bottom"/>
          </w:tcPr>
          <w:p>
            <w:pPr>
              <w:ind w:left="220"/>
              <w:spacing w:after="0"/>
              <w:rPr>
                <w:sz w:val="20"/>
                <w:szCs w:val="20"/>
                <w:color w:val="auto"/>
              </w:rPr>
            </w:pPr>
            <w:r>
              <w:rPr>
                <w:rFonts w:ascii="Arial" w:cs="Arial" w:eastAsia="Arial" w:hAnsi="Arial"/>
                <w:sz w:val="18"/>
                <w:szCs w:val="18"/>
                <w:color w:val="auto"/>
              </w:rPr>
              <w:t>Sets forth the guidelines pursuant to which the Company may recover certain incentive-based</w:t>
            </w:r>
          </w:p>
        </w:tc>
      </w:tr>
      <w:tr>
        <w:trPr>
          <w:trHeight w:val="216"/>
        </w:trPr>
        <w:tc>
          <w:tcPr>
            <w:tcW w:w="2860" w:type="dxa"/>
            <w:vAlign w:val="bottom"/>
          </w:tcPr>
          <w:p>
            <w:pPr>
              <w:ind w:left="20"/>
              <w:spacing w:after="0"/>
              <w:rPr>
                <w:sz w:val="20"/>
                <w:szCs w:val="20"/>
                <w:color w:val="auto"/>
              </w:rPr>
            </w:pPr>
            <w:r>
              <w:rPr>
                <w:rFonts w:ascii="Arial" w:cs="Arial" w:eastAsia="Arial" w:hAnsi="Arial"/>
                <w:sz w:val="18"/>
                <w:szCs w:val="18"/>
                <w:b w:val="1"/>
                <w:bCs w:val="1"/>
                <w:color w:val="auto"/>
              </w:rPr>
              <w:t>Clawback Policy</w:t>
            </w:r>
          </w:p>
        </w:tc>
        <w:tc>
          <w:tcPr>
            <w:tcW w:w="7860" w:type="dxa"/>
            <w:vAlign w:val="bottom"/>
          </w:tcPr>
          <w:p>
            <w:pPr>
              <w:ind w:left="220"/>
              <w:spacing w:after="0"/>
              <w:rPr>
                <w:sz w:val="20"/>
                <w:szCs w:val="20"/>
                <w:color w:val="auto"/>
              </w:rPr>
            </w:pPr>
            <w:r>
              <w:rPr>
                <w:rFonts w:ascii="Arial" w:cs="Arial" w:eastAsia="Arial" w:hAnsi="Arial"/>
                <w:sz w:val="18"/>
                <w:szCs w:val="18"/>
                <w:color w:val="auto"/>
              </w:rPr>
              <w:t>compensation payments made to current and former executive officers if the Company is</w:t>
            </w:r>
          </w:p>
        </w:tc>
      </w:tr>
      <w:tr>
        <w:trPr>
          <w:trHeight w:val="216"/>
        </w:trPr>
        <w:tc>
          <w:tcPr>
            <w:tcW w:w="2860" w:type="dxa"/>
            <w:vAlign w:val="bottom"/>
          </w:tcPr>
          <w:p>
            <w:pPr>
              <w:spacing w:after="0"/>
              <w:rPr>
                <w:sz w:val="18"/>
                <w:szCs w:val="18"/>
                <w:color w:val="auto"/>
              </w:rPr>
            </w:pPr>
          </w:p>
        </w:tc>
        <w:tc>
          <w:tcPr>
            <w:tcW w:w="7860" w:type="dxa"/>
            <w:vAlign w:val="bottom"/>
          </w:tcPr>
          <w:p>
            <w:pPr>
              <w:ind w:left="220"/>
              <w:spacing w:after="0"/>
              <w:rPr>
                <w:sz w:val="20"/>
                <w:szCs w:val="20"/>
                <w:color w:val="auto"/>
              </w:rPr>
            </w:pPr>
            <w:r>
              <w:rPr>
                <w:rFonts w:ascii="Arial" w:cs="Arial" w:eastAsia="Arial" w:hAnsi="Arial"/>
                <w:sz w:val="18"/>
                <w:szCs w:val="18"/>
                <w:color w:val="auto"/>
              </w:rPr>
              <w:t>required to prepare an accounting restatement of its financial statements as a result of material</w:t>
            </w:r>
          </w:p>
        </w:tc>
      </w:tr>
      <w:tr>
        <w:trPr>
          <w:trHeight w:val="239"/>
        </w:trPr>
        <w:tc>
          <w:tcPr>
            <w:tcW w:w="2860" w:type="dxa"/>
            <w:vAlign w:val="bottom"/>
          </w:tcPr>
          <w:p>
            <w:pPr>
              <w:spacing w:after="0"/>
              <w:rPr>
                <w:sz w:val="20"/>
                <w:szCs w:val="20"/>
                <w:color w:val="auto"/>
              </w:rPr>
            </w:pPr>
          </w:p>
        </w:tc>
        <w:tc>
          <w:tcPr>
            <w:tcW w:w="7860" w:type="dxa"/>
            <w:vAlign w:val="bottom"/>
          </w:tcPr>
          <w:p>
            <w:pPr>
              <w:ind w:left="220"/>
              <w:spacing w:after="0"/>
              <w:rPr>
                <w:sz w:val="20"/>
                <w:szCs w:val="20"/>
                <w:color w:val="auto"/>
              </w:rPr>
            </w:pPr>
            <w:r>
              <w:rPr>
                <w:rFonts w:ascii="Arial" w:cs="Arial" w:eastAsia="Arial" w:hAnsi="Arial"/>
                <w:sz w:val="18"/>
                <w:szCs w:val="18"/>
                <w:color w:val="auto"/>
              </w:rPr>
              <w:t>noncompliance with any financial reporting requirements under the federal securities laws.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40"/>
          </w:cols>
          <w:pgMar w:left="320" w:top="881" w:right="339" w:bottom="1440" w:gutter="0" w:footer="0" w:header="0"/>
        </w:sectPr>
      </w:pPr>
    </w:p>
    <w:bookmarkStart w:id="12" w:name="page13"/>
    <w:bookmarkEnd w:id="12"/>
    <w:p>
      <w:pPr>
        <w:ind w:left="20"/>
        <w:spacing w:after="0"/>
        <w:rPr>
          <w:sz w:val="20"/>
          <w:szCs w:val="20"/>
          <w:color w:val="auto"/>
        </w:rPr>
      </w:pPr>
      <w:r>
        <w:rPr>
          <w:rFonts w:ascii="Arial" w:cs="Arial" w:eastAsia="Arial" w:hAnsi="Arial"/>
          <w:sz w:val="17"/>
          <w:szCs w:val="17"/>
          <w:b w:val="1"/>
          <w:bCs w:val="1"/>
          <w:color w:val="auto"/>
        </w:rPr>
        <w:t>Hedging Policy</w:t>
      </w:r>
    </w:p>
    <w:p>
      <w:pPr>
        <w:spacing w:after="0" w:line="20" w:lineRule="exact"/>
        <w:rPr>
          <w:sz w:val="20"/>
          <w:szCs w:val="20"/>
          <w:color w:val="auto"/>
        </w:rPr>
      </w:pPr>
      <w:r>
        <w:rPr>
          <w:sz w:val="20"/>
          <w:szCs w:val="20"/>
          <w:color w:val="auto"/>
        </w:rPr>
        <w:br w:type="column"/>
      </w:r>
    </w:p>
    <w:p>
      <w:pPr>
        <w:ind w:right="620"/>
        <w:spacing w:after="0" w:line="278" w:lineRule="auto"/>
        <w:rPr>
          <w:sz w:val="20"/>
          <w:szCs w:val="20"/>
          <w:color w:val="auto"/>
        </w:rPr>
      </w:pPr>
      <w:r>
        <w:rPr>
          <w:rFonts w:ascii="Arial" w:cs="Arial" w:eastAsia="Arial" w:hAnsi="Arial"/>
          <w:sz w:val="17"/>
          <w:szCs w:val="17"/>
          <w:color w:val="auto"/>
        </w:rPr>
        <w:t>Provides that all Company employees, officers and directors may not engage in (1) hedging or derivative transactions or any other speculative transactions (hedging or derivative actions include (i) “cashless” collars, (ii) forward contracts, (iii) equity swaps or (iv) other similar related transactions); (2) any transactions that suggest speculation in the Company’s Stock; or (3) any short sale, “sale against the box” or any equivalent transaction involving the Company’s stock.</w:t>
      </w:r>
    </w:p>
    <w:p>
      <w:pPr>
        <w:spacing w:after="0" w:line="2" w:lineRule="exact"/>
        <w:rPr>
          <w:sz w:val="20"/>
          <w:szCs w:val="20"/>
          <w:color w:val="auto"/>
        </w:rPr>
      </w:pPr>
    </w:p>
    <w:p>
      <w:pPr>
        <w:sectPr>
          <w:pgSz w:w="11900" w:h="16838" w:orient="portrait"/>
          <w:cols w:equalWidth="0" w:num="2">
            <w:col w:w="2360" w:space="720"/>
            <w:col w:w="8140"/>
          </w:cols>
          <w:pgMar w:left="320" w:top="931" w:right="359" w:bottom="1440" w:gutter="0" w:footer="0" w:header="0"/>
        </w:sectPr>
      </w:pPr>
    </w:p>
    <w:p>
      <w:pPr>
        <w:ind w:left="20"/>
        <w:spacing w:after="0"/>
        <w:rPr>
          <w:sz w:val="20"/>
          <w:szCs w:val="20"/>
          <w:color w:val="auto"/>
        </w:rPr>
      </w:pPr>
      <w:r>
        <w:rPr>
          <w:rFonts w:ascii="Arial" w:cs="Arial" w:eastAsia="Arial" w:hAnsi="Arial"/>
          <w:sz w:val="18"/>
          <w:szCs w:val="18"/>
          <w:b w:val="1"/>
          <w:bCs w:val="1"/>
          <w:color w:val="auto"/>
        </w:rPr>
        <w:t>Information Security Policy</w:t>
      </w:r>
    </w:p>
    <w:p>
      <w:pPr>
        <w:spacing w:after="0" w:line="20" w:lineRule="exact"/>
        <w:rPr>
          <w:sz w:val="20"/>
          <w:szCs w:val="20"/>
          <w:color w:val="auto"/>
        </w:rPr>
      </w:pPr>
      <w:r>
        <w:rPr>
          <w:sz w:val="20"/>
          <w:szCs w:val="20"/>
          <w:color w:val="auto"/>
        </w:rPr>
        <w:br w:type="column"/>
      </w:r>
    </w:p>
    <w:p>
      <w:pPr>
        <w:jc w:val="both"/>
        <w:ind w:right="1200"/>
        <w:spacing w:after="0" w:line="268" w:lineRule="auto"/>
        <w:rPr>
          <w:sz w:val="20"/>
          <w:szCs w:val="20"/>
          <w:color w:val="auto"/>
        </w:rPr>
      </w:pPr>
      <w:r>
        <w:rPr>
          <w:rFonts w:ascii="Arial" w:cs="Arial" w:eastAsia="Arial" w:hAnsi="Arial"/>
          <w:sz w:val="18"/>
          <w:szCs w:val="18"/>
          <w:color w:val="auto"/>
        </w:rPr>
        <w:t>Designed to ensure the safeguarding of all information in the Company’s possession in accordance with applicable law by establishing policies, practices, and procedures, and implementing technical, administrative, and physical measures, to protect it.</w:t>
      </w:r>
    </w:p>
    <w:p>
      <w:pPr>
        <w:spacing w:after="0" w:line="182" w:lineRule="exact"/>
        <w:rPr>
          <w:sz w:val="20"/>
          <w:szCs w:val="20"/>
          <w:color w:val="auto"/>
        </w:rPr>
      </w:pPr>
    </w:p>
    <w:p>
      <w:pPr>
        <w:sectPr>
          <w:pgSz w:w="11900" w:h="16838" w:orient="portrait"/>
          <w:cols w:equalWidth="0" w:num="2">
            <w:col w:w="2360" w:space="720"/>
            <w:col w:w="8140"/>
          </w:cols>
          <w:pgMar w:left="320" w:top="931" w:right="359" w:bottom="1440" w:gutter="0" w:footer="0" w:header="0"/>
          <w:type w:val="continuous"/>
        </w:sectPr>
      </w:pPr>
    </w:p>
    <w:p>
      <w:pPr>
        <w:ind w:right="200" w:firstLine="324"/>
        <w:spacing w:after="0" w:line="232" w:lineRule="auto"/>
        <w:rPr>
          <w:sz w:val="20"/>
          <w:szCs w:val="20"/>
          <w:color w:val="auto"/>
        </w:rPr>
      </w:pPr>
      <w:r>
        <w:rPr>
          <w:rFonts w:ascii="Arial" w:cs="Arial" w:eastAsia="Arial" w:hAnsi="Arial"/>
          <w:sz w:val="18"/>
          <w:szCs w:val="18"/>
          <w:color w:val="auto"/>
        </w:rPr>
        <w:t>A copy of any of the policies set forth above may be requested from the Corporate Secretary, Shutterstock, Inc., 350 Fifth Avenue, 20</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Floor, New York, New York 10118.</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117"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Our Corporate Governance Guidelines state that a majority of the Board will consist of directors who meet the independence requirements of the NYSE listing standards, as well as the criterion related to contributions to tax-exempt organizations. A copy of our Corporate Governance Guidelines, which include our definitions for independence, can be found on our Investor Relations website at investor.shutterstock.com under the link for “Corporate Governance.” Our Board conducts an annual review to determine whether each of our directors qualifies as independent as defined in our Corporate Governance Guidelines and the NYSE listing standards applicable to board composition. The Board makes an affirmative determination regarding the independence of each director, based upon the recommendation of the Nominating and Corporate Governance Committee.</w:t>
      </w:r>
    </w:p>
    <w:p>
      <w:pPr>
        <w:spacing w:after="0" w:line="75" w:lineRule="exact"/>
        <w:rPr>
          <w:sz w:val="20"/>
          <w:szCs w:val="20"/>
          <w:color w:val="auto"/>
        </w:rPr>
      </w:pPr>
    </w:p>
    <w:p>
      <w:pPr>
        <w:ind w:right="120" w:firstLine="324"/>
        <w:spacing w:after="0" w:line="256" w:lineRule="auto"/>
        <w:rPr>
          <w:sz w:val="20"/>
          <w:szCs w:val="20"/>
          <w:color w:val="auto"/>
        </w:rPr>
      </w:pPr>
      <w:r>
        <w:rPr>
          <w:rFonts w:ascii="Arial" w:cs="Arial" w:eastAsia="Arial" w:hAnsi="Arial"/>
          <w:sz w:val="18"/>
          <w:szCs w:val="18"/>
          <w:color w:val="auto"/>
        </w:rPr>
        <w:t>Our Board has undertaken a review of its composition, the composition of its committees and the independence of each director. Based upon information requested from and provided by each director concerning his or her background, employment and affiliations, including family relationships, our Board has determined that Ms. Bigley, Ms. Bhasin, Mr. Evans, Dr. Teevan and Mr. Upshaw, representing five of our seven directors, do not have a relationship that would interfere with the exercise of independent judgment in carrying out the responsibilities of a director and that each of these directors is “independent” as that term is defined under the applicable rules and regulations of the SEC and the listing requirements and rules of the NYSE. In addition, each committee of the Board is composed solely of independent directors, consistent with the applicable rules and regulations of the SEC and the listing requirements and rules of the NYSE.</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w:t>
      </w:r>
    </w:p>
    <w:p>
      <w:pPr>
        <w:spacing w:after="0" w:line="117" w:lineRule="exact"/>
        <w:rPr>
          <w:sz w:val="20"/>
          <w:szCs w:val="20"/>
          <w:color w:val="auto"/>
        </w:rPr>
      </w:pPr>
    </w:p>
    <w:p>
      <w:pPr>
        <w:ind w:right="500" w:firstLine="324"/>
        <w:spacing w:after="0" w:line="287" w:lineRule="auto"/>
        <w:rPr>
          <w:sz w:val="20"/>
          <w:szCs w:val="20"/>
          <w:color w:val="auto"/>
        </w:rPr>
      </w:pPr>
      <w:r>
        <w:rPr>
          <w:rFonts w:ascii="Arial" w:cs="Arial" w:eastAsia="Arial" w:hAnsi="Arial"/>
          <w:sz w:val="18"/>
          <w:szCs w:val="18"/>
          <w:color w:val="auto"/>
        </w:rPr>
        <w:t>Our Corporate Governance Guidelines are designed to promote the functioning of the Board and its committees. These Guidelines address Board composition, Board functions and responsibilities, qualifications, leadership structure, committees and meetings.</w:t>
      </w:r>
    </w:p>
    <w:p>
      <w:pPr>
        <w:spacing w:after="0" w:line="45" w:lineRule="exact"/>
        <w:rPr>
          <w:sz w:val="20"/>
          <w:szCs w:val="20"/>
          <w:color w:val="auto"/>
        </w:rPr>
      </w:pPr>
    </w:p>
    <w:p>
      <w:pPr>
        <w:ind w:right="240" w:firstLine="324"/>
        <w:spacing w:after="0" w:line="256" w:lineRule="auto"/>
        <w:rPr>
          <w:sz w:val="20"/>
          <w:szCs w:val="20"/>
          <w:color w:val="auto"/>
        </w:rPr>
      </w:pPr>
      <w:r>
        <w:rPr>
          <w:rFonts w:ascii="Arial" w:cs="Arial" w:eastAsia="Arial" w:hAnsi="Arial"/>
          <w:sz w:val="18"/>
          <w:szCs w:val="18"/>
          <w:color w:val="auto"/>
        </w:rPr>
        <w:t>Our Corporate Governance Guidelines do not indicate a particular Board structure, and the Board is given the flexibility to select its Chairman and our Chief Executive Officer in the manner that it believes is in the best interests of our stockholders. Following a thorough review by the Nominating and Corporate Governance Committee and the independent members of the Board as well as a multi-year discussion on Chief Executive Officer succession planning, the Board determined in February 2020 to separate the positions of Chairman and Chief Executive Officer and to create the role of Executive Chairman. As a result of Mr. Oringer’s status as Founder and his role and responsibilities as Executive Chairman, Mr. Oringer is not considered to be an independent Chairman. Since October 2014, the Board has appointed Mr. Evans as our “Presiding Director” to preside over non-management and executive sessions of the Board.</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Chairman Roles and Responsibilities</w:t>
      </w:r>
    </w:p>
    <w:p>
      <w:pPr>
        <w:spacing w:after="0" w:line="115"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In his role as Executive Chairman, Mr. Oringer focuses on the leadership of the Board, including ensuring that Board functions are effectively carried out and, where functions have been delegated to Committees of the Board, that the results are reported to the Board; ensuring that the interests of various stakeholders are considered by the Board; engaging with our Presiding Director to facilitate communication between management and the independent directors; providing input on the performance of the Chief Executive Officer and acting as primary spokesman for the Board.</w:t>
      </w:r>
    </w:p>
    <w:p>
      <w:pPr>
        <w:spacing w:after="0" w:line="71" w:lineRule="exact"/>
        <w:rPr>
          <w:sz w:val="20"/>
          <w:szCs w:val="20"/>
          <w:color w:val="auto"/>
        </w:rPr>
      </w:pPr>
    </w:p>
    <w:p>
      <w:pPr>
        <w:ind w:firstLine="324"/>
        <w:spacing w:after="0" w:line="262" w:lineRule="auto"/>
        <w:rPr>
          <w:sz w:val="20"/>
          <w:szCs w:val="20"/>
          <w:color w:val="auto"/>
        </w:rPr>
      </w:pPr>
      <w:r>
        <w:rPr>
          <w:rFonts w:ascii="Arial" w:cs="Arial" w:eastAsia="Arial" w:hAnsi="Arial"/>
          <w:sz w:val="18"/>
          <w:szCs w:val="18"/>
          <w:color w:val="auto"/>
        </w:rPr>
        <w:t>Mr. Oringer also meets regularly with Mr. Hennessy, our Chief Executive Officer, to advise and counsel across a wide range of issues; participates in discussions on the Company’s long-term growth, including discussions on strategic planning and capital allocation; is available to the executive leadership team and other management to provide feedback and advise, where needed; and works with Mr. Hennessy and management to drive key business relationships and growth.</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20"/>
          </w:cols>
          <w:pgMar w:left="320" w:top="931" w:right="35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Board Role in Risk Oversight</w:t>
      </w:r>
    </w:p>
    <w:p>
      <w:pPr>
        <w:spacing w:after="0" w:line="117"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Effective risk management is critical to our Company’s ability to achieve its strategy. The Board oversees management in exercising its responsibility for managing risk, considering our robust framework of policies, procedures, and processes to anticipate, identify, assess, prioritize, and mitigate risks across the Company. Responsibility for managing risk rests with executive management while the Board and its committees participate in oversight of the process. Specifically, the Board has responsibility for overseeing the strategic planning process, reviewing and monitoring management’s execution of the Company’s strategic and business plans, and selected risk areas. Each Board committee is responsible for oversight of specific risk areas relevant to their respective committee charter.</w:t>
      </w:r>
    </w:p>
    <w:p>
      <w:pPr>
        <w:spacing w:after="0" w:line="74" w:lineRule="exact"/>
        <w:rPr>
          <w:sz w:val="20"/>
          <w:szCs w:val="20"/>
          <w:color w:val="auto"/>
        </w:rPr>
      </w:pPr>
    </w:p>
    <w:p>
      <w:pPr>
        <w:ind w:right="20" w:firstLine="324"/>
        <w:spacing w:after="0" w:line="256" w:lineRule="auto"/>
        <w:rPr>
          <w:sz w:val="20"/>
          <w:szCs w:val="20"/>
          <w:color w:val="auto"/>
        </w:rPr>
      </w:pPr>
      <w:r>
        <w:rPr>
          <w:rFonts w:ascii="Arial" w:cs="Arial" w:eastAsia="Arial" w:hAnsi="Arial"/>
          <w:sz w:val="18"/>
          <w:szCs w:val="18"/>
          <w:color w:val="auto"/>
        </w:rPr>
        <w:t>The oversight responsibility of the Board and its committees is informed by reports from our management team and our internal audit function that are designed to provide visibility to the Board about the identification and assessment of key risks and our risk mitigation strategies. Specifically, the Company has robust internal processes and an internal control environment that facilitate the identification and management of risks and regular communication with the Board and its committees. These include an enterprise risk management assessment, regular internal management Disclosure Committee meetings, a Code of Business Conduct and Ethics and a comprehensive internal and external audit process. The Board executes its oversight responsibility directly and through its committees, which regularly report back to the Board. Some examples of risks overseen by committees are:</w:t>
      </w:r>
    </w:p>
    <w:p>
      <w:pPr>
        <w:spacing w:after="0" w:line="129" w:lineRule="exact"/>
        <w:rPr>
          <w:sz w:val="20"/>
          <w:szCs w:val="20"/>
          <w:color w:val="auto"/>
        </w:rPr>
      </w:pPr>
    </w:p>
    <w:p>
      <w:pPr>
        <w:ind w:left="700" w:right="580" w:hanging="314"/>
        <w:spacing w:after="0" w:line="259" w:lineRule="auto"/>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Audit Committee oversees the enterprise risk process that management implements and reviews and assesses the Company’s processes to manage financial reporting risk and to manage internal audit, internal control over financial reporting and disclosure controls and procedures, tax, investment, and other financial risks, as well as the Company’s financial position and financial activities. The Board has also delegated oversight of information technology and cybersecurity risks to the Audit Committee.</w:t>
      </w:r>
    </w:p>
    <w:p>
      <w:pPr>
        <w:spacing w:after="0" w:line="17" w:lineRule="exact"/>
        <w:rPr>
          <w:rFonts w:ascii="Arial" w:cs="Arial" w:eastAsia="Arial" w:hAnsi="Arial"/>
          <w:sz w:val="18"/>
          <w:szCs w:val="18"/>
          <w:color w:val="auto"/>
        </w:rPr>
      </w:pPr>
    </w:p>
    <w:p>
      <w:pPr>
        <w:ind w:left="700" w:right="920" w:hanging="314"/>
        <w:spacing w:after="0" w:line="281" w:lineRule="auto"/>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Compensation Committee oversees compensation programs, policies and practices and their effect on risk-taking by management.</w:t>
      </w:r>
    </w:p>
    <w:p>
      <w:pPr>
        <w:spacing w:after="0" w:line="1" w:lineRule="exact"/>
        <w:rPr>
          <w:rFonts w:ascii="Arial" w:cs="Arial" w:eastAsia="Arial" w:hAnsi="Arial"/>
          <w:sz w:val="18"/>
          <w:szCs w:val="18"/>
          <w:color w:val="auto"/>
        </w:rPr>
      </w:pPr>
    </w:p>
    <w:p>
      <w:pPr>
        <w:ind w:left="700" w:right="560" w:hanging="314"/>
        <w:spacing w:after="0" w:line="262" w:lineRule="auto"/>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Nominating and Corporate Governance Committee manages risk by overseeing the governance framework and structure as well as other corporate governance matters, including oversight of the annual board and committee assessment process, and is charged with developing and recommending to the Board corporate governance principles and policies and Board committee structure, leadership and membership.</w:t>
      </w:r>
    </w:p>
    <w:p>
      <w:pPr>
        <w:spacing w:after="0" w:line="190" w:lineRule="exact"/>
        <w:rPr>
          <w:sz w:val="20"/>
          <w:szCs w:val="20"/>
          <w:color w:val="auto"/>
        </w:rPr>
      </w:pPr>
    </w:p>
    <w:p>
      <w:pPr>
        <w:ind w:right="1420" w:firstLine="324"/>
        <w:spacing w:after="0" w:line="375" w:lineRule="auto"/>
        <w:rPr>
          <w:sz w:val="20"/>
          <w:szCs w:val="20"/>
          <w:color w:val="auto"/>
        </w:rPr>
      </w:pPr>
      <w:r>
        <w:rPr>
          <w:rFonts w:ascii="Arial" w:cs="Arial" w:eastAsia="Arial" w:hAnsi="Arial"/>
          <w:sz w:val="18"/>
          <w:szCs w:val="18"/>
          <w:color w:val="auto"/>
        </w:rPr>
        <w:t xml:space="preserve">Each committee reports regularly to the Board with respect to such committee’s particular risk oversight responsibilities. </w:t>
      </w:r>
      <w:r>
        <w:rPr>
          <w:rFonts w:ascii="Arial" w:cs="Arial" w:eastAsia="Arial" w:hAnsi="Arial"/>
          <w:sz w:val="18"/>
          <w:szCs w:val="18"/>
          <w:b w:val="1"/>
          <w:bCs w:val="1"/>
          <w:i w:val="1"/>
          <w:iCs w:val="1"/>
          <w:color w:val="auto"/>
        </w:rPr>
        <w:t>Highlight on the Board Roles in Oversight of Human Capital Management</w:t>
      </w:r>
    </w:p>
    <w:p>
      <w:pPr>
        <w:spacing w:after="0" w:line="1" w:lineRule="exact"/>
        <w:rPr>
          <w:sz w:val="20"/>
          <w:szCs w:val="20"/>
          <w:color w:val="auto"/>
        </w:rPr>
      </w:pPr>
    </w:p>
    <w:p>
      <w:pPr>
        <w:ind w:right="200" w:firstLine="324"/>
        <w:spacing w:after="0" w:line="262" w:lineRule="auto"/>
        <w:rPr>
          <w:sz w:val="20"/>
          <w:szCs w:val="20"/>
          <w:color w:val="auto"/>
        </w:rPr>
      </w:pPr>
      <w:r>
        <w:rPr>
          <w:rFonts w:ascii="Arial" w:cs="Arial" w:eastAsia="Arial" w:hAnsi="Arial"/>
          <w:sz w:val="18"/>
          <w:szCs w:val="18"/>
          <w:color w:val="auto"/>
        </w:rPr>
        <w:t>The Board has long recognized that our employees are some of our most important assets and is engaged with management on ensuring that our Company is an employer of choice for the most talented employees in our industry. While the full Board discusses human capital management with regard to its role in overseeing our overall long-term strategy, our Compensation Committee has responsibility for overseeing human capital management and our corporate culture.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Highlight on the Board Roles in Oversight of Cybersecurity and Data Privacy</w:t>
      </w:r>
    </w:p>
    <w:p>
      <w:pPr>
        <w:spacing w:after="0" w:line="115"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Board and the Audit Committee are each involved in oversight of the Company’s management of cybersecurity risk. Cybersecurity is vital to protecting proprietary and confidential information and the trust of our customers, contributors and employees. To more effectively prevent, detect and respond to information security threats, the Company has a dedicated Chief Information Security Officer whose team is responsible for leading enterprise-wide information security strategy, policy, standards, architecture and processes. The Audit Committee receives regular reports from the then-current Chief Information Security Officer and Chief Technology Officer, as applicable, on, among other things, the Company’s cyber risks and threats, the status of projects to strengthen the Company’s information security systems, assessments of the Company’s security program and the emerging threat landscape. The Audit Committee regularly briefs the full Board on these matters. The Board and its committees also discuss recent incidents throughout the industry and the emerging threat landscape.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Communication with the Board</w:t>
      </w:r>
    </w:p>
    <w:p>
      <w:pPr>
        <w:spacing w:after="0" w:line="117" w:lineRule="exact"/>
        <w:rPr>
          <w:sz w:val="20"/>
          <w:szCs w:val="20"/>
          <w:color w:val="auto"/>
        </w:rPr>
      </w:pPr>
    </w:p>
    <w:p>
      <w:pPr>
        <w:ind w:right="40" w:firstLine="324"/>
        <w:spacing w:after="0" w:line="242" w:lineRule="auto"/>
        <w:rPr>
          <w:sz w:val="20"/>
          <w:szCs w:val="20"/>
          <w:color w:val="auto"/>
        </w:rPr>
      </w:pPr>
      <w:r>
        <w:rPr>
          <w:rFonts w:ascii="Arial" w:cs="Arial" w:eastAsia="Arial" w:hAnsi="Arial"/>
          <w:sz w:val="18"/>
          <w:szCs w:val="18"/>
          <w:color w:val="auto"/>
        </w:rPr>
        <w:t>Stockholders and other interested parties may communicate directly with the Board, with any director, including our Presiding Director, or with the independent directors as a group or any other group of directors by writing to our Corporate Secretary at Shutterstock, Inc., Attn: Corporate Secretary, 350 Fifth Avenue, 20</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Floor, New York, New York 10118, with a request to forward such communication to the intended recipient or recipients. Messages received with such a request will be forwarded to the appropriate director or directors. If the communication is addressed to the</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40"/>
          </w:cols>
          <w:pgMar w:left="320" w:top="877" w:right="339" w:bottom="1440" w:gutter="0" w:footer="0" w:header="0"/>
        </w:sectPr>
      </w:pPr>
    </w:p>
    <w:bookmarkStart w:id="14" w:name="page15"/>
    <w:bookmarkEnd w:id="14"/>
    <w:p>
      <w:pPr>
        <w:ind w:right="700"/>
        <w:spacing w:after="0" w:line="291" w:lineRule="auto"/>
        <w:rPr>
          <w:sz w:val="20"/>
          <w:szCs w:val="20"/>
          <w:color w:val="auto"/>
        </w:rPr>
      </w:pPr>
      <w:r>
        <w:rPr>
          <w:rFonts w:ascii="Arial" w:cs="Arial" w:eastAsia="Arial" w:hAnsi="Arial"/>
          <w:sz w:val="17"/>
          <w:szCs w:val="17"/>
          <w:color w:val="auto"/>
        </w:rPr>
        <w:t>Presiding Director, the communication will be forwarded directly to the Presiding Director and will not be processed by the Corporate Secretary. If no particular director is named, letters will be forwarded, depending upon the subject matter, to the Chair of the Audit, Compensation, or Nominating and Corporate Governance Committee, as the Corporate Secretary deems appropriate or necessary.</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Meetings</w:t>
      </w:r>
    </w:p>
    <w:p>
      <w:pPr>
        <w:spacing w:after="0" w:line="117"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During 2024, the Board held 12 meetings and additionally took action on five occasions by unanimous written consent. Each of our directors attended, in person or by telephone, at least 75% of the total number of meetings of both the Board of Directors and Board committees on which such director served during the period. Under our Corporate Governance Guidelines, each of our directors is strongly encouraged to make every effort to attend our annual meetings. All but two of the directors serving at the time of the 2024 Annual Meeting of Stockholders attended the meeting.</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Sessions</w:t>
      </w:r>
    </w:p>
    <w:p>
      <w:pPr>
        <w:spacing w:after="0" w:line="115" w:lineRule="exact"/>
        <w:rPr>
          <w:sz w:val="20"/>
          <w:szCs w:val="20"/>
          <w:color w:val="auto"/>
        </w:rPr>
      </w:pPr>
    </w:p>
    <w:p>
      <w:pPr>
        <w:ind w:right="20" w:firstLine="324"/>
        <w:spacing w:after="0" w:line="318" w:lineRule="auto"/>
        <w:rPr>
          <w:sz w:val="20"/>
          <w:szCs w:val="20"/>
          <w:color w:val="auto"/>
        </w:rPr>
      </w:pPr>
      <w:r>
        <w:rPr>
          <w:rFonts w:ascii="Arial" w:cs="Arial" w:eastAsia="Arial" w:hAnsi="Arial"/>
          <w:sz w:val="17"/>
          <w:szCs w:val="17"/>
          <w:color w:val="auto"/>
        </w:rPr>
        <w:t>Executive sessions of our independent directors are generally held in connection with regularly scheduled Board meetings and are chaired by our Presiding Director. Our standing committees also generally meet in executive sessions at the end of each committee meeting.</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117" w:lineRule="exact"/>
        <w:rPr>
          <w:sz w:val="20"/>
          <w:szCs w:val="20"/>
          <w:color w:val="auto"/>
        </w:rPr>
      </w:pPr>
    </w:p>
    <w:p>
      <w:pPr>
        <w:ind w:firstLine="324"/>
        <w:spacing w:after="0" w:line="268" w:lineRule="auto"/>
        <w:rPr>
          <w:sz w:val="20"/>
          <w:szCs w:val="20"/>
          <w:color w:val="auto"/>
        </w:rPr>
      </w:pPr>
      <w:r>
        <w:rPr>
          <w:rFonts w:ascii="Arial" w:cs="Arial" w:eastAsia="Arial" w:hAnsi="Arial"/>
          <w:sz w:val="18"/>
          <w:szCs w:val="18"/>
          <w:color w:val="auto"/>
        </w:rPr>
        <w:t>In 2024, our Board had three standing committees: an Audit Committee, a Compensation Committee, and a Nominating and Corporate Governance Committee. Each of these committees operates under a written charter approved by the Board, copies of which are available on our website at investor.shutterstock.com. These committees currently comprise the following independent members: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88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680" w:type="dxa"/>
            <w:vAlign w:val="bottom"/>
          </w:tcPr>
          <w:p>
            <w:pPr>
              <w:jc w:val="center"/>
              <w:ind w:left="97"/>
              <w:spacing w:after="0"/>
              <w:rPr>
                <w:sz w:val="20"/>
                <w:szCs w:val="20"/>
                <w:color w:val="auto"/>
              </w:rPr>
            </w:pPr>
            <w:r>
              <w:rPr>
                <w:rFonts w:ascii="Arial" w:cs="Arial" w:eastAsia="Arial" w:hAnsi="Arial"/>
                <w:sz w:val="16"/>
                <w:szCs w:val="16"/>
                <w:b w:val="1"/>
                <w:bCs w:val="1"/>
                <w:color w:val="auto"/>
              </w:rPr>
              <w:t>Nominating and</w:t>
            </w:r>
          </w:p>
        </w:tc>
      </w:tr>
      <w:tr>
        <w:trPr>
          <w:trHeight w:val="202"/>
        </w:trPr>
        <w:tc>
          <w:tcPr>
            <w:tcW w:w="288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680" w:type="dxa"/>
            <w:vAlign w:val="bottom"/>
          </w:tcPr>
          <w:p>
            <w:pPr>
              <w:jc w:val="center"/>
              <w:ind w:left="97"/>
              <w:spacing w:after="0"/>
              <w:rPr>
                <w:sz w:val="20"/>
                <w:szCs w:val="20"/>
                <w:color w:val="auto"/>
              </w:rPr>
            </w:pPr>
            <w:r>
              <w:rPr>
                <w:rFonts w:ascii="Arial" w:cs="Arial" w:eastAsia="Arial" w:hAnsi="Arial"/>
                <w:sz w:val="16"/>
                <w:szCs w:val="16"/>
                <w:b w:val="1"/>
                <w:bCs w:val="1"/>
                <w:color w:val="auto"/>
              </w:rPr>
              <w:t>Corporate</w:t>
            </w:r>
          </w:p>
        </w:tc>
      </w:tr>
      <w:tr>
        <w:trPr>
          <w:trHeight w:val="189"/>
        </w:trPr>
        <w:tc>
          <w:tcPr>
            <w:tcW w:w="2880" w:type="dxa"/>
            <w:vAlign w:val="bottom"/>
          </w:tcPr>
          <w:p>
            <w:pPr>
              <w:spacing w:after="0"/>
              <w:rPr>
                <w:sz w:val="16"/>
                <w:szCs w:val="16"/>
                <w:color w:val="auto"/>
              </w:rPr>
            </w:pPr>
          </w:p>
        </w:tc>
        <w:tc>
          <w:tcPr>
            <w:tcW w:w="2600" w:type="dxa"/>
            <w:vAlign w:val="bottom"/>
          </w:tcPr>
          <w:p>
            <w:pPr>
              <w:jc w:val="center"/>
              <w:ind w:left="1016"/>
              <w:spacing w:after="0"/>
              <w:rPr>
                <w:sz w:val="20"/>
                <w:szCs w:val="20"/>
                <w:color w:val="auto"/>
              </w:rPr>
            </w:pPr>
            <w:r>
              <w:rPr>
                <w:rFonts w:ascii="Arial" w:cs="Arial" w:eastAsia="Arial" w:hAnsi="Arial"/>
                <w:sz w:val="16"/>
                <w:szCs w:val="16"/>
                <w:b w:val="1"/>
                <w:bCs w:val="1"/>
                <w:color w:val="auto"/>
              </w:rPr>
              <w:t>Audit</w:t>
            </w:r>
          </w:p>
        </w:tc>
        <w:tc>
          <w:tcPr>
            <w:tcW w:w="1800" w:type="dxa"/>
            <w:vAlign w:val="bottom"/>
          </w:tcPr>
          <w:p>
            <w:pPr>
              <w:jc w:val="center"/>
              <w:spacing w:after="0"/>
              <w:rPr>
                <w:sz w:val="20"/>
                <w:szCs w:val="20"/>
                <w:color w:val="auto"/>
              </w:rPr>
            </w:pPr>
            <w:r>
              <w:rPr>
                <w:rFonts w:ascii="Arial" w:cs="Arial" w:eastAsia="Arial" w:hAnsi="Arial"/>
                <w:sz w:val="16"/>
                <w:szCs w:val="16"/>
                <w:b w:val="1"/>
                <w:bCs w:val="1"/>
                <w:color w:val="auto"/>
              </w:rPr>
              <w:t>Compensation</w:t>
            </w:r>
          </w:p>
        </w:tc>
        <w:tc>
          <w:tcPr>
            <w:tcW w:w="1680" w:type="dxa"/>
            <w:vAlign w:val="bottom"/>
          </w:tcPr>
          <w:p>
            <w:pPr>
              <w:jc w:val="center"/>
              <w:ind w:left="97"/>
              <w:spacing w:after="0"/>
              <w:rPr>
                <w:sz w:val="20"/>
                <w:szCs w:val="20"/>
                <w:color w:val="auto"/>
              </w:rPr>
            </w:pPr>
            <w:r>
              <w:rPr>
                <w:rFonts w:ascii="Arial" w:cs="Arial" w:eastAsia="Arial" w:hAnsi="Arial"/>
                <w:sz w:val="16"/>
                <w:szCs w:val="16"/>
                <w:b w:val="1"/>
                <w:bCs w:val="1"/>
                <w:color w:val="auto"/>
              </w:rPr>
              <w:t>Governance</w:t>
            </w:r>
          </w:p>
        </w:tc>
      </w:tr>
      <w:tr>
        <w:trPr>
          <w:trHeight w:val="240"/>
        </w:trPr>
        <w:tc>
          <w:tcPr>
            <w:tcW w:w="2880" w:type="dxa"/>
            <w:vAlign w:val="bottom"/>
          </w:tcPr>
          <w:p>
            <w:pPr>
              <w:ind w:left="20"/>
              <w:spacing w:after="0"/>
              <w:rPr>
                <w:sz w:val="20"/>
                <w:szCs w:val="20"/>
                <w:color w:val="auto"/>
              </w:rPr>
            </w:pPr>
            <w:r>
              <w:rPr>
                <w:rFonts w:ascii="Arial" w:cs="Arial" w:eastAsia="Arial" w:hAnsi="Arial"/>
                <w:sz w:val="16"/>
                <w:szCs w:val="16"/>
                <w:b w:val="1"/>
                <w:bCs w:val="1"/>
                <w:color w:val="auto"/>
              </w:rPr>
              <w:t>Name</w:t>
            </w:r>
          </w:p>
        </w:tc>
        <w:tc>
          <w:tcPr>
            <w:tcW w:w="2600" w:type="dxa"/>
            <w:vAlign w:val="bottom"/>
          </w:tcPr>
          <w:p>
            <w:pPr>
              <w:jc w:val="center"/>
              <w:ind w:left="1036"/>
              <w:spacing w:after="0"/>
              <w:rPr>
                <w:sz w:val="20"/>
                <w:szCs w:val="20"/>
                <w:color w:val="auto"/>
              </w:rPr>
            </w:pPr>
            <w:r>
              <w:rPr>
                <w:rFonts w:ascii="Arial" w:cs="Arial" w:eastAsia="Arial" w:hAnsi="Arial"/>
                <w:sz w:val="16"/>
                <w:szCs w:val="16"/>
                <w:b w:val="1"/>
                <w:bCs w:val="1"/>
                <w:color w:val="auto"/>
              </w:rPr>
              <w:t>Committee</w:t>
            </w:r>
          </w:p>
        </w:tc>
        <w:tc>
          <w:tcPr>
            <w:tcW w:w="1800" w:type="dxa"/>
            <w:vAlign w:val="bottom"/>
          </w:tcPr>
          <w:p>
            <w:pPr>
              <w:jc w:val="center"/>
              <w:spacing w:after="0"/>
              <w:rPr>
                <w:sz w:val="20"/>
                <w:szCs w:val="20"/>
                <w:color w:val="auto"/>
              </w:rPr>
            </w:pPr>
            <w:r>
              <w:rPr>
                <w:rFonts w:ascii="Arial" w:cs="Arial" w:eastAsia="Arial" w:hAnsi="Arial"/>
                <w:sz w:val="16"/>
                <w:szCs w:val="16"/>
                <w:b w:val="1"/>
                <w:bCs w:val="1"/>
                <w:color w:val="auto"/>
              </w:rPr>
              <w:t>Committee</w:t>
            </w:r>
          </w:p>
        </w:tc>
        <w:tc>
          <w:tcPr>
            <w:tcW w:w="1680" w:type="dxa"/>
            <w:vAlign w:val="bottom"/>
          </w:tcPr>
          <w:p>
            <w:pPr>
              <w:jc w:val="center"/>
              <w:ind w:left="117"/>
              <w:spacing w:after="0"/>
              <w:rPr>
                <w:sz w:val="20"/>
                <w:szCs w:val="20"/>
                <w:color w:val="auto"/>
              </w:rPr>
            </w:pPr>
            <w:r>
              <w:rPr>
                <w:rFonts w:ascii="Arial" w:cs="Arial" w:eastAsia="Arial" w:hAnsi="Arial"/>
                <w:sz w:val="16"/>
                <w:szCs w:val="16"/>
                <w:b w:val="1"/>
                <w:bCs w:val="1"/>
                <w:color w:val="auto"/>
              </w:rPr>
              <w:t>Committee</w:t>
            </w:r>
          </w:p>
        </w:tc>
      </w:tr>
      <w:tr>
        <w:trPr>
          <w:trHeight w:val="254"/>
        </w:trPr>
        <w:tc>
          <w:tcPr>
            <w:tcW w:w="2880" w:type="dxa"/>
            <w:vAlign w:val="bottom"/>
            <w:tcBorders>
              <w:bottom w:val="single" w:sz="8" w:color="BFE7FA"/>
            </w:tcBorders>
            <w:shd w:val="clear" w:color="auto" w:fill="BFE7FA"/>
          </w:tcPr>
          <w:p>
            <w:pPr>
              <w:ind w:left="20"/>
              <w:spacing w:after="0"/>
              <w:rPr>
                <w:sz w:val="20"/>
                <w:szCs w:val="20"/>
                <w:color w:val="auto"/>
              </w:rPr>
            </w:pPr>
            <w:r>
              <w:rPr>
                <w:rFonts w:ascii="Arial" w:cs="Arial" w:eastAsia="Arial" w:hAnsi="Arial"/>
                <w:sz w:val="18"/>
                <w:szCs w:val="18"/>
                <w:color w:val="auto"/>
              </w:rPr>
              <w:t>Rachna Bhasin</w:t>
            </w:r>
          </w:p>
        </w:tc>
        <w:tc>
          <w:tcPr>
            <w:tcW w:w="2600" w:type="dxa"/>
            <w:vAlign w:val="bottom"/>
            <w:tcBorders>
              <w:bottom w:val="single" w:sz="8" w:color="BFE7FA"/>
            </w:tcBorders>
            <w:shd w:val="clear" w:color="auto" w:fill="BFE7FA"/>
          </w:tcPr>
          <w:p>
            <w:pPr>
              <w:spacing w:after="0"/>
              <w:rPr>
                <w:sz w:val="22"/>
                <w:szCs w:val="22"/>
                <w:color w:val="auto"/>
              </w:rPr>
            </w:pPr>
          </w:p>
        </w:tc>
        <w:tc>
          <w:tcPr>
            <w:tcW w:w="1800" w:type="dxa"/>
            <w:vAlign w:val="bottom"/>
            <w:tcBorders>
              <w:bottom w:val="single" w:sz="8" w:color="BFE7FA"/>
            </w:tcBorders>
            <w:shd w:val="clear" w:color="auto" w:fill="BFE7FA"/>
          </w:tcPr>
          <w:p>
            <w:pPr>
              <w:spacing w:after="0"/>
              <w:rPr>
                <w:sz w:val="22"/>
                <w:szCs w:val="22"/>
                <w:color w:val="auto"/>
              </w:rPr>
            </w:pPr>
          </w:p>
        </w:tc>
        <w:tc>
          <w:tcPr>
            <w:tcW w:w="1680" w:type="dxa"/>
            <w:vAlign w:val="bottom"/>
            <w:tcBorders>
              <w:bottom w:val="single" w:sz="8" w:color="BFE7FA"/>
            </w:tcBorders>
            <w:shd w:val="clear" w:color="auto" w:fill="BFE7FA"/>
          </w:tcPr>
          <w:p>
            <w:pPr>
              <w:spacing w:after="0"/>
              <w:rPr>
                <w:sz w:val="22"/>
                <w:szCs w:val="22"/>
                <w:color w:val="auto"/>
              </w:rPr>
            </w:pPr>
          </w:p>
        </w:tc>
      </w:tr>
      <w:tr>
        <w:trPr>
          <w:trHeight w:val="315"/>
        </w:trPr>
        <w:tc>
          <w:tcPr>
            <w:tcW w:w="2880" w:type="dxa"/>
            <w:vAlign w:val="bottom"/>
          </w:tcPr>
          <w:p>
            <w:pPr>
              <w:ind w:left="20"/>
              <w:spacing w:after="0"/>
              <w:rPr>
                <w:sz w:val="20"/>
                <w:szCs w:val="20"/>
                <w:color w:val="auto"/>
              </w:rPr>
            </w:pPr>
            <w:r>
              <w:rPr>
                <w:rFonts w:ascii="Arial" w:cs="Arial" w:eastAsia="Arial" w:hAnsi="Arial"/>
                <w:sz w:val="18"/>
                <w:szCs w:val="18"/>
                <w:color w:val="auto"/>
              </w:rPr>
              <w:t>Deirdre Bigley</w:t>
            </w:r>
          </w:p>
        </w:tc>
        <w:tc>
          <w:tcPr>
            <w:tcW w:w="2600" w:type="dxa"/>
            <w:vAlign w:val="bottom"/>
          </w:tcPr>
          <w:p>
            <w:pPr>
              <w:spacing w:after="0"/>
              <w:rPr>
                <w:sz w:val="24"/>
                <w:szCs w:val="24"/>
                <w:color w:val="auto"/>
              </w:rPr>
            </w:pPr>
          </w:p>
        </w:tc>
        <w:tc>
          <w:tcPr>
            <w:tcW w:w="180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   </w:t>
            </w:r>
          </w:p>
        </w:tc>
        <w:tc>
          <w:tcPr>
            <w:tcW w:w="1680" w:type="dxa"/>
            <w:vAlign w:val="bottom"/>
          </w:tcPr>
          <w:p>
            <w:pPr>
              <w:spacing w:after="0"/>
              <w:rPr>
                <w:sz w:val="24"/>
                <w:szCs w:val="24"/>
                <w:color w:val="auto"/>
              </w:rPr>
            </w:pPr>
          </w:p>
        </w:tc>
      </w:tr>
      <w:tr>
        <w:trPr>
          <w:trHeight w:val="23"/>
        </w:trPr>
        <w:tc>
          <w:tcPr>
            <w:tcW w:w="288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318"/>
        </w:trPr>
        <w:tc>
          <w:tcPr>
            <w:tcW w:w="2880" w:type="dxa"/>
            <w:vAlign w:val="bottom"/>
            <w:tcBorders>
              <w:bottom w:val="single" w:sz="8" w:color="BFE7FA"/>
            </w:tcBorders>
            <w:shd w:val="clear" w:color="auto" w:fill="BFE7FA"/>
          </w:tcPr>
          <w:p>
            <w:pPr>
              <w:ind w:left="20"/>
              <w:spacing w:after="0"/>
              <w:rPr>
                <w:sz w:val="20"/>
                <w:szCs w:val="20"/>
                <w:color w:val="auto"/>
              </w:rPr>
            </w:pPr>
            <w:r>
              <w:rPr>
                <w:rFonts w:ascii="Arial" w:cs="Arial" w:eastAsia="Arial" w:hAnsi="Arial"/>
                <w:sz w:val="18"/>
                <w:szCs w:val="18"/>
                <w:color w:val="auto"/>
              </w:rPr>
              <w:t>Thomas R. Evans</w:t>
            </w:r>
          </w:p>
        </w:tc>
        <w:tc>
          <w:tcPr>
            <w:tcW w:w="2600" w:type="dxa"/>
            <w:vAlign w:val="bottom"/>
            <w:tcBorders>
              <w:bottom w:val="single" w:sz="8" w:color="BFE7FA"/>
            </w:tcBorders>
            <w:shd w:val="clear" w:color="auto" w:fill="BFE7FA"/>
          </w:tcPr>
          <w:p>
            <w:pPr>
              <w:spacing w:after="0"/>
              <w:rPr>
                <w:sz w:val="24"/>
                <w:szCs w:val="24"/>
                <w:color w:val="auto"/>
              </w:rPr>
            </w:pPr>
          </w:p>
        </w:tc>
        <w:tc>
          <w:tcPr>
            <w:tcW w:w="1800" w:type="dxa"/>
            <w:vAlign w:val="bottom"/>
            <w:tcBorders>
              <w:bottom w:val="single" w:sz="8" w:color="BFE7FA"/>
            </w:tcBorders>
            <w:shd w:val="clear" w:color="auto" w:fill="BFE7FA"/>
          </w:tcPr>
          <w:p>
            <w:pPr>
              <w:spacing w:after="0"/>
              <w:rPr>
                <w:sz w:val="24"/>
                <w:szCs w:val="24"/>
                <w:color w:val="auto"/>
              </w:rPr>
            </w:pPr>
          </w:p>
        </w:tc>
        <w:tc>
          <w:tcPr>
            <w:tcW w:w="1680" w:type="dxa"/>
            <w:vAlign w:val="bottom"/>
            <w:tcBorders>
              <w:bottom w:val="single" w:sz="8" w:color="BFE7FA"/>
            </w:tcBorders>
            <w:shd w:val="clear" w:color="auto" w:fill="BFE7FA"/>
          </w:tcPr>
          <w:p>
            <w:pPr>
              <w:ind w:left="960"/>
              <w:spacing w:after="0"/>
              <w:rPr>
                <w:sz w:val="20"/>
                <w:szCs w:val="20"/>
                <w:color w:val="auto"/>
              </w:rPr>
            </w:pPr>
            <w:r>
              <w:rPr>
                <w:rFonts w:ascii="Times New Roman" w:cs="Times New Roman" w:eastAsia="Times New Roman" w:hAnsi="Times New Roman"/>
                <w:sz w:val="18"/>
                <w:szCs w:val="18"/>
                <w:color w:val="auto"/>
              </w:rPr>
              <w:t>   </w:t>
            </w:r>
          </w:p>
        </w:tc>
      </w:tr>
      <w:tr>
        <w:trPr>
          <w:trHeight w:val="314"/>
        </w:trPr>
        <w:tc>
          <w:tcPr>
            <w:tcW w:w="2880" w:type="dxa"/>
            <w:vAlign w:val="bottom"/>
          </w:tcPr>
          <w:p>
            <w:pPr>
              <w:ind w:left="20"/>
              <w:spacing w:after="0"/>
              <w:rPr>
                <w:sz w:val="20"/>
                <w:szCs w:val="20"/>
                <w:color w:val="auto"/>
              </w:rPr>
            </w:pPr>
            <w:r>
              <w:rPr>
                <w:rFonts w:ascii="Arial" w:cs="Arial" w:eastAsia="Arial" w:hAnsi="Arial"/>
                <w:sz w:val="18"/>
                <w:szCs w:val="18"/>
                <w:color w:val="auto"/>
              </w:rPr>
              <w:t>Alfonse Upshaw</w:t>
            </w:r>
          </w:p>
        </w:tc>
        <w:tc>
          <w:tcPr>
            <w:tcW w:w="260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   </w:t>
            </w:r>
          </w:p>
        </w:tc>
        <w:tc>
          <w:tcPr>
            <w:tcW w:w="1800" w:type="dxa"/>
            <w:vAlign w:val="bottom"/>
          </w:tcPr>
          <w:p>
            <w:pPr>
              <w:spacing w:after="0"/>
              <w:rPr>
                <w:sz w:val="24"/>
                <w:szCs w:val="24"/>
                <w:color w:val="auto"/>
              </w:rPr>
            </w:pPr>
          </w:p>
        </w:tc>
        <w:tc>
          <w:tcPr>
            <w:tcW w:w="16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2962275</wp:posOffset>
            </wp:positionH>
            <wp:positionV relativeFrom="paragraph">
              <wp:posOffset>-773430</wp:posOffset>
            </wp:positionV>
            <wp:extent cx="85725" cy="857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5725" cy="8572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-773430</wp:posOffset>
            </wp:positionV>
            <wp:extent cx="85725" cy="857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5725" cy="8572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-773430</wp:posOffset>
            </wp:positionV>
            <wp:extent cx="85725" cy="857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5725" cy="8572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-610870</wp:posOffset>
            </wp:positionV>
            <wp:extent cx="102870" cy="1111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02870" cy="11112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-559435</wp:posOffset>
            </wp:positionV>
            <wp:extent cx="85725" cy="857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5725" cy="85725"/>
                    </a:xfrm>
                    <a:prstGeom prst="rect">
                      <a:avLst/>
                    </a:prstGeom>
                    <a:noFill/>
                  </pic:spPr>
                </pic:pic>
              </a:graphicData>
            </a:graphic>
          </wp:anchor>
        </w:drawing>
        <w:drawing>
          <wp:anchor simplePos="0" relativeHeight="251657728" behindDoc="1" locked="0" layoutInCell="0" allowOverlap="1">
            <wp:simplePos x="0" y="0"/>
            <wp:positionH relativeFrom="column">
              <wp:posOffset>2962275</wp:posOffset>
            </wp:positionH>
            <wp:positionV relativeFrom="paragraph">
              <wp:posOffset>-344805</wp:posOffset>
            </wp:positionV>
            <wp:extent cx="85725" cy="857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5725" cy="8572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-344805</wp:posOffset>
            </wp:positionV>
            <wp:extent cx="85725" cy="857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5725" cy="8572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-396240</wp:posOffset>
            </wp:positionV>
            <wp:extent cx="102870" cy="1111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02870" cy="111125"/>
                    </a:xfrm>
                    <a:prstGeom prst="rect">
                      <a:avLst/>
                    </a:prstGeom>
                    <a:noFill/>
                  </pic:spPr>
                </pic:pic>
              </a:graphicData>
            </a:graphic>
          </wp:anchor>
        </w:drawing>
        <w:drawing>
          <wp:anchor simplePos="0" relativeHeight="251657728" behindDoc="1" locked="0" layoutInCell="0" allowOverlap="1">
            <wp:simplePos x="0" y="0"/>
            <wp:positionH relativeFrom="column">
              <wp:posOffset>2919730</wp:posOffset>
            </wp:positionH>
            <wp:positionV relativeFrom="paragraph">
              <wp:posOffset>-182245</wp:posOffset>
            </wp:positionV>
            <wp:extent cx="102870" cy="1111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02870" cy="11112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sz w:val="1"/>
          <w:szCs w:val="1"/>
          <w:color w:val="auto"/>
        </w:rPr>
        <w:drawing>
          <wp:inline distT="0" distB="0" distL="0" distR="0">
            <wp:extent cx="102870" cy="11112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02870" cy="111125"/>
                    </a:xfrm>
                    <a:prstGeom prst="rect">
                      <a:avLst/>
                    </a:prstGeom>
                    <a:noFill/>
                    <a:ln>
                      <a:noFill/>
                    </a:ln>
                  </pic:spPr>
                </pic:pic>
              </a:graphicData>
            </a:graphic>
          </wp:inline>
        </w:drawing>
      </w:r>
      <w:r>
        <w:rPr>
          <w:rFonts w:ascii="Arial" w:cs="Arial" w:eastAsia="Arial" w:hAnsi="Arial"/>
          <w:sz w:val="14"/>
          <w:szCs w:val="14"/>
          <w:color w:val="auto"/>
        </w:rPr>
        <w:t>      Committee Chairperson</w:t>
      </w:r>
    </w:p>
    <w:p>
      <w:pPr>
        <w:spacing w:after="0" w:line="140" w:lineRule="exact"/>
        <w:rPr>
          <w:sz w:val="20"/>
          <w:szCs w:val="20"/>
          <w:color w:val="auto"/>
        </w:rPr>
      </w:pPr>
    </w:p>
    <w:p>
      <w:pPr>
        <w:ind w:right="20" w:firstLine="324"/>
        <w:spacing w:after="0" w:line="256" w:lineRule="auto"/>
        <w:rPr>
          <w:sz w:val="20"/>
          <w:szCs w:val="20"/>
          <w:color w:val="auto"/>
        </w:rPr>
      </w:pPr>
      <w:r>
        <w:rPr>
          <w:rFonts w:ascii="Arial" w:cs="Arial" w:eastAsia="Arial" w:hAnsi="Arial"/>
          <w:sz w:val="18"/>
          <w:szCs w:val="18"/>
          <w:color w:val="auto"/>
        </w:rPr>
        <w:t>Each of our standing committees has a written charter approved by the Board that establishes the committee’s roles and responsibilities. Copies of the charters for the Audit Committee, the Compensation Committee, and the Nominating and Corporate Governance Committee can be found on our Investor Relations website at investor.shutterstock.com under the link for “Corporate Governance.” Please note that information on, or that can be accessed through, our website is not part of the proxy soliciting materials, is not deemed “filed” with the SEC and is not to be incorporated by reference into any of our filings under the Securities Act of 1933, as amended (the “</w:t>
      </w:r>
      <w:r>
        <w:rPr>
          <w:rFonts w:ascii="Arial" w:cs="Arial" w:eastAsia="Arial" w:hAnsi="Arial"/>
          <w:sz w:val="18"/>
          <w:szCs w:val="18"/>
          <w:u w:val="single" w:color="auto"/>
          <w:color w:val="auto"/>
        </w:rPr>
        <w:t>Securities Act</w:t>
      </w:r>
      <w:r>
        <w:rPr>
          <w:rFonts w:ascii="Arial" w:cs="Arial" w:eastAsia="Arial" w:hAnsi="Arial"/>
          <w:sz w:val="18"/>
          <w:szCs w:val="18"/>
          <w:color w:val="auto"/>
        </w:rPr>
        <w:t>”), or the Exchange Act, and, except for information filed by the Company under the cover of Schedule 14A, is not deemed to be proxy soliciting materials.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5" w:lineRule="exact"/>
        <w:rPr>
          <w:sz w:val="20"/>
          <w:szCs w:val="20"/>
          <w:color w:val="auto"/>
        </w:rPr>
      </w:pPr>
    </w:p>
    <w:p>
      <w:pPr>
        <w:jc w:val="both"/>
        <w:ind w:right="280" w:firstLine="324"/>
        <w:spacing w:after="0" w:line="318" w:lineRule="auto"/>
        <w:rPr>
          <w:sz w:val="20"/>
          <w:szCs w:val="20"/>
          <w:color w:val="auto"/>
        </w:rPr>
      </w:pPr>
      <w:r>
        <w:rPr>
          <w:rFonts w:ascii="Arial" w:cs="Arial" w:eastAsia="Arial" w:hAnsi="Arial"/>
          <w:sz w:val="17"/>
          <w:szCs w:val="17"/>
          <w:color w:val="auto"/>
        </w:rPr>
        <w:t>The primary purpose of our Audit Committee is to assist the Board in its oversight of our corporate accounting and financial reporting process and internal controls over financial reporting. As more fully described in its charter, the Audit Committee’s responsibilities include:</w:t>
      </w:r>
    </w:p>
    <w:p>
      <w:pPr>
        <w:spacing w:after="0" w:line="76" w:lineRule="exact"/>
        <w:rPr>
          <w:sz w:val="20"/>
          <w:szCs w:val="20"/>
          <w:color w:val="auto"/>
        </w:rPr>
      </w:pPr>
    </w:p>
    <w:p>
      <w:pPr>
        <w:ind w:left="700" w:right="540" w:hanging="314"/>
        <w:spacing w:after="0" w:line="281" w:lineRule="auto"/>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appointing, approving the compensation of, and assessing the independence of our independent registered public accounting firm;</w:t>
      </w:r>
    </w:p>
    <w:p>
      <w:pPr>
        <w:spacing w:after="0" w:line="1" w:lineRule="exact"/>
        <w:rPr>
          <w:rFonts w:ascii="Arial" w:cs="Arial" w:eastAsia="Arial" w:hAnsi="Arial"/>
          <w:sz w:val="18"/>
          <w:szCs w:val="18"/>
          <w:color w:val="auto"/>
        </w:rPr>
      </w:pPr>
    </w:p>
    <w:p>
      <w:pPr>
        <w:ind w:left="700" w:right="680" w:hanging="314"/>
        <w:spacing w:after="0" w:line="281" w:lineRule="auto"/>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overseeing the work of our independent registered public accounting firm, including through the receipt and consideration of reports from such firm;</w:t>
      </w:r>
    </w:p>
    <w:p>
      <w:pPr>
        <w:spacing w:after="0" w:line="1" w:lineRule="exact"/>
        <w:rPr>
          <w:rFonts w:ascii="Arial" w:cs="Arial" w:eastAsia="Arial" w:hAnsi="Arial"/>
          <w:sz w:val="18"/>
          <w:szCs w:val="18"/>
          <w:color w:val="auto"/>
        </w:rPr>
      </w:pPr>
    </w:p>
    <w:p>
      <w:pPr>
        <w:ind w:left="700" w:right="700" w:hanging="314"/>
        <w:spacing w:after="0" w:line="281" w:lineRule="auto"/>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reviewing and discussing with management and our independent registered public accounting firm our annual and quarterly financial statements and related disclosures;</w:t>
      </w:r>
    </w:p>
    <w:p>
      <w:pPr>
        <w:spacing w:after="0" w:line="1" w:lineRule="exact"/>
        <w:rPr>
          <w:rFonts w:ascii="Arial" w:cs="Arial" w:eastAsia="Arial" w:hAnsi="Arial"/>
          <w:sz w:val="18"/>
          <w:szCs w:val="18"/>
          <w:color w:val="auto"/>
        </w:rPr>
      </w:pPr>
    </w:p>
    <w:p>
      <w:pPr>
        <w:ind w:left="700" w:right="440" w:hanging="314"/>
        <w:spacing w:after="0" w:line="281" w:lineRule="auto"/>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coordinating the Board’s oversight of our internal control over financial reporting, disclosure controls and procedures, and code of business conduct and ethics;</w:t>
      </w:r>
    </w:p>
    <w:p>
      <w:pPr>
        <w:spacing w:after="0" w:line="1" w:lineRule="exact"/>
        <w:rPr>
          <w:rFonts w:ascii="Arial" w:cs="Arial" w:eastAsia="Arial" w:hAnsi="Arial"/>
          <w:sz w:val="18"/>
          <w:szCs w:val="18"/>
          <w:color w:val="auto"/>
        </w:rPr>
      </w:pPr>
    </w:p>
    <w:p>
      <w:pPr>
        <w:ind w:left="700" w:hanging="314"/>
        <w:spacing w:after="0"/>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overseeing our internal audit function;</w:t>
      </w:r>
    </w:p>
    <w:p>
      <w:pPr>
        <w:sectPr>
          <w:pgSz w:w="11900" w:h="16838" w:orient="portrait"/>
          <w:cols w:equalWidth="0" w:num="1">
            <w:col w:w="11200"/>
          </w:cols>
          <w:pgMar w:left="320" w:top="877"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00"/>
          </w:cols>
          <w:pgMar w:left="320" w:top="877" w:right="379" w:bottom="1440" w:gutter="0" w:footer="0" w:header="0"/>
          <w:type w:val="continuous"/>
        </w:sectPr>
      </w:pPr>
    </w:p>
    <w:bookmarkStart w:id="15" w:name="page16"/>
    <w:bookmarkEnd w:id="15"/>
    <w:p>
      <w:pPr>
        <w:ind w:left="700" w:hanging="314"/>
        <w:spacing w:after="0"/>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discussing our risk management policies;</w:t>
      </w:r>
    </w:p>
    <w:p>
      <w:pPr>
        <w:spacing w:after="0" w:line="63" w:lineRule="exact"/>
        <w:rPr>
          <w:rFonts w:ascii="Arial" w:cs="Arial" w:eastAsia="Arial" w:hAnsi="Arial"/>
          <w:sz w:val="18"/>
          <w:szCs w:val="18"/>
          <w:color w:val="auto"/>
        </w:rPr>
      </w:pPr>
    </w:p>
    <w:p>
      <w:pPr>
        <w:ind w:left="700" w:hanging="314"/>
        <w:spacing w:after="0"/>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establishing procedures for the receipt and retention of accounting-related complaints and concerns;</w:t>
      </w:r>
    </w:p>
    <w:p>
      <w:pPr>
        <w:spacing w:after="0" w:line="63" w:lineRule="exact"/>
        <w:rPr>
          <w:rFonts w:ascii="Arial" w:cs="Arial" w:eastAsia="Arial" w:hAnsi="Arial"/>
          <w:sz w:val="18"/>
          <w:szCs w:val="18"/>
          <w:color w:val="auto"/>
        </w:rPr>
      </w:pPr>
    </w:p>
    <w:p>
      <w:pPr>
        <w:ind w:left="700" w:right="1180" w:hanging="314"/>
        <w:spacing w:after="0" w:line="281" w:lineRule="auto"/>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meeting independently with our senior internal audit executive, our independent registered public accounting firm, and management;</w:t>
      </w:r>
    </w:p>
    <w:p>
      <w:pPr>
        <w:spacing w:after="0" w:line="1" w:lineRule="exact"/>
        <w:rPr>
          <w:rFonts w:ascii="Arial" w:cs="Arial" w:eastAsia="Arial" w:hAnsi="Arial"/>
          <w:sz w:val="18"/>
          <w:szCs w:val="18"/>
          <w:color w:val="auto"/>
        </w:rPr>
      </w:pPr>
    </w:p>
    <w:p>
      <w:pPr>
        <w:ind w:left="700" w:hanging="314"/>
        <w:spacing w:after="0"/>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reviewing and approving or ratifying any related person transactions; and</w:t>
      </w:r>
    </w:p>
    <w:p>
      <w:pPr>
        <w:spacing w:after="0" w:line="63" w:lineRule="exact"/>
        <w:rPr>
          <w:rFonts w:ascii="Arial" w:cs="Arial" w:eastAsia="Arial" w:hAnsi="Arial"/>
          <w:sz w:val="18"/>
          <w:szCs w:val="18"/>
          <w:color w:val="auto"/>
        </w:rPr>
      </w:pPr>
    </w:p>
    <w:p>
      <w:pPr>
        <w:ind w:left="700" w:hanging="314"/>
        <w:spacing w:after="0"/>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preparing the audit committee report required by SEC rules.</w:t>
      </w:r>
    </w:p>
    <w:p>
      <w:pPr>
        <w:spacing w:after="0" w:line="239"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Our Audit Committee currently consists of Mr. Upshaw, who serves as its chairman, Mr. Evans and Ms. Bhasin. The Audit Committee met six times during 2024. The Board, in its business judgment, has determined that each director serving on the Audit Committee meets the independence criteria prescribed by the Exchange Act and SEC rules and regulations and meets the NYSE’s financial literacy requirements for audit committee members. The Board has also determined that Mr. Upshaw qualifies as an audit committee financial expert within the meaning of SEC rules.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15" w:lineRule="exact"/>
        <w:rPr>
          <w:sz w:val="20"/>
          <w:szCs w:val="20"/>
          <w:color w:val="auto"/>
        </w:rPr>
      </w:pPr>
    </w:p>
    <w:p>
      <w:pPr>
        <w:ind w:right="420" w:firstLine="324"/>
        <w:spacing w:after="0" w:line="287" w:lineRule="auto"/>
        <w:rPr>
          <w:sz w:val="20"/>
          <w:szCs w:val="20"/>
          <w:color w:val="auto"/>
        </w:rPr>
      </w:pPr>
      <w:r>
        <w:rPr>
          <w:rFonts w:ascii="Arial" w:cs="Arial" w:eastAsia="Arial" w:hAnsi="Arial"/>
          <w:sz w:val="18"/>
          <w:szCs w:val="18"/>
          <w:color w:val="auto"/>
        </w:rPr>
        <w:t>The primary purpose of our Compensation Committee is to assist the Board in overseeing our compensation program. As more fully described in its charter, the Compensation Committee’s responsibilities include:</w:t>
      </w:r>
    </w:p>
    <w:p>
      <w:pPr>
        <w:spacing w:after="0" w:line="99" w:lineRule="exact"/>
        <w:rPr>
          <w:sz w:val="20"/>
          <w:szCs w:val="20"/>
          <w:color w:val="auto"/>
        </w:rPr>
      </w:pPr>
    </w:p>
    <w:p>
      <w:pPr>
        <w:ind w:left="700" w:hanging="314"/>
        <w:spacing w:after="0"/>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reviewing and approving our general compensation strategy;</w:t>
      </w:r>
    </w:p>
    <w:p>
      <w:pPr>
        <w:spacing w:after="0" w:line="63" w:lineRule="exact"/>
        <w:rPr>
          <w:rFonts w:ascii="Arial" w:cs="Arial" w:eastAsia="Arial" w:hAnsi="Arial"/>
          <w:sz w:val="18"/>
          <w:szCs w:val="18"/>
          <w:color w:val="auto"/>
        </w:rPr>
      </w:pPr>
    </w:p>
    <w:p>
      <w:pPr>
        <w:ind w:left="700" w:right="500" w:hanging="314"/>
        <w:spacing w:after="0" w:line="268" w:lineRule="auto"/>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establishing annual and long-term performance goals for our Chief Executive Officer, and evaluating the performance of our Chief Executive Officer in light of those goals and objectives and determining and approving or recommending for approval the compensation of our Chief Executive Officer based on such evaluations;</w:t>
      </w:r>
    </w:p>
    <w:p>
      <w:pPr>
        <w:spacing w:after="0" w:line="8" w:lineRule="exact"/>
        <w:rPr>
          <w:rFonts w:ascii="Arial" w:cs="Arial" w:eastAsia="Arial" w:hAnsi="Arial"/>
          <w:sz w:val="18"/>
          <w:szCs w:val="18"/>
          <w:color w:val="auto"/>
        </w:rPr>
      </w:pPr>
    </w:p>
    <w:p>
      <w:pPr>
        <w:ind w:left="700" w:hanging="314"/>
        <w:spacing w:after="0"/>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reviewing and approving, in consultation with our Chief Executive Officer, the compensation of our executive officers;</w:t>
      </w:r>
    </w:p>
    <w:p>
      <w:pPr>
        <w:spacing w:after="0" w:line="63" w:lineRule="exact"/>
        <w:rPr>
          <w:rFonts w:ascii="Arial" w:cs="Arial" w:eastAsia="Arial" w:hAnsi="Arial"/>
          <w:sz w:val="18"/>
          <w:szCs w:val="18"/>
          <w:color w:val="auto"/>
        </w:rPr>
      </w:pPr>
    </w:p>
    <w:p>
      <w:pPr>
        <w:ind w:left="700" w:hanging="314"/>
        <w:spacing w:after="0"/>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administering our stock plans and any equity compensation arrangements that may be adopted by us from time to time;</w:t>
      </w:r>
    </w:p>
    <w:p>
      <w:pPr>
        <w:spacing w:after="0" w:line="63" w:lineRule="exact"/>
        <w:rPr>
          <w:rFonts w:ascii="Arial" w:cs="Arial" w:eastAsia="Arial" w:hAnsi="Arial"/>
          <w:sz w:val="18"/>
          <w:szCs w:val="18"/>
          <w:color w:val="auto"/>
        </w:rPr>
      </w:pPr>
    </w:p>
    <w:p>
      <w:pPr>
        <w:ind w:left="700" w:right="640" w:hanging="314"/>
        <w:spacing w:after="0" w:line="281" w:lineRule="auto"/>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reviewing compensation levels for directors for service on our Board and its committees and recommending changes in such compensation; and</w:t>
      </w:r>
    </w:p>
    <w:p>
      <w:pPr>
        <w:spacing w:after="0" w:line="1" w:lineRule="exact"/>
        <w:rPr>
          <w:rFonts w:ascii="Arial" w:cs="Arial" w:eastAsia="Arial" w:hAnsi="Arial"/>
          <w:sz w:val="18"/>
          <w:szCs w:val="18"/>
          <w:color w:val="auto"/>
        </w:rPr>
      </w:pPr>
    </w:p>
    <w:p>
      <w:pPr>
        <w:ind w:left="700" w:right="980" w:hanging="314"/>
        <w:spacing w:after="0" w:line="268" w:lineRule="auto"/>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reviewing and discussing with management the annual Compensation Discussion and Analysis (“</w:t>
      </w:r>
      <w:r>
        <w:rPr>
          <w:rFonts w:ascii="Arial" w:cs="Arial" w:eastAsia="Arial" w:hAnsi="Arial"/>
          <w:sz w:val="18"/>
          <w:szCs w:val="18"/>
          <w:u w:val="single" w:color="auto"/>
          <w:color w:val="auto"/>
        </w:rPr>
        <w:t>CD&amp;A</w:t>
      </w:r>
      <w:r>
        <w:rPr>
          <w:rFonts w:ascii="Arial" w:cs="Arial" w:eastAsia="Arial" w:hAnsi="Arial"/>
          <w:sz w:val="18"/>
          <w:szCs w:val="18"/>
          <w:color w:val="auto"/>
        </w:rPr>
        <w:t>”) disclosure and related tabular presentations for our named executive officers and, based on this review and discussions, making a recommendation to include the CD&amp;A disclosure in the Company’s annual public filings.</w:t>
      </w:r>
    </w:p>
    <w:p>
      <w:pPr>
        <w:spacing w:after="0" w:line="171" w:lineRule="exact"/>
        <w:rPr>
          <w:sz w:val="20"/>
          <w:szCs w:val="20"/>
          <w:color w:val="auto"/>
        </w:rPr>
      </w:pPr>
    </w:p>
    <w:p>
      <w:pPr>
        <w:ind w:right="120" w:firstLine="324"/>
        <w:spacing w:after="0" w:line="268" w:lineRule="auto"/>
        <w:rPr>
          <w:sz w:val="20"/>
          <w:szCs w:val="20"/>
          <w:color w:val="auto"/>
        </w:rPr>
      </w:pPr>
      <w:r>
        <w:rPr>
          <w:rFonts w:ascii="Arial" w:cs="Arial" w:eastAsia="Arial" w:hAnsi="Arial"/>
          <w:sz w:val="18"/>
          <w:szCs w:val="18"/>
          <w:color w:val="auto"/>
        </w:rPr>
        <w:t>The engagement of any compensation consultants, legal counsel or other advisors rests exclusively with our Compensation Committee, which has sole authority to retain and terminate any compensation consultant, counsel or other advisor that it uses. See also “Director Compensation” for a discussion of the role of our compensation consultant.</w:t>
      </w:r>
    </w:p>
    <w:p>
      <w:pPr>
        <w:spacing w:after="0" w:line="63" w:lineRule="exact"/>
        <w:rPr>
          <w:sz w:val="20"/>
          <w:szCs w:val="20"/>
          <w:color w:val="auto"/>
        </w:rPr>
      </w:pPr>
    </w:p>
    <w:p>
      <w:pPr>
        <w:ind w:right="80" w:firstLine="324"/>
        <w:spacing w:after="0" w:line="262" w:lineRule="auto"/>
        <w:rPr>
          <w:sz w:val="20"/>
          <w:szCs w:val="20"/>
          <w:color w:val="auto"/>
        </w:rPr>
      </w:pPr>
      <w:r>
        <w:rPr>
          <w:rFonts w:ascii="Arial" w:cs="Arial" w:eastAsia="Arial" w:hAnsi="Arial"/>
          <w:sz w:val="18"/>
          <w:szCs w:val="18"/>
          <w:color w:val="auto"/>
        </w:rPr>
        <w:t>Our Compensation Committee currently consists of Ms. Bigley, who serves as its chairperson, Ms. Bhasin and Mr. Evans. The Compensation Committee met five times during 2024. The Board, in its business judgment, has determined that each director serving on the Compensation Committee meets the independence requirements prescribed by the NYSE and is a “non-employee director” for purposes of the Exchange Act and an “outside director” for purposes of Section 162(m) of the Internal Revenue Code.</w:t>
      </w:r>
    </w:p>
    <w:p>
      <w:pPr>
        <w:spacing w:after="0" w:line="68" w:lineRule="exact"/>
        <w:rPr>
          <w:sz w:val="20"/>
          <w:szCs w:val="20"/>
          <w:color w:val="auto"/>
        </w:rPr>
      </w:pPr>
    </w:p>
    <w:p>
      <w:pPr>
        <w:ind w:right="200" w:firstLine="324"/>
        <w:spacing w:after="0" w:line="287" w:lineRule="auto"/>
        <w:rPr>
          <w:sz w:val="20"/>
          <w:szCs w:val="20"/>
          <w:color w:val="auto"/>
        </w:rPr>
      </w:pPr>
      <w:r>
        <w:rPr>
          <w:rFonts w:ascii="Arial" w:cs="Arial" w:eastAsia="Arial" w:hAnsi="Arial"/>
          <w:sz w:val="18"/>
          <w:szCs w:val="18"/>
          <w:color w:val="auto"/>
        </w:rPr>
        <w:t>For additional information regarding determination of our directors’ and executive officers’ compensation, please refer to the discussion set forth under “Director Compensation” and “Setting Our Compensation.”</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15" w:lineRule="exact"/>
        <w:rPr>
          <w:sz w:val="20"/>
          <w:szCs w:val="20"/>
          <w:color w:val="auto"/>
        </w:rPr>
      </w:pPr>
    </w:p>
    <w:p>
      <w:pPr>
        <w:ind w:firstLine="324"/>
        <w:spacing w:after="0" w:line="291" w:lineRule="auto"/>
        <w:rPr>
          <w:sz w:val="20"/>
          <w:szCs w:val="20"/>
          <w:color w:val="auto"/>
        </w:rPr>
      </w:pPr>
      <w:r>
        <w:rPr>
          <w:rFonts w:ascii="Arial" w:cs="Arial" w:eastAsia="Arial" w:hAnsi="Arial"/>
          <w:sz w:val="17"/>
          <w:szCs w:val="17"/>
          <w:color w:val="auto"/>
        </w:rPr>
        <w:t>The primary purposes of our Nominating and Corporate Governance Committee are to assist our Board in identifying individuals qualified to become members of our Board, to oversee the evaluation of our Board and management and to review and update our corporate governance principles. As more fully described in its charter, the Nominating and Corporate Governance Committee’s responsibilities include:</w:t>
      </w:r>
    </w:p>
    <w:p>
      <w:pPr>
        <w:spacing w:after="0" w:line="99" w:lineRule="exact"/>
        <w:rPr>
          <w:sz w:val="20"/>
          <w:szCs w:val="20"/>
          <w:color w:val="auto"/>
        </w:rPr>
      </w:pPr>
    </w:p>
    <w:p>
      <w:pPr>
        <w:ind w:left="700" w:hanging="314"/>
        <w:spacing w:after="0"/>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developing and recommending a set of corporate governance principles to our Board;</w:t>
      </w:r>
    </w:p>
    <w:p>
      <w:pPr>
        <w:spacing w:after="0" w:line="63" w:lineRule="exact"/>
        <w:rPr>
          <w:rFonts w:ascii="Arial" w:cs="Arial" w:eastAsia="Arial" w:hAnsi="Arial"/>
          <w:sz w:val="18"/>
          <w:szCs w:val="18"/>
          <w:color w:val="auto"/>
        </w:rPr>
      </w:pPr>
    </w:p>
    <w:p>
      <w:pPr>
        <w:ind w:left="700" w:hanging="314"/>
        <w:spacing w:after="0"/>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evaluating the composition, size, organization and governance of our Board and its committees;</w:t>
      </w:r>
    </w:p>
    <w:p>
      <w:pPr>
        <w:spacing w:after="0" w:line="63" w:lineRule="exact"/>
        <w:rPr>
          <w:rFonts w:ascii="Arial" w:cs="Arial" w:eastAsia="Arial" w:hAnsi="Arial"/>
          <w:sz w:val="18"/>
          <w:szCs w:val="18"/>
          <w:color w:val="auto"/>
        </w:rPr>
      </w:pPr>
    </w:p>
    <w:p>
      <w:pPr>
        <w:ind w:left="700" w:right="700" w:hanging="314"/>
        <w:spacing w:after="0" w:line="281" w:lineRule="auto"/>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reviewing and recommending to our Board director independence determinations with respect to continuing and prospective directors;</w:t>
      </w:r>
    </w:p>
    <w:p>
      <w:pPr>
        <w:spacing w:after="0" w:line="1" w:lineRule="exact"/>
        <w:rPr>
          <w:rFonts w:ascii="Arial" w:cs="Arial" w:eastAsia="Arial" w:hAnsi="Arial"/>
          <w:sz w:val="18"/>
          <w:szCs w:val="18"/>
          <w:color w:val="auto"/>
        </w:rPr>
      </w:pPr>
    </w:p>
    <w:p>
      <w:pPr>
        <w:ind w:left="700" w:right="1080" w:hanging="314"/>
        <w:spacing w:after="0" w:line="281" w:lineRule="auto"/>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identifying, evaluating and recommending candidates for election to our Board in the class subject to election; including nominees recommended by our stockholders; and</w:t>
      </w:r>
    </w:p>
    <w:p>
      <w:pPr>
        <w:spacing w:after="0" w:line="1" w:lineRule="exact"/>
        <w:rPr>
          <w:rFonts w:ascii="Arial" w:cs="Arial" w:eastAsia="Arial" w:hAnsi="Arial"/>
          <w:sz w:val="18"/>
          <w:szCs w:val="18"/>
          <w:color w:val="auto"/>
        </w:rPr>
      </w:pPr>
    </w:p>
    <w:p>
      <w:pPr>
        <w:ind w:left="700" w:hanging="314"/>
        <w:spacing w:after="0"/>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overseeing our Board and Board committee’s performance and self-evaluation process.</w:t>
      </w:r>
    </w:p>
    <w:p>
      <w:pPr>
        <w:sectPr>
          <w:pgSz w:w="11900" w:h="16838" w:orient="portrait"/>
          <w:cols w:equalWidth="0" w:num="1">
            <w:col w:w="11240"/>
          </w:cols>
          <w:pgMar w:left="320" w:top="93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240"/>
          </w:cols>
          <w:pgMar w:left="320" w:top="931" w:right="339" w:bottom="1440" w:gutter="0" w:footer="0" w:header="0"/>
          <w:type w:val="continuous"/>
        </w:sectPr>
      </w:pPr>
    </w:p>
    <w:bookmarkStart w:id="16" w:name="page17"/>
    <w:bookmarkEnd w:id="16"/>
    <w:p>
      <w:pPr>
        <w:ind w:firstLine="324"/>
        <w:spacing w:after="0" w:line="262" w:lineRule="auto"/>
        <w:rPr>
          <w:sz w:val="20"/>
          <w:szCs w:val="20"/>
          <w:color w:val="auto"/>
        </w:rPr>
      </w:pPr>
      <w:r>
        <w:rPr>
          <w:rFonts w:ascii="Arial" w:cs="Arial" w:eastAsia="Arial" w:hAnsi="Arial"/>
          <w:sz w:val="18"/>
          <w:szCs w:val="18"/>
          <w:color w:val="auto"/>
        </w:rPr>
        <w:t>Our Nominating and Corporate Governance Committee currently consists of Mr. Evans, who serves as its chairperson, Ms. Bhasin and Ms. Bigley. The Nominating and Corporate Governance Committee met two times during 2024. The Board, in its business judgment, has determined that each director serving on the Nominating and Corporate Governance Committee meets the independence requirements prescribed by the NYSE.</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40"/>
          </w:cols>
          <w:pgMar w:left="320" w:top="877" w:right="539" w:bottom="1440" w:gutter="0" w:footer="0" w:header="0"/>
        </w:sectPr>
      </w:pPr>
    </w:p>
    <w:bookmarkStart w:id="17" w:name="page18"/>
    <w:bookmarkEnd w:id="17"/>
    <w:p>
      <w:pPr>
        <w:jc w:val="center"/>
        <w:ind w:right="-59"/>
        <w:spacing w:after="0"/>
        <w:rPr>
          <w:sz w:val="20"/>
          <w:szCs w:val="20"/>
          <w:color w:val="auto"/>
        </w:rPr>
      </w:pPr>
      <w:r>
        <w:rPr>
          <w:rFonts w:ascii="Arial" w:cs="Arial" w:eastAsia="Arial" w:hAnsi="Arial"/>
          <w:sz w:val="25"/>
          <w:szCs w:val="25"/>
          <w:b w:val="1"/>
          <w:bCs w:val="1"/>
          <w:color w:val="EF3A35"/>
        </w:rPr>
        <w:t>PROPOSAL ONE: ELECTION OF DIRECTORS</w:t>
      </w:r>
    </w:p>
    <w:p>
      <w:pPr>
        <w:spacing w:after="0" w:line="123" w:lineRule="exact"/>
        <w:rPr>
          <w:sz w:val="20"/>
          <w:szCs w:val="20"/>
          <w:color w:val="auto"/>
        </w:rPr>
      </w:pPr>
    </w:p>
    <w:p>
      <w:pPr>
        <w:ind w:right="60" w:firstLine="324"/>
        <w:spacing w:after="0" w:line="268" w:lineRule="auto"/>
        <w:rPr>
          <w:sz w:val="20"/>
          <w:szCs w:val="20"/>
          <w:color w:val="auto"/>
        </w:rPr>
      </w:pPr>
      <w:r>
        <w:rPr>
          <w:rFonts w:ascii="Arial" w:cs="Arial" w:eastAsia="Arial" w:hAnsi="Arial"/>
          <w:sz w:val="18"/>
          <w:szCs w:val="18"/>
          <w:color w:val="auto"/>
        </w:rPr>
        <w:t>The Board is divided into three classes. Directors are elected by class for three-year terms. The Nominating and Corporate Governance Committee recommended, and the Board has nominated, the three Class I directors, Jon Oringer, Rachna Bhasin and Jaime Teevan, as nominees for election as members of our Board at the 2025 Annual Meeting.</w:t>
      </w:r>
    </w:p>
    <w:p>
      <w:pPr>
        <w:spacing w:after="0" w:line="63" w:lineRule="exact"/>
        <w:rPr>
          <w:sz w:val="20"/>
          <w:szCs w:val="20"/>
          <w:color w:val="auto"/>
        </w:rPr>
      </w:pPr>
    </w:p>
    <w:p>
      <w:pPr>
        <w:jc w:val="both"/>
        <w:ind w:right="500" w:firstLine="324"/>
        <w:spacing w:after="0" w:line="268" w:lineRule="auto"/>
        <w:rPr>
          <w:sz w:val="20"/>
          <w:szCs w:val="20"/>
          <w:color w:val="auto"/>
        </w:rPr>
      </w:pPr>
      <w:r>
        <w:rPr>
          <w:rFonts w:ascii="Arial" w:cs="Arial" w:eastAsia="Arial" w:hAnsi="Arial"/>
          <w:sz w:val="18"/>
          <w:szCs w:val="18"/>
          <w:color w:val="auto"/>
        </w:rPr>
        <w:t>Mr. Oringer, Ms. Bhasin and Dr. Teevan have each agreed to serve as a director of the Company if elected. The term of office of a director elected at the 2025 Annual Meeting will continue until the Annual Meeting of Stockholders held in 2028, or until such director’s successor has been duly elected and qualified, or until such director’s earlier resignation or removal.</w:t>
      </w:r>
    </w:p>
    <w:p>
      <w:pPr>
        <w:spacing w:after="0" w:line="63"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As requested by Getty Images, the Company has agreed to use reasonable best efforts to cause to be delivered to Getty Images prior to the closing of the Merger, resignations executed by directors and officers of Shutterstock and its subsidiaries, in each case to be effective upon the effective time of the Merger. Following the Merger, the Getty Images board will have eleven members, consisting of the Chief Executive Officer of Getty Images, six directors to be designated by Getty Images from among the directors serving on the Getty Images board as of immediately prior to the Merger and four directors to be designated by Shutterstock from among the directors serving on the Shutterstock board as of immediately prior to the Merger. Paul J. Hennessy is expected to be appointed to serve as one of the members of the Getty Images board, and the other three directors to be designated by Shutterstock have not yet been determined as of the date of this Proxy Statement. Unless otherwise instructed, the persons appointed in the accompanying form of proxy will vote the proxies received by them for these nominees, who are all presently directors of the Company. In the event that any nominee becomes unavailable or unwilling to serve as a member of our Board, the proxy holders will vote in their discretion for a substitute nominee, or if a substitute nominee cannot be identified, the Board may reduce the size of the Board.</w:t>
      </w:r>
    </w:p>
    <w:p>
      <w:pPr>
        <w:spacing w:after="0" w:line="74" w:lineRule="exact"/>
        <w:rPr>
          <w:sz w:val="20"/>
          <w:szCs w:val="20"/>
          <w:color w:val="auto"/>
        </w:rPr>
      </w:pPr>
    </w:p>
    <w:p>
      <w:pPr>
        <w:jc w:val="both"/>
        <w:ind w:right="80" w:firstLine="324"/>
        <w:spacing w:after="0" w:line="262" w:lineRule="auto"/>
        <w:rPr>
          <w:sz w:val="20"/>
          <w:szCs w:val="20"/>
          <w:color w:val="auto"/>
        </w:rPr>
      </w:pPr>
      <w:r>
        <w:rPr>
          <w:rFonts w:ascii="Arial" w:cs="Arial" w:eastAsia="Arial" w:hAnsi="Arial"/>
          <w:sz w:val="18"/>
          <w:szCs w:val="18"/>
          <w:color w:val="auto"/>
        </w:rPr>
        <w:t>The table below summarizes the key qualifications, skills or attributes of each director nominee standing for election at the 2025 Annual Meeting, which we believe qualify the director to serve on our Board. For additional information regarding our Board members, including our director nominees standing for election at the 2025 Annual Meeting, please refer to the biographies set forth under “Directors and Executive Officers.”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220" w:type="dxa"/>
            <w:vAlign w:val="bottom"/>
          </w:tcPr>
          <w:p>
            <w:pPr>
              <w:ind w:left="100"/>
              <w:spacing w:after="0"/>
              <w:rPr>
                <w:sz w:val="20"/>
                <w:szCs w:val="20"/>
                <w:color w:val="auto"/>
              </w:rPr>
            </w:pPr>
            <w:r>
              <w:rPr>
                <w:rFonts w:ascii="Arial" w:cs="Arial" w:eastAsia="Arial" w:hAnsi="Arial"/>
                <w:sz w:val="18"/>
                <w:szCs w:val="18"/>
                <w:color w:val="auto"/>
              </w:rPr>
              <w:t>Director</w:t>
            </w:r>
          </w:p>
        </w:tc>
        <w:tc>
          <w:tcPr>
            <w:tcW w:w="8620" w:type="dxa"/>
            <w:vAlign w:val="bottom"/>
          </w:tcPr>
          <w:p>
            <w:pPr>
              <w:ind w:left="200"/>
              <w:spacing w:after="0"/>
              <w:rPr>
                <w:sz w:val="20"/>
                <w:szCs w:val="20"/>
                <w:color w:val="auto"/>
              </w:rPr>
            </w:pPr>
            <w:r>
              <w:rPr>
                <w:rFonts w:ascii="Arial" w:cs="Arial" w:eastAsia="Arial" w:hAnsi="Arial"/>
                <w:sz w:val="18"/>
                <w:szCs w:val="18"/>
                <w:color w:val="auto"/>
              </w:rPr>
              <w:t>Qualifications</w:t>
            </w:r>
          </w:p>
        </w:tc>
      </w:tr>
      <w:tr>
        <w:trPr>
          <w:trHeight w:val="23"/>
        </w:trPr>
        <w:tc>
          <w:tcPr>
            <w:tcW w:w="2220" w:type="dxa"/>
            <w:vAlign w:val="bottom"/>
            <w:tcBorders>
              <w:bottom w:val="single" w:sz="8" w:color="auto"/>
            </w:tcBorders>
          </w:tcPr>
          <w:p>
            <w:pPr>
              <w:spacing w:after="0"/>
              <w:rPr>
                <w:sz w:val="2"/>
                <w:szCs w:val="2"/>
                <w:color w:val="auto"/>
              </w:rPr>
            </w:pPr>
          </w:p>
        </w:tc>
        <w:tc>
          <w:tcPr>
            <w:tcW w:w="8620" w:type="dxa"/>
            <w:vAlign w:val="bottom"/>
            <w:tcBorders>
              <w:bottom w:val="single" w:sz="8" w:color="auto"/>
            </w:tcBorders>
          </w:tcPr>
          <w:p>
            <w:pPr>
              <w:spacing w:after="0"/>
              <w:rPr>
                <w:sz w:val="2"/>
                <w:szCs w:val="2"/>
                <w:color w:val="auto"/>
              </w:rPr>
            </w:pPr>
          </w:p>
        </w:tc>
      </w:tr>
      <w:tr>
        <w:trPr>
          <w:trHeight w:val="218"/>
        </w:trPr>
        <w:tc>
          <w:tcPr>
            <w:tcW w:w="2220" w:type="dxa"/>
            <w:vAlign w:val="bottom"/>
          </w:tcPr>
          <w:p>
            <w:pPr>
              <w:ind w:left="100"/>
              <w:spacing w:after="0"/>
              <w:rPr>
                <w:sz w:val="20"/>
                <w:szCs w:val="20"/>
                <w:color w:val="auto"/>
              </w:rPr>
            </w:pPr>
            <w:r>
              <w:rPr>
                <w:rFonts w:ascii="Arial" w:cs="Arial" w:eastAsia="Arial" w:hAnsi="Arial"/>
                <w:sz w:val="18"/>
                <w:szCs w:val="18"/>
                <w:color w:val="auto"/>
              </w:rPr>
              <w:t>Jonathan Oringer</w:t>
            </w:r>
          </w:p>
        </w:tc>
        <w:tc>
          <w:tcPr>
            <w:tcW w:w="8620" w:type="dxa"/>
            <w:vAlign w:val="bottom"/>
          </w:tcPr>
          <w:p>
            <w:pPr>
              <w:ind w:left="200"/>
              <w:spacing w:after="0"/>
              <w:rPr>
                <w:sz w:val="20"/>
                <w:szCs w:val="20"/>
                <w:color w:val="auto"/>
              </w:rPr>
            </w:pPr>
            <w:r>
              <w:rPr>
                <w:rFonts w:ascii="Arial" w:cs="Arial" w:eastAsia="Arial" w:hAnsi="Arial"/>
                <w:sz w:val="18"/>
                <w:szCs w:val="18"/>
                <w:color w:val="auto"/>
              </w:rPr>
              <w:t>Extensive experience in the commercial digital imagery industry, experience with entrepreneurial and</w:t>
            </w:r>
          </w:p>
        </w:tc>
      </w:tr>
      <w:tr>
        <w:trPr>
          <w:trHeight w:val="187"/>
        </w:trPr>
        <w:tc>
          <w:tcPr>
            <w:tcW w:w="2220" w:type="dxa"/>
            <w:vAlign w:val="bottom"/>
          </w:tcPr>
          <w:p>
            <w:pPr>
              <w:ind w:left="100"/>
              <w:spacing w:after="0"/>
              <w:rPr>
                <w:sz w:val="20"/>
                <w:szCs w:val="20"/>
                <w:color w:val="auto"/>
              </w:rPr>
            </w:pPr>
            <w:r>
              <w:rPr>
                <w:rFonts w:ascii="Arial" w:cs="Arial" w:eastAsia="Arial" w:hAnsi="Arial"/>
                <w:sz w:val="14"/>
                <w:szCs w:val="14"/>
                <w:i w:val="1"/>
                <w:iCs w:val="1"/>
                <w:color w:val="auto"/>
              </w:rPr>
              <w:t>(term expiring at 2025 Annual</w:t>
            </w:r>
          </w:p>
        </w:tc>
        <w:tc>
          <w:tcPr>
            <w:tcW w:w="8620" w:type="dxa"/>
            <w:vAlign w:val="bottom"/>
          </w:tcPr>
          <w:p>
            <w:pPr>
              <w:ind w:left="200"/>
              <w:spacing w:after="0" w:line="187" w:lineRule="exact"/>
              <w:rPr>
                <w:sz w:val="20"/>
                <w:szCs w:val="20"/>
                <w:color w:val="auto"/>
              </w:rPr>
            </w:pPr>
            <w:r>
              <w:rPr>
                <w:rFonts w:ascii="Arial" w:cs="Arial" w:eastAsia="Arial" w:hAnsi="Arial"/>
                <w:sz w:val="18"/>
                <w:szCs w:val="18"/>
                <w:color w:val="auto"/>
              </w:rPr>
              <w:t>technology companies and extensive knowledge of the Company as its founder.</w:t>
            </w:r>
          </w:p>
        </w:tc>
      </w:tr>
      <w:tr>
        <w:trPr>
          <w:trHeight w:val="188"/>
        </w:trPr>
        <w:tc>
          <w:tcPr>
            <w:tcW w:w="2220" w:type="dxa"/>
            <w:vAlign w:val="bottom"/>
          </w:tcPr>
          <w:p>
            <w:pPr>
              <w:ind w:left="100"/>
              <w:spacing w:after="0"/>
              <w:rPr>
                <w:sz w:val="20"/>
                <w:szCs w:val="20"/>
                <w:color w:val="auto"/>
              </w:rPr>
            </w:pPr>
            <w:r>
              <w:rPr>
                <w:rFonts w:ascii="Arial" w:cs="Arial" w:eastAsia="Arial" w:hAnsi="Arial"/>
                <w:sz w:val="14"/>
                <w:szCs w:val="14"/>
                <w:i w:val="1"/>
                <w:iCs w:val="1"/>
                <w:color w:val="auto"/>
              </w:rPr>
              <w:t>Meeting)</w:t>
            </w:r>
          </w:p>
        </w:tc>
        <w:tc>
          <w:tcPr>
            <w:tcW w:w="8620" w:type="dxa"/>
            <w:vAlign w:val="bottom"/>
          </w:tcPr>
          <w:p>
            <w:pPr>
              <w:spacing w:after="0"/>
              <w:rPr>
                <w:sz w:val="16"/>
                <w:szCs w:val="16"/>
                <w:color w:val="auto"/>
              </w:rPr>
            </w:pPr>
          </w:p>
        </w:tc>
      </w:tr>
    </w:tbl>
    <w:p>
      <w:pPr>
        <w:spacing w:after="0" w:line="30" w:lineRule="exact"/>
        <w:rPr>
          <w:sz w:val="20"/>
          <w:szCs w:val="20"/>
          <w:color w:val="auto"/>
        </w:rPr>
      </w:pPr>
    </w:p>
    <w:p>
      <w:pPr>
        <w:sectPr>
          <w:pgSz w:w="11900" w:h="16838" w:orient="portrait"/>
          <w:cols w:equalWidth="0" w:num="1">
            <w:col w:w="11180"/>
          </w:cols>
          <w:pgMar w:left="320" w:top="871" w:right="399" w:bottom="1440" w:gutter="0" w:footer="0" w:header="0"/>
        </w:sectPr>
      </w:pPr>
    </w:p>
    <w:p>
      <w:pPr>
        <w:ind w:left="100"/>
        <w:spacing w:after="0"/>
        <w:rPr>
          <w:sz w:val="20"/>
          <w:szCs w:val="20"/>
          <w:color w:val="auto"/>
        </w:rPr>
      </w:pPr>
      <w:r>
        <w:rPr>
          <w:rFonts w:ascii="Arial" w:cs="Arial" w:eastAsia="Arial" w:hAnsi="Arial"/>
          <w:sz w:val="18"/>
          <w:szCs w:val="18"/>
          <w:color w:val="auto"/>
        </w:rPr>
        <w:t>Rachna Bhasin</w:t>
      </w:r>
    </w:p>
    <w:p>
      <w:pPr>
        <w:spacing w:after="0" w:line="32" w:lineRule="exact"/>
        <w:rPr>
          <w:sz w:val="20"/>
          <w:szCs w:val="20"/>
          <w:color w:val="auto"/>
        </w:rPr>
      </w:pPr>
    </w:p>
    <w:p>
      <w:pPr>
        <w:ind w:left="100"/>
        <w:spacing w:after="0" w:line="285" w:lineRule="auto"/>
        <w:rPr>
          <w:sz w:val="20"/>
          <w:szCs w:val="20"/>
          <w:color w:val="auto"/>
        </w:rPr>
      </w:pPr>
      <w:r>
        <w:rPr>
          <w:rFonts w:ascii="Arial" w:cs="Arial" w:eastAsia="Arial" w:hAnsi="Arial"/>
          <w:sz w:val="14"/>
          <w:szCs w:val="14"/>
          <w:i w:val="1"/>
          <w:iCs w:val="1"/>
          <w:color w:val="auto"/>
        </w:rPr>
        <w:t>(term expiring at 2025 Annual Meeting)</w:t>
      </w:r>
    </w:p>
    <w:p>
      <w:pPr>
        <w:spacing w:after="0" w:line="297" w:lineRule="exact"/>
        <w:rPr>
          <w:sz w:val="20"/>
          <w:szCs w:val="20"/>
          <w:color w:val="auto"/>
        </w:rPr>
      </w:pPr>
    </w:p>
    <w:p>
      <w:pPr>
        <w:ind w:left="100"/>
        <w:spacing w:after="0"/>
        <w:rPr>
          <w:sz w:val="20"/>
          <w:szCs w:val="20"/>
          <w:color w:val="auto"/>
        </w:rPr>
      </w:pPr>
      <w:r>
        <w:rPr>
          <w:rFonts w:ascii="Arial" w:cs="Arial" w:eastAsia="Arial" w:hAnsi="Arial"/>
          <w:sz w:val="18"/>
          <w:szCs w:val="18"/>
          <w:color w:val="auto"/>
        </w:rPr>
        <w:t>Jaime Teevan</w:t>
      </w:r>
    </w:p>
    <w:p>
      <w:pPr>
        <w:spacing w:after="0" w:line="32" w:lineRule="exact"/>
        <w:rPr>
          <w:sz w:val="20"/>
          <w:szCs w:val="20"/>
          <w:color w:val="auto"/>
        </w:rPr>
      </w:pPr>
    </w:p>
    <w:p>
      <w:pPr>
        <w:ind w:left="100"/>
        <w:spacing w:after="0" w:line="285" w:lineRule="auto"/>
        <w:rPr>
          <w:sz w:val="20"/>
          <w:szCs w:val="20"/>
          <w:color w:val="auto"/>
        </w:rPr>
      </w:pPr>
      <w:r>
        <w:rPr>
          <w:rFonts w:ascii="Arial" w:cs="Arial" w:eastAsia="Arial" w:hAnsi="Arial"/>
          <w:sz w:val="14"/>
          <w:szCs w:val="14"/>
          <w:i w:val="1"/>
          <w:iCs w:val="1"/>
          <w:color w:val="auto"/>
        </w:rPr>
        <w:t>(term expiring at 2025 Annual Meeting)</w:t>
      </w:r>
    </w:p>
    <w:p>
      <w:pPr>
        <w:spacing w:after="0" w:line="20" w:lineRule="exact"/>
        <w:rPr>
          <w:sz w:val="20"/>
          <w:szCs w:val="20"/>
          <w:color w:val="auto"/>
        </w:rPr>
      </w:pPr>
      <w:r>
        <w:rPr>
          <w:sz w:val="20"/>
          <w:szCs w:val="20"/>
          <w:color w:val="auto"/>
        </w:rPr>
        <w:br w:type="column"/>
      </w:r>
    </w:p>
    <w:p>
      <w:pPr>
        <w:ind w:right="800"/>
        <w:spacing w:after="0" w:line="262" w:lineRule="auto"/>
        <w:rPr>
          <w:sz w:val="20"/>
          <w:szCs w:val="20"/>
          <w:color w:val="auto"/>
        </w:rPr>
      </w:pPr>
      <w:r>
        <w:rPr>
          <w:rFonts w:ascii="Arial" w:cs="Arial" w:eastAsia="Arial" w:hAnsi="Arial"/>
          <w:sz w:val="18"/>
          <w:szCs w:val="18"/>
          <w:color w:val="auto"/>
        </w:rPr>
        <w:t>Extensive senior leadership experience in the technology and media industries, specifically driving corporate and business development initiatives and significant technical expertise and experience in innovation. Valuable insight into evaluation and execution of strategic, business and operational initiatives.</w:t>
      </w:r>
    </w:p>
    <w:p>
      <w:pPr>
        <w:spacing w:after="0" w:line="14" w:lineRule="exact"/>
        <w:rPr>
          <w:sz w:val="20"/>
          <w:szCs w:val="20"/>
          <w:color w:val="auto"/>
        </w:rPr>
      </w:pPr>
    </w:p>
    <w:p>
      <w:pPr>
        <w:ind w:right="680"/>
        <w:spacing w:after="0" w:line="268" w:lineRule="auto"/>
        <w:rPr>
          <w:sz w:val="20"/>
          <w:szCs w:val="20"/>
          <w:color w:val="auto"/>
        </w:rPr>
      </w:pPr>
      <w:r>
        <w:rPr>
          <w:rFonts w:ascii="Arial" w:cs="Arial" w:eastAsia="Arial" w:hAnsi="Arial"/>
          <w:sz w:val="18"/>
          <w:szCs w:val="18"/>
          <w:color w:val="auto"/>
        </w:rPr>
        <w:t>Extensive senior leadership experience in technology industry, particularly with a wealth of knowledge and experience in AI, research, and innovation, coupled with her leadership in developing key technological advancements.</w:t>
      </w:r>
    </w:p>
    <w:p>
      <w:pPr>
        <w:spacing w:after="0" w:line="184" w:lineRule="exact"/>
        <w:rPr>
          <w:sz w:val="20"/>
          <w:szCs w:val="20"/>
          <w:color w:val="auto"/>
        </w:rPr>
      </w:pPr>
    </w:p>
    <w:p>
      <w:pPr>
        <w:sectPr>
          <w:pgSz w:w="11900" w:h="16838" w:orient="portrait"/>
          <w:cols w:equalWidth="0" w:num="2">
            <w:col w:w="2000" w:space="420"/>
            <w:col w:w="8760"/>
          </w:cols>
          <w:pgMar w:left="320" w:top="871" w:right="399" w:bottom="1440" w:gutter="0" w:footer="0" w:header="0"/>
          <w:type w:val="continuous"/>
        </w:sectPr>
      </w:pPr>
    </w:p>
    <w:p>
      <w:pPr>
        <w:ind w:firstLine="324"/>
        <w:spacing w:after="0" w:line="259" w:lineRule="auto"/>
        <w:rPr>
          <w:sz w:val="20"/>
          <w:szCs w:val="20"/>
          <w:color w:val="auto"/>
        </w:rPr>
      </w:pPr>
      <w:r>
        <w:rPr>
          <w:rFonts w:ascii="Arial" w:cs="Arial" w:eastAsia="Arial" w:hAnsi="Arial"/>
          <w:sz w:val="18"/>
          <w:szCs w:val="18"/>
          <w:color w:val="auto"/>
        </w:rPr>
        <w:t>A plurality of the votes cast in the election of directors is required to elect a nominee to our Board. The Board has adopted a director resignation policy, pursuant to which any nominee for director who, in an uncontested election, has more votes “WITHHELD” than “FOR” his or her election is expected to promptly tender his or her resignation for consideration by the Nominating and Corporate Governance Committee and subsequently by the Board. Our director resignation policy is incorporated into our Corporate Governance Guidelines, a copy of which can be found through the “Corporate Governance” link on our Investor Relations page at investor.shutterstock.com.</w:t>
      </w:r>
    </w:p>
    <w:p>
      <w:pPr>
        <w:spacing w:after="0" w:line="75" w:lineRule="exact"/>
        <w:rPr>
          <w:sz w:val="20"/>
          <w:szCs w:val="20"/>
          <w:color w:val="auto"/>
        </w:rPr>
      </w:pPr>
    </w:p>
    <w:p>
      <w:pPr>
        <w:jc w:val="center"/>
        <w:ind w:left="380" w:right="320"/>
        <w:spacing w:after="0" w:line="285" w:lineRule="auto"/>
        <w:rPr>
          <w:sz w:val="20"/>
          <w:szCs w:val="20"/>
          <w:color w:val="auto"/>
        </w:rPr>
      </w:pPr>
      <w:r>
        <w:rPr>
          <w:rFonts w:ascii="Arial" w:cs="Arial" w:eastAsia="Arial" w:hAnsi="Arial"/>
          <w:sz w:val="22"/>
          <w:szCs w:val="22"/>
          <w:b w:val="1"/>
          <w:bCs w:val="1"/>
          <w:color w:val="EF3A35"/>
        </w:rPr>
        <w:t>OUR BOARD UNANIMOUSLY RECOMMENDS A VOTE “FOR” THE ELECTION OF EACH NOMINEE FOR DIRECTOR NAMED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80"/>
          </w:cols>
          <w:pgMar w:left="320" w:top="871" w:right="399" w:bottom="1440" w:gutter="0" w:footer="0" w:header="0"/>
          <w:type w:val="continuous"/>
        </w:sectPr>
      </w:pPr>
    </w:p>
    <w:bookmarkStart w:id="18" w:name="page19"/>
    <w:bookmarkEnd w:id="18"/>
    <w:p>
      <w:pPr>
        <w:ind w:firstLine="324"/>
        <w:spacing w:after="0" w:line="287" w:lineRule="auto"/>
        <w:rPr>
          <w:sz w:val="20"/>
          <w:szCs w:val="20"/>
          <w:color w:val="auto"/>
        </w:rPr>
      </w:pPr>
      <w:r>
        <w:rPr>
          <w:rFonts w:ascii="Arial" w:cs="Arial" w:eastAsia="Arial" w:hAnsi="Arial"/>
          <w:sz w:val="18"/>
          <w:szCs w:val="18"/>
          <w:color w:val="auto"/>
        </w:rPr>
        <w:t>The key qualifications, skills or attributes of the members of the Board whose terms or directorships do not expire at the 2025 Annual Meeting are set forth below.</w:t>
      </w:r>
    </w:p>
    <w:p>
      <w:pPr>
        <w:sectPr>
          <w:pgSz w:w="11900" w:h="16838" w:orient="portrait"/>
          <w:cols w:equalWidth="0" w:num="1">
            <w:col w:w="10880"/>
          </w:cols>
          <w:pgMar w:left="320" w:top="877" w:right="699" w:bottom="1440" w:gutter="0" w:footer="0" w:header="0"/>
        </w:sectPr>
      </w:pPr>
    </w:p>
    <w:p>
      <w:pPr>
        <w:spacing w:after="0" w:line="99"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Director</w:t>
      </w:r>
    </w:p>
    <w:p>
      <w:pPr>
        <w:spacing w:after="0" w:line="6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Deirdre Bigley</w:t>
      </w:r>
    </w:p>
    <w:p>
      <w:pPr>
        <w:spacing w:after="0" w:line="32" w:lineRule="exact"/>
        <w:rPr>
          <w:sz w:val="20"/>
          <w:szCs w:val="20"/>
          <w:color w:val="auto"/>
        </w:rPr>
      </w:pPr>
    </w:p>
    <w:p>
      <w:pPr>
        <w:ind w:left="100" w:right="220"/>
        <w:spacing w:after="0" w:line="285" w:lineRule="auto"/>
        <w:rPr>
          <w:sz w:val="20"/>
          <w:szCs w:val="20"/>
          <w:color w:val="auto"/>
        </w:rPr>
      </w:pPr>
      <w:r>
        <w:rPr>
          <w:rFonts w:ascii="Arial" w:cs="Arial" w:eastAsia="Arial" w:hAnsi="Arial"/>
          <w:sz w:val="14"/>
          <w:szCs w:val="14"/>
          <w:i w:val="1"/>
          <w:iCs w:val="1"/>
          <w:color w:val="auto"/>
        </w:rPr>
        <w:t>(term expiring at 2026 Annual Meeting)</w:t>
      </w:r>
    </w:p>
    <w:p>
      <w:pPr>
        <w:spacing w:after="0" w:line="81" w:lineRule="exact"/>
        <w:rPr>
          <w:sz w:val="20"/>
          <w:szCs w:val="20"/>
          <w:color w:val="auto"/>
        </w:rPr>
      </w:pPr>
    </w:p>
    <w:p>
      <w:pPr>
        <w:ind w:left="100"/>
        <w:spacing w:after="0" w:line="242" w:lineRule="auto"/>
        <w:rPr>
          <w:sz w:val="20"/>
          <w:szCs w:val="20"/>
          <w:color w:val="auto"/>
        </w:rPr>
      </w:pPr>
      <w:r>
        <w:rPr>
          <w:rFonts w:ascii="Arial" w:cs="Arial" w:eastAsia="Arial" w:hAnsi="Arial"/>
          <w:sz w:val="18"/>
          <w:szCs w:val="18"/>
          <w:color w:val="auto"/>
        </w:rPr>
        <w:t xml:space="preserve">Thomas R. Evans </w:t>
      </w:r>
      <w:r>
        <w:rPr>
          <w:rFonts w:ascii="Arial" w:cs="Arial" w:eastAsia="Arial" w:hAnsi="Arial"/>
          <w:sz w:val="14"/>
          <w:szCs w:val="14"/>
          <w:i w:val="1"/>
          <w:iCs w:val="1"/>
          <w:color w:val="auto"/>
        </w:rPr>
        <w:t>(term</w:t>
      </w:r>
      <w:r>
        <w:rPr>
          <w:rFonts w:ascii="Arial" w:cs="Arial" w:eastAsia="Arial" w:hAnsi="Arial"/>
          <w:sz w:val="18"/>
          <w:szCs w:val="18"/>
          <w:color w:val="auto"/>
        </w:rPr>
        <w:t xml:space="preserve"> </w:t>
      </w:r>
      <w:r>
        <w:rPr>
          <w:rFonts w:ascii="Arial" w:cs="Arial" w:eastAsia="Arial" w:hAnsi="Arial"/>
          <w:sz w:val="14"/>
          <w:szCs w:val="14"/>
          <w:i w:val="1"/>
          <w:iCs w:val="1"/>
          <w:color w:val="auto"/>
        </w:rPr>
        <w:t>expiring at 2027 Annual Meeting</w:t>
      </w:r>
      <w:r>
        <w:rPr>
          <w:rFonts w:ascii="Arial" w:cs="Arial" w:eastAsia="Arial" w:hAnsi="Arial"/>
          <w:sz w:val="14"/>
          <w:szCs w:val="14"/>
          <w:color w:val="auto"/>
        </w:rPr>
        <w:t>)</w:t>
      </w:r>
    </w:p>
    <w:p>
      <w:pPr>
        <w:spacing w:after="0" w:line="352" w:lineRule="exact"/>
        <w:rPr>
          <w:sz w:val="20"/>
          <w:szCs w:val="20"/>
          <w:color w:val="auto"/>
        </w:rPr>
      </w:pPr>
    </w:p>
    <w:p>
      <w:pPr>
        <w:ind w:left="100"/>
        <w:spacing w:after="0"/>
        <w:rPr>
          <w:sz w:val="20"/>
          <w:szCs w:val="20"/>
          <w:color w:val="auto"/>
        </w:rPr>
      </w:pPr>
      <w:r>
        <w:rPr>
          <w:rFonts w:ascii="Arial" w:cs="Arial" w:eastAsia="Arial" w:hAnsi="Arial"/>
          <w:sz w:val="18"/>
          <w:szCs w:val="18"/>
          <w:color w:val="auto"/>
        </w:rPr>
        <w:t>Paul J. Hennessy</w:t>
      </w:r>
    </w:p>
    <w:p>
      <w:pPr>
        <w:spacing w:after="0" w:line="32" w:lineRule="exact"/>
        <w:rPr>
          <w:sz w:val="20"/>
          <w:szCs w:val="20"/>
          <w:color w:val="auto"/>
        </w:rPr>
      </w:pPr>
    </w:p>
    <w:p>
      <w:pPr>
        <w:ind w:left="100" w:right="220"/>
        <w:spacing w:after="0" w:line="285" w:lineRule="auto"/>
        <w:rPr>
          <w:sz w:val="20"/>
          <w:szCs w:val="20"/>
          <w:color w:val="auto"/>
        </w:rPr>
      </w:pPr>
      <w:r>
        <w:rPr>
          <w:rFonts w:ascii="Arial" w:cs="Arial" w:eastAsia="Arial" w:hAnsi="Arial"/>
          <w:sz w:val="14"/>
          <w:szCs w:val="14"/>
          <w:i w:val="1"/>
          <w:iCs w:val="1"/>
          <w:color w:val="auto"/>
        </w:rPr>
        <w:t>(term expiring at 2027 Annual Meeting</w:t>
      </w:r>
      <w:r>
        <w:rPr>
          <w:rFonts w:ascii="Arial" w:cs="Arial" w:eastAsia="Arial" w:hAnsi="Arial"/>
          <w:sz w:val="14"/>
          <w:szCs w:val="14"/>
          <w:color w:val="auto"/>
        </w:rPr>
        <w:t>)</w:t>
      </w:r>
    </w:p>
    <w:p>
      <w:pPr>
        <w:spacing w:after="0" w:line="1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Alfonse Upshaw</w:t>
      </w:r>
    </w:p>
    <w:p>
      <w:pPr>
        <w:spacing w:after="0" w:line="32" w:lineRule="exact"/>
        <w:rPr>
          <w:sz w:val="20"/>
          <w:szCs w:val="20"/>
          <w:color w:val="auto"/>
        </w:rPr>
      </w:pPr>
    </w:p>
    <w:p>
      <w:pPr>
        <w:ind w:left="100" w:right="220"/>
        <w:spacing w:after="0" w:line="285" w:lineRule="auto"/>
        <w:rPr>
          <w:sz w:val="20"/>
          <w:szCs w:val="20"/>
          <w:color w:val="auto"/>
        </w:rPr>
      </w:pPr>
      <w:r>
        <w:rPr>
          <w:rFonts w:ascii="Arial" w:cs="Arial" w:eastAsia="Arial" w:hAnsi="Arial"/>
          <w:sz w:val="14"/>
          <w:szCs w:val="14"/>
          <w:i w:val="1"/>
          <w:iCs w:val="1"/>
          <w:color w:val="auto"/>
        </w:rPr>
        <w:t>(term expiring at 2026 Annual Meeting)</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Qualifications</w:t>
      </w:r>
    </w:p>
    <w:p>
      <w:pPr>
        <w:spacing w:after="0" w:line="63" w:lineRule="exact"/>
        <w:rPr>
          <w:sz w:val="20"/>
          <w:szCs w:val="20"/>
          <w:color w:val="auto"/>
        </w:rPr>
      </w:pPr>
    </w:p>
    <w:p>
      <w:pPr>
        <w:jc w:val="both"/>
        <w:ind w:right="340"/>
        <w:spacing w:after="0" w:line="268" w:lineRule="auto"/>
        <w:rPr>
          <w:sz w:val="20"/>
          <w:szCs w:val="20"/>
          <w:color w:val="auto"/>
        </w:rPr>
      </w:pPr>
      <w:r>
        <w:rPr>
          <w:rFonts w:ascii="Arial" w:cs="Arial" w:eastAsia="Arial" w:hAnsi="Arial"/>
          <w:sz w:val="18"/>
          <w:szCs w:val="18"/>
          <w:color w:val="auto"/>
        </w:rPr>
        <w:t>Extensive experience working at multinational corporations with teams across a range of products and significant business and operational experience, particularly as a senior marketing executive at media and technology companies.</w:t>
      </w:r>
    </w:p>
    <w:p>
      <w:pPr>
        <w:spacing w:after="0" w:line="9"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Breadth of business experience, particularly as a senior executive in internet and media industries, and service on the board of directors of public companies; valuable insight into operational strategy and execution.</w:t>
      </w:r>
    </w:p>
    <w:p>
      <w:pPr>
        <w:spacing w:after="0" w:line="9"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Extensive global marketing and management experience as well as domestic and international start-up experience, particularly as a senior executive with online marketing experience in the internet and travel industries.</w:t>
      </w:r>
    </w:p>
    <w:p>
      <w:pPr>
        <w:spacing w:after="0" w:line="9" w:lineRule="exact"/>
        <w:rPr>
          <w:sz w:val="20"/>
          <w:szCs w:val="20"/>
          <w:color w:val="auto"/>
        </w:rPr>
      </w:pPr>
    </w:p>
    <w:p>
      <w:pPr>
        <w:jc w:val="both"/>
        <w:ind w:right="460"/>
        <w:spacing w:after="0" w:line="268" w:lineRule="auto"/>
        <w:rPr>
          <w:sz w:val="20"/>
          <w:szCs w:val="20"/>
          <w:color w:val="auto"/>
        </w:rPr>
      </w:pPr>
      <w:r>
        <w:rPr>
          <w:rFonts w:ascii="Arial" w:cs="Arial" w:eastAsia="Arial" w:hAnsi="Arial"/>
          <w:sz w:val="18"/>
          <w:szCs w:val="18"/>
          <w:color w:val="auto"/>
        </w:rPr>
        <w:t>Extensive accounting, finance and corporate governance experience, including holding roles as chief accounting officer and regional chief financial officer of the largest not-for-profit integrated healthcare company in the United States, as well as qualification to serve as a financial expert.</w:t>
      </w:r>
    </w:p>
    <w:p>
      <w:pPr>
        <w:spacing w:after="0" w:line="200" w:lineRule="exact"/>
        <w:rPr>
          <w:sz w:val="20"/>
          <w:szCs w:val="20"/>
          <w:color w:val="auto"/>
        </w:rPr>
      </w:pPr>
    </w:p>
    <w:p>
      <w:pPr>
        <w:sectPr>
          <w:pgSz w:w="11900" w:h="16838" w:orient="portrait"/>
          <w:cols w:equalWidth="0" w:num="2">
            <w:col w:w="2220" w:space="200"/>
            <w:col w:w="8460"/>
          </w:cols>
          <w:pgMar w:left="320" w:top="877" w:right="6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880"/>
          </w:cols>
          <w:pgMar w:left="320" w:top="877" w:right="699" w:bottom="1440" w:gutter="0" w:footer="0" w:header="0"/>
          <w:type w:val="continuous"/>
        </w:sectPr>
      </w:pPr>
    </w:p>
    <w:bookmarkStart w:id="19" w:name="page20"/>
    <w:bookmarkEnd w:id="19"/>
    <w:p>
      <w:pPr>
        <w:jc w:val="center"/>
        <w:spacing w:after="0"/>
        <w:rPr>
          <w:sz w:val="20"/>
          <w:szCs w:val="20"/>
          <w:color w:val="auto"/>
        </w:rPr>
      </w:pPr>
      <w:r>
        <w:rPr>
          <w:rFonts w:ascii="Arial" w:cs="Arial" w:eastAsia="Arial" w:hAnsi="Arial"/>
          <w:sz w:val="25"/>
          <w:szCs w:val="25"/>
          <w:b w:val="1"/>
          <w:bCs w:val="1"/>
          <w:color w:val="EF3A35"/>
        </w:rPr>
        <w:t>DIRECTOR COMPENSATION</w:t>
      </w:r>
    </w:p>
    <w:p>
      <w:pPr>
        <w:spacing w:after="0" w:line="123"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The Compensation Committee reviews director compensation periodically and recommends changes to the Board, when it deems appropriate, taking into account various factors, including the responsibilities of directors generally and the responsibilities of committee chairs, and the Company’s performance. The Board reviews the recommendations of the Compensation Committee and determines the form and amount of director compensation. Directors who also serve as employees of the Company do not receive payment for services as a director.</w:t>
      </w:r>
    </w:p>
    <w:p>
      <w:pPr>
        <w:spacing w:after="0" w:line="71" w:lineRule="exact"/>
        <w:rPr>
          <w:sz w:val="20"/>
          <w:szCs w:val="20"/>
          <w:color w:val="auto"/>
        </w:rPr>
      </w:pPr>
    </w:p>
    <w:p>
      <w:pPr>
        <w:ind w:right="200" w:firstLine="324"/>
        <w:spacing w:after="0" w:line="257" w:lineRule="auto"/>
        <w:rPr>
          <w:sz w:val="20"/>
          <w:szCs w:val="20"/>
          <w:color w:val="auto"/>
        </w:rPr>
      </w:pPr>
      <w:r>
        <w:rPr>
          <w:rFonts w:ascii="Arial" w:cs="Arial" w:eastAsia="Arial" w:hAnsi="Arial"/>
          <w:sz w:val="18"/>
          <w:szCs w:val="18"/>
          <w:color w:val="auto"/>
        </w:rPr>
        <w:t>The overall goal of our director compensation program is to provide compensation for our non-employee directors in a manner that enables us to attract and retain outstanding director candidates and reflects the substantial time commitment necessary to oversee the Company’s affairs. Our director compensation program is also intended to align the interests of our directors and our stockholders, and we have chosen to do so by compensating our non-employee directors with a mix of cash and equity-based compensation. We also reimburse our non-employee directors for reasonable travel expenses and other out-of-pocket costs incurred in connection with attending Board and committee meetings.</w:t>
      </w:r>
    </w:p>
    <w:p>
      <w:pPr>
        <w:spacing w:after="0" w:line="74"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Our 2022 Omnibus Equity Incentive Plan, as amended and restated (the “</w:t>
      </w:r>
      <w:r>
        <w:rPr>
          <w:rFonts w:ascii="Arial" w:cs="Arial" w:eastAsia="Arial" w:hAnsi="Arial"/>
          <w:sz w:val="18"/>
          <w:szCs w:val="18"/>
          <w:u w:val="single" w:color="auto"/>
          <w:color w:val="auto"/>
        </w:rPr>
        <w:t>Amended and Restated 2022 Plan</w:t>
      </w:r>
      <w:r>
        <w:rPr>
          <w:rFonts w:ascii="Arial" w:cs="Arial" w:eastAsia="Arial" w:hAnsi="Arial"/>
          <w:sz w:val="18"/>
          <w:szCs w:val="18"/>
          <w:color w:val="auto"/>
        </w:rPr>
        <w:t>”) limits the maximum aggregate value of awards granted under the Amended and Restated 2022 Plan (based on their grant date fair value for financial reporting purposes) and cash payable to any individual non-employee director in any fiscal year to $750,000, subject to extraordinary circumstances for any non-employee director as the Board may determine in its discretion and in accordance with the terms of the Amended and Restated 2022 Plan. The Board believes this is a meaningful limit on total director compensation.</w:t>
      </w:r>
    </w:p>
    <w:p>
      <w:pPr>
        <w:spacing w:after="0" w:line="71" w:lineRule="exact"/>
        <w:rPr>
          <w:sz w:val="20"/>
          <w:szCs w:val="20"/>
          <w:color w:val="auto"/>
        </w:rPr>
      </w:pPr>
    </w:p>
    <w:p>
      <w:pPr>
        <w:ind w:right="820" w:firstLine="324"/>
        <w:spacing w:after="0" w:line="287" w:lineRule="auto"/>
        <w:rPr>
          <w:sz w:val="20"/>
          <w:szCs w:val="20"/>
          <w:color w:val="auto"/>
        </w:rPr>
      </w:pPr>
      <w:r>
        <w:rPr>
          <w:rFonts w:ascii="Arial" w:cs="Arial" w:eastAsia="Arial" w:hAnsi="Arial"/>
          <w:sz w:val="18"/>
          <w:szCs w:val="18"/>
          <w:i w:val="1"/>
          <w:iCs w:val="1"/>
          <w:color w:val="auto"/>
        </w:rPr>
        <w:t xml:space="preserve">Cash Compensation: </w:t>
      </w:r>
      <w:r>
        <w:rPr>
          <w:rFonts w:ascii="Arial" w:cs="Arial" w:eastAsia="Arial" w:hAnsi="Arial"/>
          <w:sz w:val="18"/>
          <w:szCs w:val="18"/>
          <w:color w:val="auto"/>
        </w:rPr>
        <w:t>Our non-employee director compensation program provides for an annual fee of $50,000 and fees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chairperson and members of our Audit, Compensation, and Nominating and Corporate Governance Committees as follows: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rPr>
              <w:t>2024 Annual Retainer-</w:t>
            </w:r>
          </w:p>
        </w:tc>
        <w:tc>
          <w:tcPr>
            <w:tcW w:w="1880" w:type="dxa"/>
            <w:vAlign w:val="bottom"/>
          </w:tcPr>
          <w:p>
            <w:pPr>
              <w:jc w:val="center"/>
              <w:spacing w:after="0"/>
              <w:rPr>
                <w:sz w:val="20"/>
                <w:szCs w:val="20"/>
                <w:color w:val="auto"/>
              </w:rPr>
            </w:pPr>
            <w:r>
              <w:rPr>
                <w:rFonts w:ascii="Arial" w:cs="Arial" w:eastAsia="Arial" w:hAnsi="Arial"/>
                <w:sz w:val="14"/>
                <w:szCs w:val="14"/>
                <w:b w:val="1"/>
                <w:bCs w:val="1"/>
                <w:color w:val="auto"/>
              </w:rPr>
              <w:t>2024 Annual Retainer-</w:t>
            </w:r>
          </w:p>
        </w:tc>
        <w:tc>
          <w:tcPr>
            <w:tcW w:w="0" w:type="dxa"/>
            <w:vAlign w:val="bottom"/>
          </w:tcPr>
          <w:p>
            <w:pPr>
              <w:spacing w:after="0"/>
              <w:rPr>
                <w:sz w:val="1"/>
                <w:szCs w:val="1"/>
                <w:color w:val="auto"/>
              </w:rPr>
            </w:pPr>
          </w:p>
        </w:tc>
      </w:tr>
      <w:tr>
        <w:trPr>
          <w:trHeight w:val="162"/>
        </w:trPr>
        <w:tc>
          <w:tcPr>
            <w:tcW w:w="6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40" w:type="dxa"/>
            <w:vAlign w:val="bottom"/>
            <w:gridSpan w:val="2"/>
            <w:vMerge w:val="continue"/>
          </w:tcPr>
          <w:p>
            <w:pPr>
              <w:spacing w:after="0"/>
              <w:rPr>
                <w:sz w:val="14"/>
                <w:szCs w:val="14"/>
                <w:color w:val="auto"/>
              </w:rPr>
            </w:pPr>
          </w:p>
        </w:tc>
        <w:tc>
          <w:tcPr>
            <w:tcW w:w="1880" w:type="dxa"/>
            <w:vAlign w:val="bottom"/>
          </w:tcPr>
          <w:p>
            <w:pPr>
              <w:jc w:val="center"/>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211"/>
        </w:trPr>
        <w:tc>
          <w:tcPr>
            <w:tcW w:w="65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Role</w:t>
            </w:r>
          </w:p>
        </w:tc>
        <w:tc>
          <w:tcPr>
            <w:tcW w:w="200" w:type="dxa"/>
            <w:vAlign w:val="bottom"/>
            <w:tcBorders>
              <w:bottom w:val="single" w:sz="8" w:color="BFE7FA"/>
            </w:tcBorders>
          </w:tcPr>
          <w:p>
            <w:pPr>
              <w:spacing w:after="0"/>
              <w:rPr>
                <w:sz w:val="18"/>
                <w:szCs w:val="18"/>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Chairperson ($)</w:t>
            </w:r>
          </w:p>
        </w:tc>
        <w:tc>
          <w:tcPr>
            <w:tcW w:w="180" w:type="dxa"/>
            <w:vAlign w:val="bottom"/>
            <w:tcBorders>
              <w:bottom w:val="single" w:sz="8" w:color="BFE7FA"/>
            </w:tcBorders>
          </w:tcPr>
          <w:p>
            <w:pPr>
              <w:spacing w:after="0"/>
              <w:rPr>
                <w:sz w:val="18"/>
                <w:szCs w:val="18"/>
                <w:color w:val="auto"/>
              </w:rPr>
            </w:pP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Members ($)</w:t>
            </w:r>
          </w:p>
        </w:tc>
        <w:tc>
          <w:tcPr>
            <w:tcW w:w="0" w:type="dxa"/>
            <w:vAlign w:val="bottom"/>
          </w:tcPr>
          <w:p>
            <w:pPr>
              <w:spacing w:after="0"/>
              <w:rPr>
                <w:sz w:val="1"/>
                <w:szCs w:val="1"/>
                <w:color w:val="auto"/>
              </w:rPr>
            </w:pPr>
          </w:p>
        </w:tc>
      </w:tr>
      <w:tr>
        <w:trPr>
          <w:trHeight w:val="244"/>
        </w:trPr>
        <w:tc>
          <w:tcPr>
            <w:tcW w:w="6760" w:type="dxa"/>
            <w:vAlign w:val="bottom"/>
            <w:tcBorders>
              <w:bottom w:val="single" w:sz="8" w:color="BFE7FA"/>
            </w:tcBorders>
            <w:gridSpan w:val="2"/>
            <w:shd w:val="clear" w:color="auto" w:fill="BFE7FA"/>
          </w:tcPr>
          <w:p>
            <w:pPr>
              <w:ind w:left="20"/>
              <w:spacing w:after="0"/>
              <w:rPr>
                <w:sz w:val="20"/>
                <w:szCs w:val="20"/>
                <w:color w:val="auto"/>
              </w:rPr>
            </w:pPr>
            <w:r>
              <w:rPr>
                <w:rFonts w:ascii="Arial" w:cs="Arial" w:eastAsia="Arial" w:hAnsi="Arial"/>
                <w:sz w:val="18"/>
                <w:szCs w:val="18"/>
                <w:color w:val="auto"/>
              </w:rPr>
              <w:t>Audit Committee</w:t>
            </w:r>
          </w:p>
        </w:tc>
        <w:tc>
          <w:tcPr>
            <w:tcW w:w="1560" w:type="dxa"/>
            <w:vAlign w:val="bottom"/>
            <w:tcBorders>
              <w:bottom w:val="single" w:sz="8" w:color="BFE7FA"/>
            </w:tcBorders>
            <w:shd w:val="clear" w:color="auto" w:fill="BFE7FA"/>
          </w:tcPr>
          <w:p>
            <w:pPr>
              <w:jc w:val="center"/>
              <w:spacing w:after="0"/>
              <w:rPr>
                <w:sz w:val="20"/>
                <w:szCs w:val="20"/>
                <w:color w:val="auto"/>
              </w:rPr>
            </w:pPr>
            <w:r>
              <w:rPr>
                <w:rFonts w:ascii="Arial" w:cs="Arial" w:eastAsia="Arial" w:hAnsi="Arial"/>
                <w:sz w:val="18"/>
                <w:szCs w:val="18"/>
                <w:color w:val="auto"/>
                <w:w w:val="98"/>
              </w:rPr>
              <w:t>20,000</w:t>
            </w:r>
          </w:p>
        </w:tc>
        <w:tc>
          <w:tcPr>
            <w:tcW w:w="180" w:type="dxa"/>
            <w:vAlign w:val="bottom"/>
            <w:tcBorders>
              <w:bottom w:val="single" w:sz="8" w:color="BFE7FA"/>
            </w:tcBorders>
            <w:shd w:val="clear" w:color="auto" w:fill="BFE7FA"/>
          </w:tcPr>
          <w:p>
            <w:pPr>
              <w:spacing w:after="0"/>
              <w:rPr>
                <w:sz w:val="21"/>
                <w:szCs w:val="21"/>
                <w:color w:val="auto"/>
              </w:rPr>
            </w:pPr>
          </w:p>
        </w:tc>
        <w:tc>
          <w:tcPr>
            <w:tcW w:w="1880" w:type="dxa"/>
            <w:vAlign w:val="bottom"/>
            <w:tcBorders>
              <w:bottom w:val="single" w:sz="8" w:color="BFE7FA"/>
            </w:tcBorders>
            <w:shd w:val="clear" w:color="auto" w:fill="BFE7FA"/>
          </w:tcPr>
          <w:p>
            <w:pPr>
              <w:jc w:val="center"/>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47"/>
        </w:trPr>
        <w:tc>
          <w:tcPr>
            <w:tcW w:w="6760" w:type="dxa"/>
            <w:vAlign w:val="bottom"/>
            <w:gridSpan w:val="2"/>
          </w:tcPr>
          <w:p>
            <w:pPr>
              <w:ind w:left="20"/>
              <w:spacing w:after="0"/>
              <w:rPr>
                <w:sz w:val="20"/>
                <w:szCs w:val="20"/>
                <w:color w:val="auto"/>
              </w:rPr>
            </w:pPr>
            <w:r>
              <w:rPr>
                <w:rFonts w:ascii="Arial" w:cs="Arial" w:eastAsia="Arial" w:hAnsi="Arial"/>
                <w:sz w:val="18"/>
                <w:szCs w:val="18"/>
                <w:color w:val="auto"/>
              </w:rPr>
              <w:t>Compensation Committee</w:t>
            </w:r>
          </w:p>
        </w:tc>
        <w:tc>
          <w:tcPr>
            <w:tcW w:w="1560" w:type="dxa"/>
            <w:vAlign w:val="bottom"/>
          </w:tcPr>
          <w:p>
            <w:pPr>
              <w:jc w:val="center"/>
              <w:spacing w:after="0"/>
              <w:rPr>
                <w:sz w:val="20"/>
                <w:szCs w:val="20"/>
                <w:color w:val="auto"/>
              </w:rPr>
            </w:pPr>
            <w:r>
              <w:rPr>
                <w:rFonts w:ascii="Arial" w:cs="Arial" w:eastAsia="Arial" w:hAnsi="Arial"/>
                <w:sz w:val="18"/>
                <w:szCs w:val="18"/>
                <w:color w:val="auto"/>
                <w:w w:val="98"/>
              </w:rPr>
              <w:t>15,000</w:t>
            </w:r>
          </w:p>
        </w:tc>
        <w:tc>
          <w:tcPr>
            <w:tcW w:w="180" w:type="dxa"/>
            <w:vAlign w:val="bottom"/>
          </w:tcPr>
          <w:p>
            <w:pPr>
              <w:spacing w:after="0"/>
              <w:rPr>
                <w:sz w:val="21"/>
                <w:szCs w:val="21"/>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w w:val="97"/>
              </w:rPr>
              <w:t>5,000</w:t>
            </w:r>
          </w:p>
        </w:tc>
        <w:tc>
          <w:tcPr>
            <w:tcW w:w="0" w:type="dxa"/>
            <w:vAlign w:val="bottom"/>
          </w:tcPr>
          <w:p>
            <w:pPr>
              <w:spacing w:after="0"/>
              <w:rPr>
                <w:sz w:val="1"/>
                <w:szCs w:val="1"/>
                <w:color w:val="auto"/>
              </w:rPr>
            </w:pPr>
          </w:p>
        </w:tc>
      </w:tr>
      <w:tr>
        <w:trPr>
          <w:trHeight w:val="23"/>
        </w:trPr>
        <w:tc>
          <w:tcPr>
            <w:tcW w:w="6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7"/>
        </w:trPr>
        <w:tc>
          <w:tcPr>
            <w:tcW w:w="6760" w:type="dxa"/>
            <w:vAlign w:val="bottom"/>
            <w:gridSpan w:val="2"/>
            <w:shd w:val="clear" w:color="auto" w:fill="BFE7FA"/>
          </w:tcPr>
          <w:p>
            <w:pPr>
              <w:ind w:left="20"/>
              <w:spacing w:after="0"/>
              <w:rPr>
                <w:sz w:val="20"/>
                <w:szCs w:val="20"/>
                <w:color w:val="auto"/>
              </w:rPr>
            </w:pPr>
            <w:r>
              <w:rPr>
                <w:rFonts w:ascii="Arial" w:cs="Arial" w:eastAsia="Arial" w:hAnsi="Arial"/>
                <w:sz w:val="18"/>
                <w:szCs w:val="18"/>
                <w:color w:val="auto"/>
              </w:rPr>
              <w:t>Nominating and Corporate Governance Committee</w:t>
            </w:r>
          </w:p>
        </w:tc>
        <w:tc>
          <w:tcPr>
            <w:tcW w:w="1560" w:type="dxa"/>
            <w:vAlign w:val="bottom"/>
            <w:shd w:val="clear" w:color="auto" w:fill="BFE7FA"/>
          </w:tcPr>
          <w:p>
            <w:pPr>
              <w:jc w:val="center"/>
              <w:spacing w:after="0"/>
              <w:rPr>
                <w:sz w:val="20"/>
                <w:szCs w:val="20"/>
                <w:color w:val="auto"/>
              </w:rPr>
            </w:pPr>
            <w:r>
              <w:rPr>
                <w:rFonts w:ascii="Arial" w:cs="Arial" w:eastAsia="Arial" w:hAnsi="Arial"/>
                <w:sz w:val="18"/>
                <w:szCs w:val="18"/>
                <w:color w:val="auto"/>
                <w:w w:val="98"/>
              </w:rPr>
              <w:t>10,000</w:t>
            </w:r>
          </w:p>
        </w:tc>
        <w:tc>
          <w:tcPr>
            <w:tcW w:w="180" w:type="dxa"/>
            <w:vAlign w:val="bottom"/>
            <w:shd w:val="clear" w:color="auto" w:fill="BFE7FA"/>
          </w:tcPr>
          <w:p>
            <w:pPr>
              <w:spacing w:after="0"/>
              <w:rPr>
                <w:sz w:val="21"/>
                <w:szCs w:val="21"/>
                <w:color w:val="auto"/>
              </w:rPr>
            </w:pPr>
          </w:p>
        </w:tc>
        <w:tc>
          <w:tcPr>
            <w:tcW w:w="1880" w:type="dxa"/>
            <w:vAlign w:val="bottom"/>
            <w:shd w:val="clear" w:color="auto" w:fill="BFE7FA"/>
          </w:tcPr>
          <w:p>
            <w:pPr>
              <w:jc w:val="center"/>
              <w:spacing w:after="0"/>
              <w:rPr>
                <w:sz w:val="20"/>
                <w:szCs w:val="20"/>
                <w:color w:val="auto"/>
              </w:rPr>
            </w:pPr>
            <w:r>
              <w:rPr>
                <w:rFonts w:ascii="Arial" w:cs="Arial" w:eastAsia="Arial" w:hAnsi="Arial"/>
                <w:sz w:val="18"/>
                <w:szCs w:val="18"/>
                <w:color w:val="auto"/>
                <w:w w:val="97"/>
              </w:rPr>
              <w:t>5,000</w:t>
            </w:r>
          </w:p>
        </w:tc>
        <w:tc>
          <w:tcPr>
            <w:tcW w:w="0" w:type="dxa"/>
            <w:vAlign w:val="bottom"/>
          </w:tcPr>
          <w:p>
            <w:pPr>
              <w:spacing w:after="0"/>
              <w:rPr>
                <w:sz w:val="1"/>
                <w:szCs w:val="1"/>
                <w:color w:val="auto"/>
              </w:rPr>
            </w:pPr>
          </w:p>
        </w:tc>
      </w:tr>
      <w:tr>
        <w:trPr>
          <w:trHeight w:val="23"/>
        </w:trPr>
        <w:tc>
          <w:tcPr>
            <w:tcW w:w="6560" w:type="dxa"/>
            <w:vAlign w:val="bottom"/>
            <w:shd w:val="clear" w:color="auto" w:fill="BFE7FA"/>
          </w:tcPr>
          <w:p>
            <w:pPr>
              <w:spacing w:after="0"/>
              <w:rPr>
                <w:sz w:val="2"/>
                <w:szCs w:val="2"/>
                <w:color w:val="auto"/>
              </w:rPr>
            </w:pPr>
          </w:p>
        </w:tc>
        <w:tc>
          <w:tcPr>
            <w:tcW w:w="200" w:type="dxa"/>
            <w:vAlign w:val="bottom"/>
            <w:shd w:val="clear" w:color="auto" w:fill="BFE7FA"/>
          </w:tcPr>
          <w:p>
            <w:pPr>
              <w:spacing w:after="0"/>
              <w:rPr>
                <w:sz w:val="2"/>
                <w:szCs w:val="2"/>
                <w:color w:val="auto"/>
              </w:rPr>
            </w:pPr>
          </w:p>
        </w:tc>
        <w:tc>
          <w:tcPr>
            <w:tcW w:w="1560" w:type="dxa"/>
            <w:vAlign w:val="bottom"/>
            <w:shd w:val="clear" w:color="auto" w:fill="BFE7FA"/>
          </w:tcPr>
          <w:p>
            <w:pPr>
              <w:spacing w:after="0"/>
              <w:rPr>
                <w:sz w:val="2"/>
                <w:szCs w:val="2"/>
                <w:color w:val="auto"/>
              </w:rPr>
            </w:pPr>
          </w:p>
        </w:tc>
        <w:tc>
          <w:tcPr>
            <w:tcW w:w="180" w:type="dxa"/>
            <w:vAlign w:val="bottom"/>
            <w:shd w:val="clear" w:color="auto" w:fill="BFE7FA"/>
          </w:tcPr>
          <w:p>
            <w:pPr>
              <w:spacing w:after="0"/>
              <w:rPr>
                <w:sz w:val="2"/>
                <w:szCs w:val="2"/>
                <w:color w:val="auto"/>
              </w:rPr>
            </w:pPr>
          </w:p>
        </w:tc>
        <w:tc>
          <w:tcPr>
            <w:tcW w:w="1880" w:type="dxa"/>
            <w:vAlign w:val="bottom"/>
            <w:shd w:val="clear" w:color="auto" w:fill="BFE7FA"/>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5276850</wp:posOffset>
            </wp:positionH>
            <wp:positionV relativeFrom="paragraph">
              <wp:posOffset>-521970</wp:posOffset>
            </wp:positionV>
            <wp:extent cx="12001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-521970</wp:posOffset>
            </wp:positionV>
            <wp:extent cx="12001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164" w:lineRule="exact"/>
        <w:rPr>
          <w:sz w:val="20"/>
          <w:szCs w:val="20"/>
          <w:color w:val="auto"/>
        </w:rPr>
      </w:pPr>
    </w:p>
    <w:p>
      <w:pPr>
        <w:jc w:val="both"/>
        <w:ind w:right="120" w:firstLine="324"/>
        <w:spacing w:after="0" w:line="287" w:lineRule="auto"/>
        <w:rPr>
          <w:sz w:val="20"/>
          <w:szCs w:val="20"/>
          <w:color w:val="auto"/>
        </w:rPr>
      </w:pPr>
      <w:r>
        <w:rPr>
          <w:rFonts w:ascii="Arial" w:cs="Arial" w:eastAsia="Arial" w:hAnsi="Arial"/>
          <w:sz w:val="18"/>
          <w:szCs w:val="18"/>
          <w:color w:val="auto"/>
        </w:rPr>
        <w:t>In addition to the annual cash retainer, the independent director who serves as the presiding director receives an additional annual cash retainer in the amount of $20,000. All fees are payable quarterly in arrears (and prorated in the event of service less than an entire quarter).</w:t>
      </w:r>
    </w:p>
    <w:p>
      <w:pPr>
        <w:spacing w:after="0" w:line="4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i w:val="1"/>
          <w:iCs w:val="1"/>
          <w:color w:val="auto"/>
        </w:rPr>
        <w:t xml:space="preserve">2024 Non-Employee Director Equity Compensation: </w:t>
      </w:r>
      <w:r>
        <w:rPr>
          <w:rFonts w:ascii="Arial" w:cs="Arial" w:eastAsia="Arial" w:hAnsi="Arial"/>
          <w:sz w:val="18"/>
          <w:szCs w:val="18"/>
          <w:color w:val="auto"/>
        </w:rPr>
        <w:t>Our non-employee director compensation program also provides for a restricted</w:t>
      </w:r>
      <w:r>
        <w:rPr>
          <w:rFonts w:ascii="Arial" w:cs="Arial" w:eastAsia="Arial" w:hAnsi="Arial"/>
          <w:sz w:val="18"/>
          <w:szCs w:val="18"/>
          <w:i w:val="1"/>
          <w:iCs w:val="1"/>
          <w:color w:val="auto"/>
        </w:rPr>
        <w:t xml:space="preserve"> </w:t>
      </w:r>
      <w:r>
        <w:rPr>
          <w:rFonts w:ascii="Arial" w:cs="Arial" w:eastAsia="Arial" w:hAnsi="Arial"/>
          <w:sz w:val="18"/>
          <w:szCs w:val="18"/>
          <w:color w:val="auto"/>
        </w:rPr>
        <w:t>stock unit (“</w:t>
      </w:r>
      <w:r>
        <w:rPr>
          <w:rFonts w:ascii="Arial" w:cs="Arial" w:eastAsia="Arial" w:hAnsi="Arial"/>
          <w:sz w:val="18"/>
          <w:szCs w:val="18"/>
          <w:u w:val="single" w:color="auto"/>
          <w:color w:val="auto"/>
        </w:rPr>
        <w:t>RSU</w:t>
      </w:r>
      <w:r>
        <w:rPr>
          <w:rFonts w:ascii="Arial" w:cs="Arial" w:eastAsia="Arial" w:hAnsi="Arial"/>
          <w:sz w:val="18"/>
          <w:szCs w:val="18"/>
          <w:color w:val="auto"/>
        </w:rPr>
        <w:t>”) award with a cash value equal to $ 175,000 annually upon election and annually thereafter, with the grant date of such annual award to be the date of our annual meeting of stockholders. These RSUs vest on the earlier of (i) the one-year anniversary of the date of grant and (ii) the date immediately preceding the date of our next annual meeting of stockholders, subject in each case to the non-employee director’s continued service to the Company through the vesting date. If a non-employee director is appointed to the Board at any point other than at the annual meeting of stockholders, the initial director grant is prorated.</w:t>
      </w:r>
    </w:p>
    <w:p>
      <w:pPr>
        <w:spacing w:after="0" w:line="74"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The number of RSUs subject to the grant is determined by dividing the cash value of the award by the average of our closing price for a share of our Common Stock during the 30 trading-day period ending on the date immediately prior to the grant date, rounded down to the nearest whole number of shares. These RSU grants are issued pursuant to and are subject to the terms and conditions of our Amended and Restated 2022 Plan and the terms of the RSU agreements entered into between each non-employee director and the Company. Furthermore, pursuant to the terms of our director compensation policy, the RSUs fully vest upon a change in control of the Company.</w:t>
      </w:r>
    </w:p>
    <w:p>
      <w:pPr>
        <w:spacing w:after="0" w:line="71" w:lineRule="exact"/>
        <w:rPr>
          <w:sz w:val="20"/>
          <w:szCs w:val="20"/>
          <w:color w:val="auto"/>
        </w:rPr>
      </w:pPr>
    </w:p>
    <w:p>
      <w:pPr>
        <w:jc w:val="both"/>
        <w:ind w:right="220" w:firstLine="324"/>
        <w:spacing w:after="0" w:line="268" w:lineRule="auto"/>
        <w:rPr>
          <w:sz w:val="20"/>
          <w:szCs w:val="20"/>
          <w:color w:val="auto"/>
        </w:rPr>
      </w:pPr>
      <w:r>
        <w:rPr>
          <w:rFonts w:ascii="Arial" w:cs="Arial" w:eastAsia="Arial" w:hAnsi="Arial"/>
          <w:sz w:val="18"/>
          <w:szCs w:val="18"/>
          <w:color w:val="auto"/>
        </w:rPr>
        <w:t>The Company also provides our non-employee directors the option to elect to defer the settlement of the vested shares subject to their RSU grants to be issued on the earliest of a fixed date in the future or the date of the non-employee director’s separation from service, and the date of a change in control of the Company.</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240"/>
          </w:cols>
          <w:pgMar w:left="320" w:top="871"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EF3A35"/>
        </w:rPr>
        <w:t>Director Compensation Table</w:t>
      </w:r>
    </w:p>
    <w:p>
      <w:pPr>
        <w:spacing w:after="0" w:line="117" w:lineRule="exact"/>
        <w:rPr>
          <w:sz w:val="20"/>
          <w:szCs w:val="20"/>
          <w:color w:val="auto"/>
        </w:rPr>
      </w:pPr>
    </w:p>
    <w:p>
      <w:pPr>
        <w:ind w:right="320" w:firstLine="324"/>
        <w:spacing w:after="0" w:line="268" w:lineRule="auto"/>
        <w:rPr>
          <w:sz w:val="20"/>
          <w:szCs w:val="20"/>
          <w:color w:val="auto"/>
        </w:rPr>
      </w:pPr>
      <w:r>
        <w:rPr>
          <w:rFonts w:ascii="Arial" w:cs="Arial" w:eastAsia="Arial" w:hAnsi="Arial"/>
          <w:sz w:val="18"/>
          <w:szCs w:val="18"/>
          <w:color w:val="auto"/>
        </w:rPr>
        <w:t>The following table provides information on the amount of compensation received by our non -employee directors for the year ended December 31, 2024. Information regarding the compensation of Mr. Oringer and Mr. Hennessy is set forth in the Summary Compensation Table included elsewhere in this Proxy Statement.</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2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4580" w:type="dxa"/>
            <w:vAlign w:val="bottom"/>
            <w:tcBorders>
              <w:bottom w:val="single" w:sz="8" w:color="auto"/>
            </w:tcBorders>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8"/>
              </w:rPr>
              <w:t>Fees Earned or Paid in Cash ($)</w:t>
            </w:r>
            <w:r>
              <w:rPr>
                <w:rFonts w:ascii="Times New Roman" w:cs="Times New Roman" w:eastAsia="Times New Roman" w:hAnsi="Times New Roman"/>
                <w:sz w:val="23"/>
                <w:szCs w:val="23"/>
                <w:b w:val="1"/>
                <w:bCs w:val="1"/>
                <w:color w:val="auto"/>
                <w:w w:val="98"/>
                <w:vertAlign w:val="superscript"/>
              </w:rPr>
              <w:t>(1)</w:t>
            </w:r>
          </w:p>
        </w:tc>
        <w:tc>
          <w:tcPr>
            <w:tcW w:w="2760" w:type="dxa"/>
            <w:vAlign w:val="bottom"/>
            <w:tcBorders>
              <w:bottom w:val="single" w:sz="8" w:color="auto"/>
            </w:tcBorders>
          </w:tcPr>
          <w:p>
            <w:pPr>
              <w:jc w:val="center"/>
              <w:ind w:left="370"/>
              <w:spacing w:after="0"/>
              <w:rPr>
                <w:sz w:val="20"/>
                <w:szCs w:val="20"/>
                <w:color w:val="auto"/>
              </w:rPr>
            </w:pPr>
            <w:r>
              <w:rPr>
                <w:rFonts w:ascii="Times New Roman" w:cs="Times New Roman" w:eastAsia="Times New Roman" w:hAnsi="Times New Roman"/>
                <w:sz w:val="18"/>
                <w:szCs w:val="18"/>
                <w:b w:val="1"/>
                <w:bCs w:val="1"/>
                <w:color w:val="auto"/>
                <w:w w:val="96"/>
              </w:rPr>
              <w:t>Stock Awards ($)</w:t>
            </w:r>
            <w:r>
              <w:rPr>
                <w:rFonts w:ascii="Times New Roman" w:cs="Times New Roman" w:eastAsia="Times New Roman" w:hAnsi="Times New Roman"/>
                <w:sz w:val="23"/>
                <w:szCs w:val="23"/>
                <w:b w:val="1"/>
                <w:bCs w:val="1"/>
                <w:color w:val="auto"/>
                <w:w w:val="96"/>
                <w:vertAlign w:val="superscript"/>
              </w:rPr>
              <w:t>(2)</w:t>
            </w:r>
          </w:p>
        </w:tc>
        <w:tc>
          <w:tcPr>
            <w:tcW w:w="1360" w:type="dxa"/>
            <w:vAlign w:val="bottom"/>
            <w:tcBorders>
              <w:bottom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Total ($)</w:t>
            </w:r>
          </w:p>
        </w:tc>
      </w:tr>
      <w:tr>
        <w:trPr>
          <w:trHeight w:val="263"/>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Deirdre Bigley</w:t>
            </w:r>
            <w:r>
              <w:rPr>
                <w:rFonts w:ascii="Times New Roman" w:cs="Times New Roman" w:eastAsia="Times New Roman" w:hAnsi="Times New Roman"/>
                <w:sz w:val="23"/>
                <w:szCs w:val="23"/>
                <w:color w:val="auto"/>
                <w:vertAlign w:val="superscript"/>
              </w:rPr>
              <w:t>(3)</w:t>
            </w:r>
          </w:p>
        </w:tc>
        <w:tc>
          <w:tcPr>
            <w:tcW w:w="4580" w:type="dxa"/>
            <w:vAlign w:val="bottom"/>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6"/>
              </w:rPr>
              <w:t>70,000</w:t>
            </w:r>
          </w:p>
        </w:tc>
        <w:tc>
          <w:tcPr>
            <w:tcW w:w="2760" w:type="dxa"/>
            <w:vAlign w:val="bottom"/>
            <w:shd w:val="clear" w:color="auto" w:fill="CCEEFF"/>
          </w:tcPr>
          <w:p>
            <w:pPr>
              <w:jc w:val="center"/>
              <w:ind w:left="370"/>
              <w:spacing w:after="0"/>
              <w:rPr>
                <w:sz w:val="20"/>
                <w:szCs w:val="20"/>
                <w:color w:val="auto"/>
              </w:rPr>
            </w:pPr>
            <w:r>
              <w:rPr>
                <w:rFonts w:ascii="Times New Roman" w:cs="Times New Roman" w:eastAsia="Times New Roman" w:hAnsi="Times New Roman"/>
                <w:sz w:val="18"/>
                <w:szCs w:val="18"/>
                <w:color w:val="auto"/>
                <w:w w:val="99"/>
              </w:rPr>
              <w:t>170,475</w:t>
            </w:r>
          </w:p>
        </w:tc>
        <w:tc>
          <w:tcPr>
            <w:tcW w:w="136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240,475</w:t>
            </w:r>
          </w:p>
        </w:tc>
      </w:tr>
      <w:tr>
        <w:trPr>
          <w:trHeight w:val="270"/>
        </w:trPr>
        <w:tc>
          <w:tcPr>
            <w:tcW w:w="2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Thomas R. Evans</w:t>
            </w:r>
            <w:r>
              <w:rPr>
                <w:rFonts w:ascii="Times New Roman" w:cs="Times New Roman" w:eastAsia="Times New Roman" w:hAnsi="Times New Roman"/>
                <w:sz w:val="23"/>
                <w:szCs w:val="23"/>
                <w:color w:val="auto"/>
                <w:vertAlign w:val="superscript"/>
              </w:rPr>
              <w:t>(4)</w:t>
            </w:r>
          </w:p>
        </w:tc>
        <w:tc>
          <w:tcPr>
            <w:tcW w:w="458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6"/>
              </w:rPr>
              <w:t>95,000</w:t>
            </w:r>
          </w:p>
        </w:tc>
        <w:tc>
          <w:tcPr>
            <w:tcW w:w="276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w w:val="99"/>
              </w:rPr>
              <w:t>170,475</w:t>
            </w:r>
          </w:p>
        </w:tc>
        <w:tc>
          <w:tcPr>
            <w:tcW w:w="136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265,475</w:t>
            </w:r>
          </w:p>
        </w:tc>
      </w:tr>
      <w:tr>
        <w:trPr>
          <w:trHeight w:val="270"/>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Rachna Bhasin</w:t>
            </w:r>
            <w:r>
              <w:rPr>
                <w:rFonts w:ascii="Times New Roman" w:cs="Times New Roman" w:eastAsia="Times New Roman" w:hAnsi="Times New Roman"/>
                <w:sz w:val="23"/>
                <w:szCs w:val="23"/>
                <w:color w:val="auto"/>
                <w:vertAlign w:val="superscript"/>
              </w:rPr>
              <w:t>(5)</w:t>
            </w:r>
          </w:p>
        </w:tc>
        <w:tc>
          <w:tcPr>
            <w:tcW w:w="4580" w:type="dxa"/>
            <w:vAlign w:val="bottom"/>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6"/>
              </w:rPr>
              <w:t>70,000</w:t>
            </w:r>
          </w:p>
        </w:tc>
        <w:tc>
          <w:tcPr>
            <w:tcW w:w="2760" w:type="dxa"/>
            <w:vAlign w:val="bottom"/>
            <w:shd w:val="clear" w:color="auto" w:fill="CCEEFF"/>
          </w:tcPr>
          <w:p>
            <w:pPr>
              <w:jc w:val="center"/>
              <w:ind w:left="370"/>
              <w:spacing w:after="0"/>
              <w:rPr>
                <w:sz w:val="20"/>
                <w:szCs w:val="20"/>
                <w:color w:val="auto"/>
              </w:rPr>
            </w:pPr>
            <w:r>
              <w:rPr>
                <w:rFonts w:ascii="Times New Roman" w:cs="Times New Roman" w:eastAsia="Times New Roman" w:hAnsi="Times New Roman"/>
                <w:sz w:val="18"/>
                <w:szCs w:val="18"/>
                <w:color w:val="auto"/>
                <w:w w:val="99"/>
              </w:rPr>
              <w:t>170,475</w:t>
            </w:r>
          </w:p>
        </w:tc>
        <w:tc>
          <w:tcPr>
            <w:tcW w:w="136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240,475</w:t>
            </w:r>
          </w:p>
        </w:tc>
      </w:tr>
      <w:tr>
        <w:trPr>
          <w:trHeight w:val="270"/>
        </w:trPr>
        <w:tc>
          <w:tcPr>
            <w:tcW w:w="2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Alfonse Upshaw</w:t>
            </w:r>
            <w:r>
              <w:rPr>
                <w:rFonts w:ascii="Times New Roman" w:cs="Times New Roman" w:eastAsia="Times New Roman" w:hAnsi="Times New Roman"/>
                <w:sz w:val="23"/>
                <w:szCs w:val="23"/>
                <w:color w:val="auto"/>
                <w:vertAlign w:val="superscript"/>
              </w:rPr>
              <w:t>(6)</w:t>
            </w:r>
          </w:p>
        </w:tc>
        <w:tc>
          <w:tcPr>
            <w:tcW w:w="458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6"/>
              </w:rPr>
              <w:t>70,000</w:t>
            </w:r>
          </w:p>
        </w:tc>
        <w:tc>
          <w:tcPr>
            <w:tcW w:w="276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w w:val="99"/>
              </w:rPr>
              <w:t>170,475</w:t>
            </w:r>
          </w:p>
        </w:tc>
        <w:tc>
          <w:tcPr>
            <w:tcW w:w="136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240,475</w:t>
            </w:r>
          </w:p>
        </w:tc>
      </w:tr>
      <w:tr>
        <w:trPr>
          <w:trHeight w:val="270"/>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Jaime Teevan</w:t>
            </w:r>
            <w:r>
              <w:rPr>
                <w:rFonts w:ascii="Times New Roman" w:cs="Times New Roman" w:eastAsia="Times New Roman" w:hAnsi="Times New Roman"/>
                <w:sz w:val="23"/>
                <w:szCs w:val="23"/>
                <w:color w:val="auto"/>
                <w:vertAlign w:val="superscript"/>
              </w:rPr>
              <w:t>(7)</w:t>
            </w:r>
          </w:p>
        </w:tc>
        <w:tc>
          <w:tcPr>
            <w:tcW w:w="4580" w:type="dxa"/>
            <w:vAlign w:val="bottom"/>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6"/>
              </w:rPr>
              <w:t>25,000</w:t>
            </w:r>
          </w:p>
        </w:tc>
        <w:tc>
          <w:tcPr>
            <w:tcW w:w="2760" w:type="dxa"/>
            <w:vAlign w:val="bottom"/>
            <w:shd w:val="clear" w:color="auto" w:fill="CCEEFF"/>
          </w:tcPr>
          <w:p>
            <w:pPr>
              <w:jc w:val="center"/>
              <w:ind w:left="370"/>
              <w:spacing w:after="0"/>
              <w:rPr>
                <w:sz w:val="20"/>
                <w:szCs w:val="20"/>
                <w:color w:val="auto"/>
              </w:rPr>
            </w:pPr>
            <w:r>
              <w:rPr>
                <w:rFonts w:ascii="Times New Roman" w:cs="Times New Roman" w:eastAsia="Times New Roman" w:hAnsi="Times New Roman"/>
                <w:sz w:val="18"/>
                <w:szCs w:val="18"/>
                <w:color w:val="auto"/>
                <w:w w:val="99"/>
              </w:rPr>
              <w:t>146,213</w:t>
            </w:r>
          </w:p>
        </w:tc>
        <w:tc>
          <w:tcPr>
            <w:tcW w:w="136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171,213</w:t>
            </w:r>
          </w:p>
        </w:tc>
      </w:tr>
    </w:tbl>
    <w:p>
      <w:pPr>
        <w:spacing w:after="0" w:line="200" w:lineRule="exact"/>
        <w:rPr>
          <w:sz w:val="20"/>
          <w:szCs w:val="20"/>
          <w:color w:val="auto"/>
        </w:rPr>
      </w:pPr>
    </w:p>
    <w:p>
      <w:pPr>
        <w:spacing w:after="0" w:line="232" w:lineRule="exact"/>
        <w:rPr>
          <w:sz w:val="20"/>
          <w:szCs w:val="20"/>
          <w:color w:val="auto"/>
        </w:rPr>
      </w:pPr>
    </w:p>
    <w:p>
      <w:pPr>
        <w:ind w:left="260" w:hanging="252"/>
        <w:spacing w:after="0" w:line="280" w:lineRule="auto"/>
        <w:tabs>
          <w:tab w:leader="none" w:pos="2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all fees earned or paid in cash for services as a director for the fiscal year ended December 31, 2024, including annual retainer fees, committee chair and membership fees, as applicable.</w:t>
      </w:r>
    </w:p>
    <w:p>
      <w:pPr>
        <w:spacing w:after="0" w:line="2" w:lineRule="exact"/>
        <w:rPr>
          <w:rFonts w:ascii="Times New Roman" w:cs="Times New Roman" w:eastAsia="Times New Roman" w:hAnsi="Times New Roman"/>
          <w:sz w:val="16"/>
          <w:szCs w:val="16"/>
          <w:color w:val="auto"/>
        </w:rPr>
      </w:pPr>
    </w:p>
    <w:p>
      <w:pPr>
        <w:jc w:val="both"/>
        <w:ind w:left="260" w:hanging="252"/>
        <w:spacing w:after="0" w:line="260" w:lineRule="auto"/>
        <w:tabs>
          <w:tab w:leader="none" w:pos="261"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represent the aggregate grant date fair value of stock awards computed in accordance with Financial Accounting Board Accounting Standards Codification Topic 718, “Compensation - Stock Compensation.” Stock awards reflect a grant of RSUs with a value of approximately $175,000 on the date of the 2024 Annual Meeting of Stockholders, with the number of shares determined in accordance with our director compensation policy by dividing $175,000 by the average of our closing price for a share of our Common Stock during the 30 trading-day period ending on the date immediately prior to the grant date, rounded down to the nearest whole number of shares. Grant date fair value was calculated using the closing price on the grant date of $39.48 per share, which was the closing price of our Common Stock on June 6, 2024 and $35.08 per share for Dr. Teevan.</w:t>
      </w:r>
    </w:p>
    <w:p>
      <w:pPr>
        <w:spacing w:after="0" w:line="32" w:lineRule="exact"/>
        <w:rPr>
          <w:rFonts w:ascii="Times New Roman" w:cs="Times New Roman" w:eastAsia="Times New Roman" w:hAnsi="Times New Roman"/>
          <w:sz w:val="16"/>
          <w:szCs w:val="16"/>
          <w:color w:val="auto"/>
        </w:rPr>
      </w:pPr>
    </w:p>
    <w:p>
      <w:pPr>
        <w:ind w:left="240" w:hanging="232"/>
        <w:spacing w:after="0"/>
        <w:tabs>
          <w:tab w:leader="none" w:pos="24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December 31, 2024, Ms. Bigley had 4,318 unvested RSUs.</w:t>
      </w:r>
    </w:p>
    <w:p>
      <w:pPr>
        <w:spacing w:after="0" w:line="59" w:lineRule="exact"/>
        <w:rPr>
          <w:rFonts w:ascii="Times New Roman" w:cs="Times New Roman" w:eastAsia="Times New Roman" w:hAnsi="Times New Roman"/>
          <w:sz w:val="16"/>
          <w:szCs w:val="16"/>
          <w:color w:val="auto"/>
        </w:rPr>
      </w:pPr>
    </w:p>
    <w:p>
      <w:pPr>
        <w:ind w:left="240" w:hanging="232"/>
        <w:spacing w:after="0"/>
        <w:tabs>
          <w:tab w:leader="none" w:pos="24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December 31, 2024, Mr. Evans had 4,318 unvested RSUs and 23,321 vested RSUs, the settlement of which has been deferred.</w:t>
      </w:r>
    </w:p>
    <w:p>
      <w:pPr>
        <w:spacing w:after="0" w:line="72" w:lineRule="exact"/>
        <w:rPr>
          <w:rFonts w:ascii="Times New Roman" w:cs="Times New Roman" w:eastAsia="Times New Roman" w:hAnsi="Times New Roman"/>
          <w:sz w:val="16"/>
          <w:szCs w:val="16"/>
          <w:color w:val="auto"/>
        </w:rPr>
      </w:pPr>
    </w:p>
    <w:p>
      <w:pPr>
        <w:ind w:left="240" w:hanging="232"/>
        <w:spacing w:after="0"/>
        <w:tabs>
          <w:tab w:leader="none" w:pos="24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December 31, 2024, Ms. Bhasin had 4,318 unvested RSUs and 3,539 vested RSUs, the settlement of which has been deferred.</w:t>
      </w:r>
    </w:p>
    <w:p>
      <w:pPr>
        <w:spacing w:after="0" w:line="59" w:lineRule="exact"/>
        <w:rPr>
          <w:rFonts w:ascii="Times New Roman" w:cs="Times New Roman" w:eastAsia="Times New Roman" w:hAnsi="Times New Roman"/>
          <w:sz w:val="16"/>
          <w:szCs w:val="16"/>
          <w:color w:val="auto"/>
        </w:rPr>
      </w:pPr>
    </w:p>
    <w:p>
      <w:pPr>
        <w:ind w:left="240" w:hanging="232"/>
        <w:spacing w:after="0"/>
        <w:tabs>
          <w:tab w:leader="none" w:pos="24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December 31, 2024, Mr. Upshaw had 4,318 unvested RSUs and 5,328 vested RSUs, the settlement of which has been deferred.</w:t>
      </w:r>
    </w:p>
    <w:p>
      <w:pPr>
        <w:spacing w:after="0" w:line="59" w:lineRule="exact"/>
        <w:rPr>
          <w:rFonts w:ascii="Times New Roman" w:cs="Times New Roman" w:eastAsia="Times New Roman" w:hAnsi="Times New Roman"/>
          <w:sz w:val="16"/>
          <w:szCs w:val="16"/>
          <w:color w:val="auto"/>
        </w:rPr>
      </w:pPr>
    </w:p>
    <w:p>
      <w:pPr>
        <w:ind w:left="240" w:hanging="232"/>
        <w:spacing w:after="0"/>
        <w:tabs>
          <w:tab w:leader="none" w:pos="24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December 31, 2024, Dr. Teevan had 4,168 unvested RSUs.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240"/>
          </w:cols>
          <w:pgMar w:left="320" w:top="877" w:right="339" w:bottom="1440" w:gutter="0" w:footer="0" w:header="0"/>
        </w:sectPr>
      </w:pPr>
    </w:p>
    <w:bookmarkStart w:id="21" w:name="page22"/>
    <w:bookmarkEnd w:id="21"/>
    <w:p>
      <w:pPr>
        <w:ind w:left="720"/>
        <w:spacing w:after="0"/>
        <w:rPr>
          <w:sz w:val="20"/>
          <w:szCs w:val="20"/>
          <w:color w:val="auto"/>
        </w:rPr>
      </w:pPr>
      <w:r>
        <w:rPr>
          <w:rFonts w:ascii="Arial" w:cs="Arial" w:eastAsia="Arial" w:hAnsi="Arial"/>
          <w:sz w:val="25"/>
          <w:szCs w:val="25"/>
          <w:b w:val="1"/>
          <w:bCs w:val="1"/>
          <w:color w:val="EF3A35"/>
        </w:rPr>
        <w:t>SECURITY OWNERSHIP OF CERTAIN BENEFICIAL OWNERS AND MANAGEMENT</w:t>
      </w:r>
    </w:p>
    <w:p>
      <w:pPr>
        <w:spacing w:after="0" w:line="123" w:lineRule="exact"/>
        <w:rPr>
          <w:sz w:val="20"/>
          <w:szCs w:val="20"/>
          <w:color w:val="auto"/>
        </w:rPr>
      </w:pPr>
    </w:p>
    <w:p>
      <w:pPr>
        <w:ind w:right="820" w:firstLine="324"/>
        <w:spacing w:after="0" w:line="287" w:lineRule="auto"/>
        <w:rPr>
          <w:sz w:val="20"/>
          <w:szCs w:val="20"/>
          <w:color w:val="auto"/>
        </w:rPr>
      </w:pPr>
      <w:r>
        <w:rPr>
          <w:rFonts w:ascii="Arial" w:cs="Arial" w:eastAsia="Arial" w:hAnsi="Arial"/>
          <w:sz w:val="18"/>
          <w:szCs w:val="18"/>
          <w:color w:val="auto"/>
        </w:rPr>
        <w:t>The following table sets forth information, as of November 1, 2025 or as of the dates referenced below, regarding the beneficial ownership of our Common Stock by:</w:t>
      </w:r>
    </w:p>
    <w:p>
      <w:pPr>
        <w:spacing w:after="0" w:line="99" w:lineRule="exact"/>
        <w:rPr>
          <w:sz w:val="20"/>
          <w:szCs w:val="20"/>
          <w:color w:val="auto"/>
        </w:rPr>
      </w:pPr>
    </w:p>
    <w:p>
      <w:pPr>
        <w:ind w:left="700" w:hanging="314"/>
        <w:spacing w:after="0"/>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each person known to us to own beneficially more than 5% of the outstanding shares of any class of our voting securities;</w:t>
      </w:r>
    </w:p>
    <w:p>
      <w:pPr>
        <w:spacing w:after="0" w:line="63" w:lineRule="exact"/>
        <w:rPr>
          <w:rFonts w:ascii="Arial" w:cs="Arial" w:eastAsia="Arial" w:hAnsi="Arial"/>
          <w:sz w:val="18"/>
          <w:szCs w:val="18"/>
          <w:color w:val="auto"/>
        </w:rPr>
      </w:pPr>
    </w:p>
    <w:p>
      <w:pPr>
        <w:ind w:left="700" w:hanging="314"/>
        <w:spacing w:after="0"/>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63" w:lineRule="exact"/>
        <w:rPr>
          <w:rFonts w:ascii="Arial" w:cs="Arial" w:eastAsia="Arial" w:hAnsi="Arial"/>
          <w:sz w:val="18"/>
          <w:szCs w:val="18"/>
          <w:color w:val="auto"/>
        </w:rPr>
      </w:pPr>
    </w:p>
    <w:p>
      <w:pPr>
        <w:ind w:left="700" w:hanging="314"/>
        <w:spacing w:after="0"/>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each of our named executive officers; and</w:t>
      </w:r>
    </w:p>
    <w:p>
      <w:pPr>
        <w:spacing w:after="0" w:line="63" w:lineRule="exact"/>
        <w:rPr>
          <w:rFonts w:ascii="Arial" w:cs="Arial" w:eastAsia="Arial" w:hAnsi="Arial"/>
          <w:sz w:val="18"/>
          <w:szCs w:val="18"/>
          <w:color w:val="auto"/>
        </w:rPr>
      </w:pPr>
    </w:p>
    <w:p>
      <w:pPr>
        <w:ind w:left="700" w:hanging="314"/>
        <w:spacing w:after="0"/>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all of our directors and current executive officers as a group.</w:t>
      </w:r>
    </w:p>
    <w:p>
      <w:pPr>
        <w:spacing w:after="0" w:line="239" w:lineRule="exact"/>
        <w:rPr>
          <w:sz w:val="20"/>
          <w:szCs w:val="20"/>
          <w:color w:val="auto"/>
        </w:rPr>
      </w:pPr>
    </w:p>
    <w:p>
      <w:pPr>
        <w:ind w:right="100" w:firstLine="324"/>
        <w:spacing w:after="0" w:line="245" w:lineRule="auto"/>
        <w:rPr>
          <w:sz w:val="20"/>
          <w:szCs w:val="20"/>
          <w:color w:val="auto"/>
        </w:rPr>
      </w:pPr>
      <w:r>
        <w:rPr>
          <w:rFonts w:ascii="Arial" w:cs="Arial" w:eastAsia="Arial" w:hAnsi="Arial"/>
          <w:sz w:val="18"/>
          <w:szCs w:val="18"/>
          <w:color w:val="auto"/>
        </w:rPr>
        <w:t>As of November 1, 2025, we had 35,513,216 shares of Common Stock outstanding. We computed the number of shares beneficially owned and the percentage of Common Stock represented by that ownership based on the SEC’s rules. Accordingly, ownership reflects shares over which a person has voting or investment power and includes shares that a person has the right to acquire by December 31, 2025 in connection with stock options or vesting of RSUs (not taking into account the withholding of shares of Common Stock to cover applicable taxes). Unless otherwise noted below, the address of each beneficial owner listed in the table below is c/o Shutterstock, Inc., 350 Fifth Avenue, 20</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Floor, New York, New York 10118. Except as indicated by the footnotes below, we believe, based on information furnished to us, that the persons and entities named in the table below have sole voting and investment power with respect to all shares of Common Stock that they beneficially own.</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59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0" w:type="dxa"/>
            <w:vAlign w:val="bottom"/>
            <w:tcBorders>
              <w:bottom w:val="single" w:sz="8" w:color="auto"/>
            </w:tcBorders>
          </w:tcPr>
          <w:p>
            <w:pPr>
              <w:spacing w:after="0"/>
              <w:rPr>
                <w:sz w:val="22"/>
                <w:szCs w:val="22"/>
                <w:color w:val="auto"/>
              </w:rPr>
            </w:pPr>
          </w:p>
        </w:tc>
        <w:tc>
          <w:tcPr>
            <w:tcW w:w="3620" w:type="dxa"/>
            <w:vAlign w:val="bottom"/>
            <w:tcBorders>
              <w:bottom w:val="single" w:sz="8" w:color="auto"/>
            </w:tcBorders>
            <w:gridSpan w:val="3"/>
          </w:tcPr>
          <w:p>
            <w:pPr>
              <w:ind w:left="60"/>
              <w:spacing w:after="0"/>
              <w:rPr>
                <w:sz w:val="20"/>
                <w:szCs w:val="20"/>
                <w:color w:val="auto"/>
              </w:rPr>
            </w:pPr>
            <w:r>
              <w:rPr>
                <w:rFonts w:ascii="Arial" w:cs="Arial" w:eastAsia="Arial" w:hAnsi="Arial"/>
                <w:sz w:val="18"/>
                <w:szCs w:val="18"/>
                <w:b w:val="1"/>
                <w:bCs w:val="1"/>
                <w:color w:val="auto"/>
              </w:rPr>
              <w:t>Shares Beneficially Owned</w:t>
            </w:r>
          </w:p>
        </w:tc>
      </w:tr>
      <w:tr>
        <w:trPr>
          <w:trHeight w:val="263"/>
        </w:trPr>
        <w:tc>
          <w:tcPr>
            <w:tcW w:w="59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Name of Beneficial Owner</w:t>
            </w:r>
          </w:p>
        </w:tc>
        <w:tc>
          <w:tcPr>
            <w:tcW w:w="480" w:type="dxa"/>
            <w:vAlign w:val="bottom"/>
          </w:tcPr>
          <w:p>
            <w:pPr>
              <w:spacing w:after="0"/>
              <w:rPr>
                <w:sz w:val="22"/>
                <w:szCs w:val="22"/>
                <w:color w:val="auto"/>
              </w:rPr>
            </w:pPr>
          </w:p>
        </w:tc>
        <w:tc>
          <w:tcPr>
            <w:tcW w:w="120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Number</w:t>
            </w:r>
          </w:p>
        </w:tc>
        <w:tc>
          <w:tcPr>
            <w:tcW w:w="220" w:type="dxa"/>
            <w:vAlign w:val="bottom"/>
            <w:tcBorders>
              <w:bottom w:val="single" w:sz="8" w:color="auto"/>
            </w:tcBorders>
          </w:tcPr>
          <w:p>
            <w:pPr>
              <w:spacing w:after="0"/>
              <w:rPr>
                <w:sz w:val="22"/>
                <w:szCs w:val="22"/>
                <w:color w:val="auto"/>
              </w:rPr>
            </w:pPr>
          </w:p>
        </w:tc>
        <w:tc>
          <w:tcPr>
            <w:tcW w:w="1900" w:type="dxa"/>
            <w:vAlign w:val="bottom"/>
          </w:tcPr>
          <w:p>
            <w:pPr>
              <w:spacing w:after="0"/>
              <w:rPr>
                <w:sz w:val="22"/>
                <w:szCs w:val="22"/>
                <w:color w:val="auto"/>
              </w:rPr>
            </w:pPr>
          </w:p>
        </w:tc>
        <w:tc>
          <w:tcPr>
            <w:tcW w:w="150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Percentage</w:t>
            </w:r>
          </w:p>
        </w:tc>
      </w:tr>
      <w:tr>
        <w:trPr>
          <w:trHeight w:val="255"/>
        </w:trPr>
        <w:tc>
          <w:tcPr>
            <w:tcW w:w="642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Named Executive Officers and Directors:</w:t>
            </w:r>
          </w:p>
        </w:tc>
        <w:tc>
          <w:tcPr>
            <w:tcW w:w="1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1500" w:type="dxa"/>
            <w:vAlign w:val="bottom"/>
          </w:tcPr>
          <w:p>
            <w:pPr>
              <w:spacing w:after="0"/>
              <w:rPr>
                <w:sz w:val="22"/>
                <w:szCs w:val="22"/>
                <w:color w:val="auto"/>
              </w:rPr>
            </w:pPr>
          </w:p>
        </w:tc>
      </w:tr>
      <w:tr>
        <w:trPr>
          <w:trHeight w:val="293"/>
        </w:trPr>
        <w:tc>
          <w:tcPr>
            <w:tcW w:w="6420" w:type="dxa"/>
            <w:vAlign w:val="bottom"/>
            <w:gridSpan w:val="2"/>
          </w:tcPr>
          <w:p>
            <w:pPr>
              <w:ind w:left="20"/>
              <w:spacing w:after="0"/>
              <w:rPr>
                <w:sz w:val="20"/>
                <w:szCs w:val="20"/>
                <w:color w:val="auto"/>
              </w:rPr>
            </w:pPr>
            <w:r>
              <w:rPr>
                <w:rFonts w:ascii="Arial" w:cs="Arial" w:eastAsia="Arial" w:hAnsi="Arial"/>
                <w:sz w:val="18"/>
                <w:szCs w:val="18"/>
                <w:color w:val="auto"/>
              </w:rPr>
              <w:t>Jonathan Oringer</w:t>
            </w:r>
            <w:r>
              <w:rPr>
                <w:rFonts w:ascii="Arial" w:cs="Arial" w:eastAsia="Arial" w:hAnsi="Arial"/>
                <w:sz w:val="23"/>
                <w:szCs w:val="23"/>
                <w:color w:val="auto"/>
                <w:vertAlign w:val="superscript"/>
              </w:rPr>
              <w:t>(1)</w:t>
            </w:r>
          </w:p>
        </w:tc>
        <w:tc>
          <w:tcPr>
            <w:tcW w:w="1200" w:type="dxa"/>
            <w:vAlign w:val="bottom"/>
          </w:tcPr>
          <w:p>
            <w:pPr>
              <w:jc w:val="center"/>
              <w:ind w:left="130"/>
              <w:spacing w:after="0"/>
              <w:rPr>
                <w:sz w:val="20"/>
                <w:szCs w:val="20"/>
                <w:color w:val="auto"/>
              </w:rPr>
            </w:pPr>
            <w:r>
              <w:rPr>
                <w:rFonts w:ascii="Arial" w:cs="Arial" w:eastAsia="Arial" w:hAnsi="Arial"/>
                <w:sz w:val="18"/>
                <w:szCs w:val="18"/>
                <w:color w:val="auto"/>
                <w:w w:val="99"/>
              </w:rPr>
              <w:t>11,095,597</w:t>
            </w:r>
          </w:p>
        </w:tc>
        <w:tc>
          <w:tcPr>
            <w:tcW w:w="3620" w:type="dxa"/>
            <w:vAlign w:val="bottom"/>
            <w:gridSpan w:val="3"/>
          </w:tcPr>
          <w:p>
            <w:pPr>
              <w:jc w:val="center"/>
              <w:ind w:left="2030"/>
              <w:spacing w:after="0"/>
              <w:rPr>
                <w:sz w:val="20"/>
                <w:szCs w:val="20"/>
                <w:color w:val="auto"/>
              </w:rPr>
            </w:pPr>
            <w:r>
              <w:rPr>
                <w:rFonts w:ascii="Arial" w:cs="Arial" w:eastAsia="Arial" w:hAnsi="Arial"/>
                <w:sz w:val="18"/>
                <w:szCs w:val="18"/>
                <w:color w:val="auto"/>
                <w:w w:val="97"/>
              </w:rPr>
              <w:t>31.0%</w:t>
            </w:r>
          </w:p>
        </w:tc>
      </w:tr>
      <w:tr>
        <w:trPr>
          <w:trHeight w:val="239"/>
        </w:trPr>
        <w:tc>
          <w:tcPr>
            <w:tcW w:w="6420" w:type="dxa"/>
            <w:vAlign w:val="bottom"/>
            <w:gridSpan w:val="2"/>
          </w:tcPr>
          <w:p>
            <w:pPr>
              <w:ind w:left="20"/>
              <w:spacing w:after="0"/>
              <w:rPr>
                <w:sz w:val="20"/>
                <w:szCs w:val="20"/>
                <w:color w:val="auto"/>
              </w:rPr>
            </w:pPr>
            <w:r>
              <w:rPr>
                <w:rFonts w:ascii="Arial" w:cs="Arial" w:eastAsia="Arial" w:hAnsi="Arial"/>
                <w:sz w:val="18"/>
                <w:szCs w:val="18"/>
                <w:color w:val="auto"/>
              </w:rPr>
              <w:t>Paul J. Hennessy</w:t>
            </w:r>
          </w:p>
        </w:tc>
        <w:tc>
          <w:tcPr>
            <w:tcW w:w="1200" w:type="dxa"/>
            <w:vAlign w:val="bottom"/>
          </w:tcPr>
          <w:p>
            <w:pPr>
              <w:jc w:val="center"/>
              <w:ind w:left="130"/>
              <w:spacing w:after="0"/>
              <w:rPr>
                <w:sz w:val="20"/>
                <w:szCs w:val="20"/>
                <w:color w:val="auto"/>
              </w:rPr>
            </w:pPr>
            <w:r>
              <w:rPr>
                <w:rFonts w:ascii="Arial" w:cs="Arial" w:eastAsia="Arial" w:hAnsi="Arial"/>
                <w:sz w:val="18"/>
                <w:szCs w:val="18"/>
                <w:color w:val="auto"/>
              </w:rPr>
              <w:t>312,333</w:t>
            </w:r>
          </w:p>
        </w:tc>
        <w:tc>
          <w:tcPr>
            <w:tcW w:w="3620" w:type="dxa"/>
            <w:vAlign w:val="bottom"/>
            <w:gridSpan w:val="3"/>
          </w:tcPr>
          <w:p>
            <w:pPr>
              <w:jc w:val="center"/>
              <w:ind w:left="2030"/>
              <w:spacing w:after="0"/>
              <w:rPr>
                <w:sz w:val="20"/>
                <w:szCs w:val="20"/>
                <w:color w:val="auto"/>
              </w:rPr>
            </w:pPr>
            <w:r>
              <w:rPr>
                <w:rFonts w:ascii="Arial" w:cs="Arial" w:eastAsia="Arial" w:hAnsi="Arial"/>
                <w:sz w:val="18"/>
                <w:szCs w:val="18"/>
                <w:color w:val="auto"/>
                <w:w w:val="84"/>
              </w:rPr>
              <w:t>*</w:t>
            </w:r>
          </w:p>
        </w:tc>
      </w:tr>
      <w:tr>
        <w:trPr>
          <w:trHeight w:val="299"/>
        </w:trPr>
        <w:tc>
          <w:tcPr>
            <w:tcW w:w="6420" w:type="dxa"/>
            <w:vAlign w:val="bottom"/>
            <w:gridSpan w:val="2"/>
          </w:tcPr>
          <w:p>
            <w:pPr>
              <w:ind w:left="20"/>
              <w:spacing w:after="0"/>
              <w:rPr>
                <w:sz w:val="20"/>
                <w:szCs w:val="20"/>
                <w:color w:val="auto"/>
              </w:rPr>
            </w:pPr>
            <w:r>
              <w:rPr>
                <w:rFonts w:ascii="Arial" w:cs="Arial" w:eastAsia="Arial" w:hAnsi="Arial"/>
                <w:sz w:val="18"/>
                <w:szCs w:val="18"/>
                <w:color w:val="auto"/>
              </w:rPr>
              <w:t>Jarrod Yahes</w:t>
            </w:r>
            <w:r>
              <w:rPr>
                <w:rFonts w:ascii="Arial" w:cs="Arial" w:eastAsia="Arial" w:hAnsi="Arial"/>
                <w:sz w:val="23"/>
                <w:szCs w:val="23"/>
                <w:color w:val="auto"/>
                <w:vertAlign w:val="superscript"/>
              </w:rPr>
              <w:t>(2)</w:t>
            </w:r>
          </w:p>
        </w:tc>
        <w:tc>
          <w:tcPr>
            <w:tcW w:w="1200" w:type="dxa"/>
            <w:vAlign w:val="bottom"/>
          </w:tcPr>
          <w:p>
            <w:pPr>
              <w:jc w:val="center"/>
              <w:ind w:left="130"/>
              <w:spacing w:after="0"/>
              <w:rPr>
                <w:sz w:val="20"/>
                <w:szCs w:val="20"/>
                <w:color w:val="auto"/>
              </w:rPr>
            </w:pPr>
            <w:r>
              <w:rPr>
                <w:rFonts w:ascii="Arial" w:cs="Arial" w:eastAsia="Arial" w:hAnsi="Arial"/>
                <w:sz w:val="18"/>
                <w:szCs w:val="18"/>
                <w:color w:val="auto"/>
                <w:w w:val="98"/>
              </w:rPr>
              <w:t>43,904</w:t>
            </w:r>
          </w:p>
        </w:tc>
        <w:tc>
          <w:tcPr>
            <w:tcW w:w="3620" w:type="dxa"/>
            <w:vAlign w:val="bottom"/>
            <w:gridSpan w:val="3"/>
          </w:tcPr>
          <w:p>
            <w:pPr>
              <w:jc w:val="center"/>
              <w:ind w:left="2030"/>
              <w:spacing w:after="0"/>
              <w:rPr>
                <w:sz w:val="20"/>
                <w:szCs w:val="20"/>
                <w:color w:val="auto"/>
              </w:rPr>
            </w:pPr>
            <w:r>
              <w:rPr>
                <w:rFonts w:ascii="Arial" w:cs="Arial" w:eastAsia="Arial" w:hAnsi="Arial"/>
                <w:sz w:val="18"/>
                <w:szCs w:val="18"/>
                <w:color w:val="auto"/>
                <w:w w:val="84"/>
              </w:rPr>
              <w:t>*</w:t>
            </w:r>
          </w:p>
        </w:tc>
      </w:tr>
      <w:tr>
        <w:trPr>
          <w:trHeight w:val="272"/>
        </w:trPr>
        <w:tc>
          <w:tcPr>
            <w:tcW w:w="6420" w:type="dxa"/>
            <w:vAlign w:val="bottom"/>
            <w:gridSpan w:val="2"/>
          </w:tcPr>
          <w:p>
            <w:pPr>
              <w:ind w:left="20"/>
              <w:spacing w:after="0"/>
              <w:rPr>
                <w:sz w:val="20"/>
                <w:szCs w:val="20"/>
                <w:color w:val="auto"/>
              </w:rPr>
            </w:pPr>
            <w:r>
              <w:rPr>
                <w:rFonts w:ascii="Arial" w:cs="Arial" w:eastAsia="Arial" w:hAnsi="Arial"/>
                <w:sz w:val="18"/>
                <w:szCs w:val="18"/>
                <w:color w:val="auto"/>
              </w:rPr>
              <w:t>John Caine</w:t>
            </w:r>
            <w:r>
              <w:rPr>
                <w:rFonts w:ascii="Arial" w:cs="Arial" w:eastAsia="Arial" w:hAnsi="Arial"/>
                <w:sz w:val="23"/>
                <w:szCs w:val="23"/>
                <w:color w:val="auto"/>
                <w:vertAlign w:val="superscript"/>
              </w:rPr>
              <w:t>(3)</w:t>
            </w:r>
          </w:p>
        </w:tc>
        <w:tc>
          <w:tcPr>
            <w:tcW w:w="1200" w:type="dxa"/>
            <w:vAlign w:val="bottom"/>
          </w:tcPr>
          <w:p>
            <w:pPr>
              <w:jc w:val="center"/>
              <w:ind w:left="130"/>
              <w:spacing w:after="0"/>
              <w:rPr>
                <w:sz w:val="20"/>
                <w:szCs w:val="20"/>
                <w:color w:val="auto"/>
              </w:rPr>
            </w:pPr>
            <w:r>
              <w:rPr>
                <w:rFonts w:ascii="Arial" w:cs="Arial" w:eastAsia="Arial" w:hAnsi="Arial"/>
                <w:sz w:val="18"/>
                <w:szCs w:val="18"/>
                <w:color w:val="auto"/>
              </w:rPr>
              <w:t>1,974</w:t>
            </w:r>
          </w:p>
        </w:tc>
        <w:tc>
          <w:tcPr>
            <w:tcW w:w="3620" w:type="dxa"/>
            <w:vAlign w:val="bottom"/>
            <w:gridSpan w:val="3"/>
          </w:tcPr>
          <w:p>
            <w:pPr>
              <w:jc w:val="center"/>
              <w:ind w:left="2030"/>
              <w:spacing w:after="0"/>
              <w:rPr>
                <w:sz w:val="20"/>
                <w:szCs w:val="20"/>
                <w:color w:val="auto"/>
              </w:rPr>
            </w:pPr>
            <w:r>
              <w:rPr>
                <w:rFonts w:ascii="Arial" w:cs="Arial" w:eastAsia="Arial" w:hAnsi="Arial"/>
                <w:sz w:val="18"/>
                <w:szCs w:val="18"/>
                <w:color w:val="auto"/>
                <w:w w:val="84"/>
              </w:rPr>
              <w:t>*</w:t>
            </w:r>
          </w:p>
        </w:tc>
      </w:tr>
      <w:tr>
        <w:trPr>
          <w:trHeight w:val="239"/>
        </w:trPr>
        <w:tc>
          <w:tcPr>
            <w:tcW w:w="6420" w:type="dxa"/>
            <w:vAlign w:val="bottom"/>
            <w:gridSpan w:val="2"/>
          </w:tcPr>
          <w:p>
            <w:pPr>
              <w:ind w:left="20"/>
              <w:spacing w:after="0"/>
              <w:rPr>
                <w:sz w:val="20"/>
                <w:szCs w:val="20"/>
                <w:color w:val="auto"/>
              </w:rPr>
            </w:pPr>
            <w:r>
              <w:rPr>
                <w:rFonts w:ascii="Arial" w:cs="Arial" w:eastAsia="Arial" w:hAnsi="Arial"/>
                <w:sz w:val="18"/>
                <w:szCs w:val="18"/>
                <w:color w:val="auto"/>
              </w:rPr>
              <w:t>Rik Powell</w:t>
            </w:r>
          </w:p>
        </w:tc>
        <w:tc>
          <w:tcPr>
            <w:tcW w:w="1200" w:type="dxa"/>
            <w:vAlign w:val="bottom"/>
          </w:tcPr>
          <w:p>
            <w:pPr>
              <w:jc w:val="center"/>
              <w:ind w:left="130"/>
              <w:spacing w:after="0"/>
              <w:rPr>
                <w:sz w:val="20"/>
                <w:szCs w:val="20"/>
                <w:color w:val="auto"/>
              </w:rPr>
            </w:pPr>
            <w:r>
              <w:rPr>
                <w:rFonts w:ascii="Arial" w:cs="Arial" w:eastAsia="Arial" w:hAnsi="Arial"/>
                <w:sz w:val="18"/>
                <w:szCs w:val="18"/>
                <w:color w:val="auto"/>
              </w:rPr>
              <w:t>3,502</w:t>
            </w:r>
          </w:p>
        </w:tc>
        <w:tc>
          <w:tcPr>
            <w:tcW w:w="3620" w:type="dxa"/>
            <w:vAlign w:val="bottom"/>
            <w:gridSpan w:val="3"/>
          </w:tcPr>
          <w:p>
            <w:pPr>
              <w:jc w:val="center"/>
              <w:ind w:left="2030"/>
              <w:spacing w:after="0"/>
              <w:rPr>
                <w:sz w:val="20"/>
                <w:szCs w:val="20"/>
                <w:color w:val="auto"/>
              </w:rPr>
            </w:pPr>
            <w:r>
              <w:rPr>
                <w:rFonts w:ascii="Arial" w:cs="Arial" w:eastAsia="Arial" w:hAnsi="Arial"/>
                <w:sz w:val="18"/>
                <w:szCs w:val="18"/>
                <w:color w:val="auto"/>
                <w:w w:val="84"/>
              </w:rPr>
              <w:t>*</w:t>
            </w:r>
          </w:p>
        </w:tc>
      </w:tr>
      <w:tr>
        <w:trPr>
          <w:trHeight w:val="270"/>
        </w:trPr>
        <w:tc>
          <w:tcPr>
            <w:tcW w:w="6420" w:type="dxa"/>
            <w:vAlign w:val="bottom"/>
            <w:gridSpan w:val="2"/>
          </w:tcPr>
          <w:p>
            <w:pPr>
              <w:ind w:left="20"/>
              <w:spacing w:after="0"/>
              <w:rPr>
                <w:sz w:val="20"/>
                <w:szCs w:val="20"/>
                <w:color w:val="auto"/>
              </w:rPr>
            </w:pPr>
            <w:r>
              <w:rPr>
                <w:rFonts w:ascii="Arial" w:cs="Arial" w:eastAsia="Arial" w:hAnsi="Arial"/>
                <w:sz w:val="18"/>
                <w:szCs w:val="18"/>
                <w:color w:val="auto"/>
              </w:rPr>
              <w:t>Deirdre Bigley</w:t>
            </w:r>
          </w:p>
        </w:tc>
        <w:tc>
          <w:tcPr>
            <w:tcW w:w="1200" w:type="dxa"/>
            <w:vAlign w:val="bottom"/>
          </w:tcPr>
          <w:p>
            <w:pPr>
              <w:jc w:val="center"/>
              <w:ind w:left="130"/>
              <w:spacing w:after="0"/>
              <w:rPr>
                <w:sz w:val="20"/>
                <w:szCs w:val="20"/>
                <w:color w:val="auto"/>
              </w:rPr>
            </w:pPr>
            <w:r>
              <w:rPr>
                <w:rFonts w:ascii="Arial" w:cs="Arial" w:eastAsia="Arial" w:hAnsi="Arial"/>
                <w:sz w:val="18"/>
                <w:szCs w:val="18"/>
                <w:color w:val="auto"/>
                <w:w w:val="98"/>
              </w:rPr>
              <w:t>18,882</w:t>
            </w:r>
          </w:p>
        </w:tc>
        <w:tc>
          <w:tcPr>
            <w:tcW w:w="3620" w:type="dxa"/>
            <w:vAlign w:val="bottom"/>
            <w:gridSpan w:val="3"/>
          </w:tcPr>
          <w:p>
            <w:pPr>
              <w:jc w:val="center"/>
              <w:ind w:left="2030"/>
              <w:spacing w:after="0"/>
              <w:rPr>
                <w:sz w:val="20"/>
                <w:szCs w:val="20"/>
                <w:color w:val="auto"/>
              </w:rPr>
            </w:pPr>
            <w:r>
              <w:rPr>
                <w:rFonts w:ascii="Arial" w:cs="Arial" w:eastAsia="Arial" w:hAnsi="Arial"/>
                <w:sz w:val="18"/>
                <w:szCs w:val="18"/>
                <w:color w:val="auto"/>
                <w:w w:val="84"/>
              </w:rPr>
              <w:t>*</w:t>
            </w:r>
          </w:p>
        </w:tc>
      </w:tr>
      <w:tr>
        <w:trPr>
          <w:trHeight w:val="270"/>
        </w:trPr>
        <w:tc>
          <w:tcPr>
            <w:tcW w:w="6420" w:type="dxa"/>
            <w:vAlign w:val="bottom"/>
            <w:gridSpan w:val="2"/>
          </w:tcPr>
          <w:p>
            <w:pPr>
              <w:ind w:left="20"/>
              <w:spacing w:after="0"/>
              <w:rPr>
                <w:sz w:val="20"/>
                <w:szCs w:val="20"/>
                <w:color w:val="auto"/>
              </w:rPr>
            </w:pPr>
            <w:r>
              <w:rPr>
                <w:rFonts w:ascii="Arial" w:cs="Arial" w:eastAsia="Arial" w:hAnsi="Arial"/>
                <w:sz w:val="18"/>
                <w:szCs w:val="18"/>
                <w:color w:val="auto"/>
              </w:rPr>
              <w:t>Rachna Bhasin</w:t>
            </w:r>
          </w:p>
        </w:tc>
        <w:tc>
          <w:tcPr>
            <w:tcW w:w="1200" w:type="dxa"/>
            <w:vAlign w:val="bottom"/>
          </w:tcPr>
          <w:p>
            <w:pPr>
              <w:jc w:val="center"/>
              <w:ind w:left="130"/>
              <w:spacing w:after="0"/>
              <w:rPr>
                <w:sz w:val="20"/>
                <w:szCs w:val="20"/>
                <w:color w:val="auto"/>
              </w:rPr>
            </w:pPr>
            <w:r>
              <w:rPr>
                <w:rFonts w:ascii="Arial" w:cs="Arial" w:eastAsia="Arial" w:hAnsi="Arial"/>
                <w:sz w:val="18"/>
                <w:szCs w:val="18"/>
                <w:color w:val="auto"/>
                <w:w w:val="98"/>
              </w:rPr>
              <w:t>22,721</w:t>
            </w:r>
          </w:p>
        </w:tc>
        <w:tc>
          <w:tcPr>
            <w:tcW w:w="3620" w:type="dxa"/>
            <w:vAlign w:val="bottom"/>
            <w:gridSpan w:val="3"/>
          </w:tcPr>
          <w:p>
            <w:pPr>
              <w:jc w:val="center"/>
              <w:ind w:left="2030"/>
              <w:spacing w:after="0"/>
              <w:rPr>
                <w:sz w:val="20"/>
                <w:szCs w:val="20"/>
                <w:color w:val="auto"/>
              </w:rPr>
            </w:pPr>
            <w:r>
              <w:rPr>
                <w:rFonts w:ascii="Arial" w:cs="Arial" w:eastAsia="Arial" w:hAnsi="Arial"/>
                <w:sz w:val="18"/>
                <w:szCs w:val="18"/>
                <w:color w:val="auto"/>
                <w:w w:val="84"/>
              </w:rPr>
              <w:t>*</w:t>
            </w:r>
          </w:p>
        </w:tc>
      </w:tr>
      <w:tr>
        <w:trPr>
          <w:trHeight w:val="301"/>
        </w:trPr>
        <w:tc>
          <w:tcPr>
            <w:tcW w:w="6420" w:type="dxa"/>
            <w:vAlign w:val="bottom"/>
            <w:gridSpan w:val="2"/>
          </w:tcPr>
          <w:p>
            <w:pPr>
              <w:ind w:left="20"/>
              <w:spacing w:after="0"/>
              <w:rPr>
                <w:sz w:val="20"/>
                <w:szCs w:val="20"/>
                <w:color w:val="auto"/>
              </w:rPr>
            </w:pPr>
            <w:r>
              <w:rPr>
                <w:rFonts w:ascii="Arial" w:cs="Arial" w:eastAsia="Arial" w:hAnsi="Arial"/>
                <w:sz w:val="18"/>
                <w:szCs w:val="18"/>
                <w:color w:val="auto"/>
              </w:rPr>
              <w:t>Thomas R. Evans</w:t>
            </w:r>
            <w:r>
              <w:rPr>
                <w:rFonts w:ascii="Arial" w:cs="Arial" w:eastAsia="Arial" w:hAnsi="Arial"/>
                <w:sz w:val="23"/>
                <w:szCs w:val="23"/>
                <w:color w:val="auto"/>
                <w:vertAlign w:val="superscript"/>
              </w:rPr>
              <w:t>(4)</w:t>
            </w:r>
          </w:p>
        </w:tc>
        <w:tc>
          <w:tcPr>
            <w:tcW w:w="1200" w:type="dxa"/>
            <w:vAlign w:val="bottom"/>
          </w:tcPr>
          <w:p>
            <w:pPr>
              <w:jc w:val="center"/>
              <w:ind w:left="130"/>
              <w:spacing w:after="0"/>
              <w:rPr>
                <w:sz w:val="20"/>
                <w:szCs w:val="20"/>
                <w:color w:val="auto"/>
              </w:rPr>
            </w:pPr>
            <w:r>
              <w:rPr>
                <w:rFonts w:ascii="Arial" w:cs="Arial" w:eastAsia="Arial" w:hAnsi="Arial"/>
                <w:sz w:val="18"/>
                <w:szCs w:val="18"/>
                <w:color w:val="auto"/>
                <w:w w:val="98"/>
              </w:rPr>
              <w:t>31,664</w:t>
            </w:r>
          </w:p>
        </w:tc>
        <w:tc>
          <w:tcPr>
            <w:tcW w:w="3620" w:type="dxa"/>
            <w:vAlign w:val="bottom"/>
            <w:gridSpan w:val="3"/>
          </w:tcPr>
          <w:p>
            <w:pPr>
              <w:jc w:val="center"/>
              <w:ind w:left="2030"/>
              <w:spacing w:after="0"/>
              <w:rPr>
                <w:sz w:val="20"/>
                <w:szCs w:val="20"/>
                <w:color w:val="auto"/>
              </w:rPr>
            </w:pPr>
            <w:r>
              <w:rPr>
                <w:rFonts w:ascii="Arial" w:cs="Arial" w:eastAsia="Arial" w:hAnsi="Arial"/>
                <w:sz w:val="18"/>
                <w:szCs w:val="18"/>
                <w:color w:val="auto"/>
                <w:w w:val="84"/>
              </w:rPr>
              <w:t>*</w:t>
            </w:r>
          </w:p>
        </w:tc>
      </w:tr>
      <w:tr>
        <w:trPr>
          <w:trHeight w:val="239"/>
        </w:trPr>
        <w:tc>
          <w:tcPr>
            <w:tcW w:w="6420" w:type="dxa"/>
            <w:vAlign w:val="bottom"/>
            <w:gridSpan w:val="2"/>
          </w:tcPr>
          <w:p>
            <w:pPr>
              <w:ind w:left="20"/>
              <w:spacing w:after="0"/>
              <w:rPr>
                <w:sz w:val="20"/>
                <w:szCs w:val="20"/>
                <w:color w:val="auto"/>
              </w:rPr>
            </w:pPr>
            <w:r>
              <w:rPr>
                <w:rFonts w:ascii="Arial" w:cs="Arial" w:eastAsia="Arial" w:hAnsi="Arial"/>
                <w:sz w:val="18"/>
                <w:szCs w:val="18"/>
                <w:color w:val="auto"/>
              </w:rPr>
              <w:t>Jaime Teevan</w:t>
            </w:r>
          </w:p>
        </w:tc>
        <w:tc>
          <w:tcPr>
            <w:tcW w:w="1200" w:type="dxa"/>
            <w:vAlign w:val="bottom"/>
          </w:tcPr>
          <w:p>
            <w:pPr>
              <w:jc w:val="center"/>
              <w:ind w:left="130"/>
              <w:spacing w:after="0"/>
              <w:rPr>
                <w:sz w:val="20"/>
                <w:szCs w:val="20"/>
                <w:color w:val="auto"/>
              </w:rPr>
            </w:pPr>
            <w:r>
              <w:rPr>
                <w:rFonts w:ascii="Arial" w:cs="Arial" w:eastAsia="Arial" w:hAnsi="Arial"/>
                <w:sz w:val="18"/>
                <w:szCs w:val="18"/>
                <w:color w:val="auto"/>
              </w:rPr>
              <w:t>4,168</w:t>
            </w:r>
          </w:p>
        </w:tc>
        <w:tc>
          <w:tcPr>
            <w:tcW w:w="3620" w:type="dxa"/>
            <w:vAlign w:val="bottom"/>
            <w:gridSpan w:val="3"/>
          </w:tcPr>
          <w:p>
            <w:pPr>
              <w:jc w:val="center"/>
              <w:ind w:left="2030"/>
              <w:spacing w:after="0"/>
              <w:rPr>
                <w:sz w:val="20"/>
                <w:szCs w:val="20"/>
                <w:color w:val="auto"/>
              </w:rPr>
            </w:pPr>
            <w:r>
              <w:rPr>
                <w:rFonts w:ascii="Arial" w:cs="Arial" w:eastAsia="Arial" w:hAnsi="Arial"/>
                <w:sz w:val="18"/>
                <w:szCs w:val="18"/>
                <w:color w:val="auto"/>
                <w:w w:val="84"/>
              </w:rPr>
              <w:t>*</w:t>
            </w:r>
          </w:p>
        </w:tc>
      </w:tr>
      <w:tr>
        <w:trPr>
          <w:trHeight w:val="299"/>
        </w:trPr>
        <w:tc>
          <w:tcPr>
            <w:tcW w:w="6420" w:type="dxa"/>
            <w:vAlign w:val="bottom"/>
            <w:gridSpan w:val="2"/>
          </w:tcPr>
          <w:p>
            <w:pPr>
              <w:ind w:left="20"/>
              <w:spacing w:after="0"/>
              <w:rPr>
                <w:sz w:val="20"/>
                <w:szCs w:val="20"/>
                <w:color w:val="auto"/>
              </w:rPr>
            </w:pPr>
            <w:r>
              <w:rPr>
                <w:rFonts w:ascii="Arial" w:cs="Arial" w:eastAsia="Arial" w:hAnsi="Arial"/>
                <w:sz w:val="18"/>
                <w:szCs w:val="18"/>
                <w:color w:val="auto"/>
              </w:rPr>
              <w:t>Alfonse Upshaw</w:t>
            </w:r>
            <w:r>
              <w:rPr>
                <w:rFonts w:ascii="Arial" w:cs="Arial" w:eastAsia="Arial" w:hAnsi="Arial"/>
                <w:sz w:val="23"/>
                <w:szCs w:val="23"/>
                <w:color w:val="auto"/>
                <w:vertAlign w:val="superscript"/>
              </w:rPr>
              <w:t>(5)</w:t>
            </w:r>
          </w:p>
        </w:tc>
        <w:tc>
          <w:tcPr>
            <w:tcW w:w="1200" w:type="dxa"/>
            <w:vAlign w:val="bottom"/>
          </w:tcPr>
          <w:p>
            <w:pPr>
              <w:jc w:val="center"/>
              <w:ind w:left="130"/>
              <w:spacing w:after="0"/>
              <w:rPr>
                <w:sz w:val="20"/>
                <w:szCs w:val="20"/>
                <w:color w:val="auto"/>
              </w:rPr>
            </w:pPr>
            <w:r>
              <w:rPr>
                <w:rFonts w:ascii="Arial" w:cs="Arial" w:eastAsia="Arial" w:hAnsi="Arial"/>
                <w:sz w:val="18"/>
                <w:szCs w:val="18"/>
                <w:color w:val="auto"/>
                <w:w w:val="98"/>
              </w:rPr>
              <w:t>10,633</w:t>
            </w:r>
          </w:p>
        </w:tc>
        <w:tc>
          <w:tcPr>
            <w:tcW w:w="3620" w:type="dxa"/>
            <w:vAlign w:val="bottom"/>
            <w:gridSpan w:val="3"/>
          </w:tcPr>
          <w:p>
            <w:pPr>
              <w:jc w:val="center"/>
              <w:ind w:left="2030"/>
              <w:spacing w:after="0"/>
              <w:rPr>
                <w:sz w:val="20"/>
                <w:szCs w:val="20"/>
                <w:color w:val="auto"/>
              </w:rPr>
            </w:pPr>
            <w:r>
              <w:rPr>
                <w:rFonts w:ascii="Arial" w:cs="Arial" w:eastAsia="Arial" w:hAnsi="Arial"/>
                <w:sz w:val="18"/>
                <w:szCs w:val="18"/>
                <w:color w:val="auto"/>
                <w:w w:val="84"/>
              </w:rPr>
              <w:t>*</w:t>
            </w:r>
          </w:p>
        </w:tc>
      </w:tr>
      <w:tr>
        <w:trPr>
          <w:trHeight w:val="274"/>
        </w:trPr>
        <w:tc>
          <w:tcPr>
            <w:tcW w:w="642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All executive officers and directors as a group (10 persons)</w:t>
            </w:r>
            <w:r>
              <w:rPr>
                <w:rFonts w:ascii="Arial" w:cs="Arial" w:eastAsia="Arial" w:hAnsi="Arial"/>
                <w:sz w:val="23"/>
                <w:szCs w:val="23"/>
                <w:b w:val="1"/>
                <w:bCs w:val="1"/>
                <w:i w:val="1"/>
                <w:iCs w:val="1"/>
                <w:color w:val="auto"/>
                <w:vertAlign w:val="superscript"/>
              </w:rPr>
              <w:t>(6)</w:t>
            </w:r>
          </w:p>
        </w:tc>
        <w:tc>
          <w:tcPr>
            <w:tcW w:w="1200" w:type="dxa"/>
            <w:vAlign w:val="bottom"/>
          </w:tcPr>
          <w:p>
            <w:pPr>
              <w:jc w:val="center"/>
              <w:ind w:left="130"/>
              <w:spacing w:after="0"/>
              <w:rPr>
                <w:sz w:val="20"/>
                <w:szCs w:val="20"/>
                <w:color w:val="auto"/>
              </w:rPr>
            </w:pPr>
            <w:r>
              <w:rPr>
                <w:rFonts w:ascii="Arial" w:cs="Arial" w:eastAsia="Arial" w:hAnsi="Arial"/>
                <w:sz w:val="18"/>
                <w:szCs w:val="18"/>
                <w:color w:val="auto"/>
                <w:w w:val="99"/>
              </w:rPr>
              <w:t>11,545,378</w:t>
            </w:r>
          </w:p>
        </w:tc>
        <w:tc>
          <w:tcPr>
            <w:tcW w:w="3620" w:type="dxa"/>
            <w:vAlign w:val="bottom"/>
            <w:gridSpan w:val="3"/>
          </w:tcPr>
          <w:p>
            <w:pPr>
              <w:jc w:val="center"/>
              <w:ind w:left="2030"/>
              <w:spacing w:after="0"/>
              <w:rPr>
                <w:sz w:val="20"/>
                <w:szCs w:val="20"/>
                <w:color w:val="auto"/>
              </w:rPr>
            </w:pPr>
            <w:r>
              <w:rPr>
                <w:rFonts w:ascii="Arial" w:cs="Arial" w:eastAsia="Arial" w:hAnsi="Arial"/>
                <w:sz w:val="18"/>
                <w:szCs w:val="18"/>
                <w:color w:val="auto"/>
                <w:w w:val="97"/>
              </w:rPr>
              <w:t>32.3%</w:t>
            </w:r>
          </w:p>
        </w:tc>
      </w:tr>
      <w:tr>
        <w:trPr>
          <w:trHeight w:val="245"/>
        </w:trPr>
        <w:tc>
          <w:tcPr>
            <w:tcW w:w="642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Other 5% Stockholders:</w:t>
            </w: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91"/>
        </w:trPr>
        <w:tc>
          <w:tcPr>
            <w:tcW w:w="6420" w:type="dxa"/>
            <w:vAlign w:val="bottom"/>
            <w:gridSpan w:val="2"/>
          </w:tcPr>
          <w:p>
            <w:pPr>
              <w:ind w:left="20"/>
              <w:spacing w:after="0"/>
              <w:rPr>
                <w:sz w:val="20"/>
                <w:szCs w:val="20"/>
                <w:color w:val="auto"/>
              </w:rPr>
            </w:pPr>
            <w:r>
              <w:rPr>
                <w:rFonts w:ascii="Arial" w:cs="Arial" w:eastAsia="Arial" w:hAnsi="Arial"/>
                <w:sz w:val="18"/>
                <w:szCs w:val="18"/>
                <w:color w:val="auto"/>
              </w:rPr>
              <w:t>Blackrock, Inc.</w:t>
            </w:r>
            <w:r>
              <w:rPr>
                <w:rFonts w:ascii="Arial" w:cs="Arial" w:eastAsia="Arial" w:hAnsi="Arial"/>
                <w:sz w:val="23"/>
                <w:szCs w:val="23"/>
                <w:color w:val="auto"/>
                <w:vertAlign w:val="superscript"/>
              </w:rPr>
              <w:t>(7)</w:t>
            </w:r>
          </w:p>
        </w:tc>
        <w:tc>
          <w:tcPr>
            <w:tcW w:w="1200" w:type="dxa"/>
            <w:vAlign w:val="bottom"/>
          </w:tcPr>
          <w:p>
            <w:pPr>
              <w:jc w:val="center"/>
              <w:ind w:left="110"/>
              <w:spacing w:after="0"/>
              <w:rPr>
                <w:sz w:val="20"/>
                <w:szCs w:val="20"/>
                <w:color w:val="auto"/>
              </w:rPr>
            </w:pPr>
            <w:r>
              <w:rPr>
                <w:rFonts w:ascii="Arial" w:cs="Arial" w:eastAsia="Arial" w:hAnsi="Arial"/>
                <w:sz w:val="18"/>
                <w:szCs w:val="18"/>
                <w:color w:val="auto"/>
                <w:w w:val="99"/>
              </w:rPr>
              <w:t>3,756,405</w:t>
            </w:r>
          </w:p>
        </w:tc>
        <w:tc>
          <w:tcPr>
            <w:tcW w:w="3620" w:type="dxa"/>
            <w:vAlign w:val="bottom"/>
            <w:gridSpan w:val="3"/>
          </w:tcPr>
          <w:p>
            <w:pPr>
              <w:jc w:val="center"/>
              <w:ind w:left="2030"/>
              <w:spacing w:after="0"/>
              <w:rPr>
                <w:sz w:val="20"/>
                <w:szCs w:val="20"/>
                <w:color w:val="auto"/>
              </w:rPr>
            </w:pPr>
            <w:r>
              <w:rPr>
                <w:rFonts w:ascii="Arial" w:cs="Arial" w:eastAsia="Arial" w:hAnsi="Arial"/>
                <w:sz w:val="18"/>
                <w:szCs w:val="18"/>
                <w:color w:val="auto"/>
                <w:w w:val="97"/>
              </w:rPr>
              <w:t>10.6%</w:t>
            </w:r>
          </w:p>
        </w:tc>
      </w:tr>
      <w:tr>
        <w:trPr>
          <w:trHeight w:val="296"/>
        </w:trPr>
        <w:tc>
          <w:tcPr>
            <w:tcW w:w="6420" w:type="dxa"/>
            <w:vAlign w:val="bottom"/>
            <w:gridSpan w:val="2"/>
          </w:tcPr>
          <w:p>
            <w:pPr>
              <w:ind w:left="20"/>
              <w:spacing w:after="0"/>
              <w:rPr>
                <w:sz w:val="20"/>
                <w:szCs w:val="20"/>
                <w:color w:val="auto"/>
              </w:rPr>
            </w:pPr>
            <w:r>
              <w:rPr>
                <w:rFonts w:ascii="Arial" w:cs="Arial" w:eastAsia="Arial" w:hAnsi="Arial"/>
                <w:sz w:val="18"/>
                <w:szCs w:val="18"/>
                <w:color w:val="auto"/>
              </w:rPr>
              <w:t>The Vanguard Group</w:t>
            </w:r>
            <w:r>
              <w:rPr>
                <w:rFonts w:ascii="Arial" w:cs="Arial" w:eastAsia="Arial" w:hAnsi="Arial"/>
                <w:sz w:val="23"/>
                <w:szCs w:val="23"/>
                <w:color w:val="auto"/>
                <w:vertAlign w:val="superscript"/>
              </w:rPr>
              <w:t>(8)</w:t>
            </w:r>
          </w:p>
        </w:tc>
        <w:tc>
          <w:tcPr>
            <w:tcW w:w="1200" w:type="dxa"/>
            <w:vAlign w:val="bottom"/>
          </w:tcPr>
          <w:p>
            <w:pPr>
              <w:jc w:val="center"/>
              <w:ind w:left="110"/>
              <w:spacing w:after="0"/>
              <w:rPr>
                <w:sz w:val="20"/>
                <w:szCs w:val="20"/>
                <w:color w:val="auto"/>
              </w:rPr>
            </w:pPr>
            <w:r>
              <w:rPr>
                <w:rFonts w:ascii="Arial" w:cs="Arial" w:eastAsia="Arial" w:hAnsi="Arial"/>
                <w:sz w:val="18"/>
                <w:szCs w:val="18"/>
                <w:color w:val="auto"/>
                <w:w w:val="99"/>
              </w:rPr>
              <w:t>2,346,459</w:t>
            </w:r>
          </w:p>
        </w:tc>
        <w:tc>
          <w:tcPr>
            <w:tcW w:w="3620" w:type="dxa"/>
            <w:vAlign w:val="bottom"/>
            <w:gridSpan w:val="3"/>
          </w:tcPr>
          <w:p>
            <w:pPr>
              <w:jc w:val="center"/>
              <w:ind w:left="2030"/>
              <w:spacing w:after="0"/>
              <w:rPr>
                <w:sz w:val="20"/>
                <w:szCs w:val="20"/>
                <w:color w:val="auto"/>
              </w:rPr>
            </w:pPr>
            <w:r>
              <w:rPr>
                <w:rFonts w:ascii="Arial" w:cs="Arial" w:eastAsia="Arial" w:hAnsi="Arial"/>
                <w:sz w:val="18"/>
                <w:szCs w:val="18"/>
                <w:color w:val="auto"/>
              </w:rPr>
              <w:t>6.6%</w:t>
            </w:r>
          </w:p>
        </w:tc>
      </w:tr>
    </w:tbl>
    <w:p>
      <w:pPr>
        <w:ind w:left="20"/>
        <w:spacing w:after="0"/>
        <w:rPr>
          <w:sz w:val="20"/>
          <w:szCs w:val="20"/>
          <w:color w:val="auto"/>
        </w:rPr>
      </w:pPr>
      <w:r>
        <w:rPr>
          <w:rFonts w:ascii="Arial" w:cs="Arial" w:eastAsia="Arial" w:hAnsi="Arial"/>
          <w:sz w:val="14"/>
          <w:szCs w:val="14"/>
          <w:color w:val="auto"/>
        </w:rPr>
        <w:t>* Represents beneficial ownership of less than 1%.</w:t>
      </w:r>
    </w:p>
    <w:p>
      <w:pPr>
        <w:spacing w:after="0" w:line="271" w:lineRule="exact"/>
        <w:rPr>
          <w:sz w:val="20"/>
          <w:szCs w:val="20"/>
          <w:color w:val="auto"/>
        </w:rPr>
      </w:pPr>
    </w:p>
    <w:p>
      <w:pPr>
        <w:ind w:left="300" w:hanging="274"/>
        <w:spacing w:after="0"/>
        <w:tabs>
          <w:tab w:leader="none" w:pos="3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10,831,855 shares of Common Stock and 263,742 shares issuable upon exercise of outstanding options exercisable at or within 60 days of November 1, 2025.</w:t>
      </w:r>
    </w:p>
    <w:p>
      <w:pPr>
        <w:spacing w:after="0" w:line="68" w:lineRule="exact"/>
        <w:rPr>
          <w:rFonts w:ascii="Times New Roman" w:cs="Times New Roman" w:eastAsia="Times New Roman" w:hAnsi="Times New Roman"/>
          <w:sz w:val="14"/>
          <w:szCs w:val="14"/>
          <w:color w:val="auto"/>
        </w:rPr>
      </w:pPr>
    </w:p>
    <w:p>
      <w:pPr>
        <w:ind w:left="300" w:hanging="274"/>
        <w:spacing w:after="0"/>
        <w:tabs>
          <w:tab w:leader="none" w:pos="3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Yahes resigned as Chief Financial Officer effective November 1, 2024. His information comes from his final Form 4 filing on May 28, 2024.</w:t>
      </w:r>
    </w:p>
    <w:p>
      <w:pPr>
        <w:spacing w:after="0" w:line="68" w:lineRule="exact"/>
        <w:rPr>
          <w:rFonts w:ascii="Times New Roman" w:cs="Times New Roman" w:eastAsia="Times New Roman" w:hAnsi="Times New Roman"/>
          <w:sz w:val="14"/>
          <w:szCs w:val="14"/>
          <w:color w:val="auto"/>
        </w:rPr>
      </w:pPr>
    </w:p>
    <w:p>
      <w:pPr>
        <w:ind w:left="300" w:hanging="274"/>
        <w:spacing w:after="0"/>
        <w:tabs>
          <w:tab w:leader="none" w:pos="3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Caine’s employment as Chief Product and Digital Officer ended effective August 23, 2024. His information comes from his final Form 4 filing on May 2, 2024.</w:t>
      </w:r>
    </w:p>
    <w:p>
      <w:pPr>
        <w:spacing w:after="0" w:line="68" w:lineRule="exact"/>
        <w:rPr>
          <w:rFonts w:ascii="Times New Roman" w:cs="Times New Roman" w:eastAsia="Times New Roman" w:hAnsi="Times New Roman"/>
          <w:sz w:val="14"/>
          <w:szCs w:val="14"/>
          <w:color w:val="auto"/>
        </w:rPr>
      </w:pPr>
    </w:p>
    <w:p>
      <w:pPr>
        <w:ind w:left="300" w:hanging="274"/>
        <w:spacing w:after="0"/>
        <w:tabs>
          <w:tab w:leader="none" w:pos="3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29,409 shares of Common Stock and 2,255 shares issuable upon the vesting of RSUs at or within 60 days of November 1, 2025.</w:t>
      </w:r>
    </w:p>
    <w:p>
      <w:pPr>
        <w:spacing w:after="0" w:line="68" w:lineRule="exact"/>
        <w:rPr>
          <w:rFonts w:ascii="Times New Roman" w:cs="Times New Roman" w:eastAsia="Times New Roman" w:hAnsi="Times New Roman"/>
          <w:sz w:val="14"/>
          <w:szCs w:val="14"/>
          <w:color w:val="auto"/>
        </w:rPr>
      </w:pPr>
    </w:p>
    <w:p>
      <w:pPr>
        <w:ind w:left="300" w:hanging="274"/>
        <w:spacing w:after="0"/>
        <w:tabs>
          <w:tab w:leader="none" w:pos="3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2,781 shares of Common Stock and 7,852 shares issuable upon the vesting of RSUs at or within 60 days of November 1, 2025.</w:t>
      </w:r>
    </w:p>
    <w:p>
      <w:pPr>
        <w:spacing w:after="0" w:line="122" w:lineRule="exact"/>
        <w:rPr>
          <w:rFonts w:ascii="Times New Roman" w:cs="Times New Roman" w:eastAsia="Times New Roman" w:hAnsi="Times New Roman"/>
          <w:sz w:val="14"/>
          <w:szCs w:val="14"/>
          <w:color w:val="auto"/>
        </w:rPr>
      </w:pPr>
    </w:p>
    <w:p>
      <w:pPr>
        <w:ind w:left="300" w:right="400" w:hanging="274"/>
        <w:spacing w:after="0" w:line="180" w:lineRule="auto"/>
        <w:tabs>
          <w:tab w:leader="none" w:pos="300" w:val="left"/>
        </w:tabs>
        <w:numPr>
          <w:ilvl w:val="0"/>
          <w:numId w:val="13"/>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4"/>
          <w:szCs w:val="14"/>
          <w:color w:val="auto"/>
        </w:rPr>
        <w:t>Includes 263,742 shares issuable upon exercise of outstanding options exercisable at or within 60 days of November 1, 2025 and 10,107 shares issuable upon the vesting of RSUs at or within 60 days of November 1, 2025.</w:t>
      </w:r>
    </w:p>
    <w:p>
      <w:pPr>
        <w:spacing w:after="0" w:line="96" w:lineRule="exact"/>
        <w:rPr>
          <w:rFonts w:ascii="Times New Roman" w:cs="Times New Roman" w:eastAsia="Times New Roman" w:hAnsi="Times New Roman"/>
          <w:sz w:val="28"/>
          <w:szCs w:val="28"/>
          <w:color w:val="auto"/>
          <w:vertAlign w:val="superscript"/>
        </w:rPr>
      </w:pPr>
    </w:p>
    <w:p>
      <w:pPr>
        <w:ind w:left="300" w:right="260" w:hanging="274"/>
        <w:spacing w:after="0" w:line="192" w:lineRule="auto"/>
        <w:tabs>
          <w:tab w:leader="none" w:pos="300" w:val="left"/>
        </w:tabs>
        <w:numPr>
          <w:ilvl w:val="0"/>
          <w:numId w:val="13"/>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4"/>
          <w:szCs w:val="14"/>
          <w:color w:val="auto"/>
        </w:rPr>
        <w:t>This information is based solely on a Schedule 13G/A filed by Blackrock, Inc. (“</w:t>
      </w:r>
      <w:r>
        <w:rPr>
          <w:rFonts w:ascii="Times New Roman" w:cs="Times New Roman" w:eastAsia="Times New Roman" w:hAnsi="Times New Roman"/>
          <w:sz w:val="14"/>
          <w:szCs w:val="14"/>
          <w:u w:val="single" w:color="auto"/>
          <w:color w:val="auto"/>
        </w:rPr>
        <w:t>Blackrock</w:t>
      </w:r>
      <w:r>
        <w:rPr>
          <w:rFonts w:ascii="Times New Roman" w:cs="Times New Roman" w:eastAsia="Times New Roman" w:hAnsi="Times New Roman"/>
          <w:sz w:val="14"/>
          <w:szCs w:val="14"/>
          <w:color w:val="auto"/>
        </w:rPr>
        <w:t>”) with the SEC on April 29, 2025, which reported ownership as of March 31, 2025. Of the 3,756,405 shares of our Common Stock deemed beneficially owned, Blackrock reported sole voting power as to 3,711,917 shares, shared voting power as to 0 shares and sole dispositive power as to all shares beneficially owned. The address of Blackrock is 50 Hudson Yards, New York, New York 10001.</w:t>
      </w:r>
    </w:p>
    <w:p>
      <w:pPr>
        <w:spacing w:after="0" w:line="96" w:lineRule="exact"/>
        <w:rPr>
          <w:rFonts w:ascii="Times New Roman" w:cs="Times New Roman" w:eastAsia="Times New Roman" w:hAnsi="Times New Roman"/>
          <w:sz w:val="29"/>
          <w:szCs w:val="29"/>
          <w:color w:val="auto"/>
          <w:vertAlign w:val="superscript"/>
        </w:rPr>
      </w:pPr>
    </w:p>
    <w:p>
      <w:pPr>
        <w:ind w:left="300" w:right="140" w:hanging="274"/>
        <w:spacing w:after="0" w:line="192" w:lineRule="auto"/>
        <w:tabs>
          <w:tab w:leader="none" w:pos="300" w:val="left"/>
        </w:tabs>
        <w:numPr>
          <w:ilvl w:val="0"/>
          <w:numId w:val="13"/>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4"/>
          <w:szCs w:val="14"/>
          <w:color w:val="auto"/>
        </w:rPr>
        <w:t>This information is based solely on a Schedule 13G/A filed by The Vanguard Group (“</w:t>
      </w:r>
      <w:r>
        <w:rPr>
          <w:rFonts w:ascii="Times New Roman" w:cs="Times New Roman" w:eastAsia="Times New Roman" w:hAnsi="Times New Roman"/>
          <w:sz w:val="14"/>
          <w:szCs w:val="14"/>
          <w:u w:val="single" w:color="auto"/>
          <w:color w:val="auto"/>
        </w:rPr>
        <w:t>Vanguard</w:t>
      </w:r>
      <w:r>
        <w:rPr>
          <w:rFonts w:ascii="Times New Roman" w:cs="Times New Roman" w:eastAsia="Times New Roman" w:hAnsi="Times New Roman"/>
          <w:sz w:val="14"/>
          <w:szCs w:val="14"/>
          <w:color w:val="auto"/>
        </w:rPr>
        <w:t>”) with the SEC on July 29, 2025, which reported ownership as of June 30, 2025. Of the 2,346,459 shares of our Common Stock deemed beneficially owned, Vanguard reported sole voting power as to 0 shares, shared voting power as to 15,364 shares, sole dispositive power as to 2,302,315 shares and shared dispositive power as to 44,144 shares. The address of Vanguard is 100 Vanguard Blvd., Malvern, Pennsylvania 19355.</w:t>
      </w:r>
    </w:p>
    <w:p>
      <w:pPr>
        <w:sectPr>
          <w:pgSz w:w="11900" w:h="16838" w:orient="portrait"/>
          <w:cols w:equalWidth="0" w:num="1">
            <w:col w:w="11240"/>
          </w:cols>
          <w:pgMar w:left="320" w:top="87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240"/>
          </w:cols>
          <w:pgMar w:left="320" w:top="871" w:right="339" w:bottom="1440" w:gutter="0" w:footer="0" w:header="0"/>
          <w:type w:val="continuous"/>
        </w:sectPr>
      </w:pPr>
    </w:p>
    <w:bookmarkStart w:id="22" w:name="page23"/>
    <w:bookmarkEnd w:id="22"/>
    <w:p>
      <w:pPr>
        <w:jc w:val="center"/>
        <w:ind w:right="-19"/>
        <w:spacing w:after="0"/>
        <w:rPr>
          <w:sz w:val="20"/>
          <w:szCs w:val="20"/>
          <w:color w:val="auto"/>
        </w:rPr>
      </w:pPr>
      <w:r>
        <w:rPr>
          <w:rFonts w:ascii="Arial" w:cs="Arial" w:eastAsia="Arial" w:hAnsi="Arial"/>
          <w:sz w:val="25"/>
          <w:szCs w:val="25"/>
          <w:b w:val="1"/>
          <w:bCs w:val="1"/>
          <w:color w:val="EF3A35"/>
        </w:rPr>
        <w:t>PROPOSAL TWO:</w:t>
      </w:r>
    </w:p>
    <w:p>
      <w:pPr>
        <w:spacing w:after="0" w:line="36" w:lineRule="exact"/>
        <w:rPr>
          <w:sz w:val="20"/>
          <w:szCs w:val="20"/>
          <w:color w:val="auto"/>
        </w:rPr>
      </w:pPr>
    </w:p>
    <w:p>
      <w:pPr>
        <w:jc w:val="center"/>
        <w:ind w:left="340" w:right="600"/>
        <w:spacing w:after="0" w:line="288" w:lineRule="auto"/>
        <w:rPr>
          <w:sz w:val="20"/>
          <w:szCs w:val="20"/>
          <w:color w:val="auto"/>
        </w:rPr>
      </w:pPr>
      <w:r>
        <w:rPr>
          <w:rFonts w:ascii="Arial" w:cs="Arial" w:eastAsia="Arial" w:hAnsi="Arial"/>
          <w:sz w:val="25"/>
          <w:szCs w:val="25"/>
          <w:b w:val="1"/>
          <w:bCs w:val="1"/>
          <w:color w:val="EF3A35"/>
        </w:rPr>
        <w:t>ADVISORY VOTE TO APPROVE THE COMPENSATION OF OUR NAMED EXECUTIVE OFFICERS</w:t>
      </w:r>
    </w:p>
    <w:p>
      <w:pPr>
        <w:spacing w:after="0" w:line="5" w:lineRule="exact"/>
        <w:rPr>
          <w:sz w:val="20"/>
          <w:szCs w:val="20"/>
          <w:color w:val="auto"/>
        </w:rPr>
      </w:pPr>
    </w:p>
    <w:p>
      <w:pPr>
        <w:jc w:val="both"/>
        <w:ind w:right="560" w:firstLine="324"/>
        <w:spacing w:after="0" w:line="268" w:lineRule="auto"/>
        <w:rPr>
          <w:sz w:val="20"/>
          <w:szCs w:val="20"/>
          <w:color w:val="auto"/>
        </w:rPr>
      </w:pPr>
      <w:r>
        <w:rPr>
          <w:rFonts w:ascii="Arial" w:cs="Arial" w:eastAsia="Arial" w:hAnsi="Arial"/>
          <w:sz w:val="18"/>
          <w:szCs w:val="18"/>
          <w:color w:val="auto"/>
        </w:rPr>
        <w:t>As required pursuant to Section 14A of the Exchange Act, the Board is asking you to approve, on an advisory basis, the executive compensation programs and policies and the resulting compensation of the named executive officers (“</w:t>
      </w:r>
      <w:r>
        <w:rPr>
          <w:rFonts w:ascii="Arial" w:cs="Arial" w:eastAsia="Arial" w:hAnsi="Arial"/>
          <w:sz w:val="18"/>
          <w:szCs w:val="18"/>
          <w:u w:val="single" w:color="auto"/>
          <w:color w:val="auto"/>
        </w:rPr>
        <w:t>NEOs</w:t>
      </w:r>
      <w:r>
        <w:rPr>
          <w:rFonts w:ascii="Arial" w:cs="Arial" w:eastAsia="Arial" w:hAnsi="Arial"/>
          <w:sz w:val="18"/>
          <w:szCs w:val="18"/>
          <w:color w:val="auto"/>
        </w:rPr>
        <w:t>”) listed in the Summary Compensation Table as described in this Proxy Statement.</w:t>
      </w:r>
    </w:p>
    <w:p>
      <w:pPr>
        <w:spacing w:after="0" w:line="63" w:lineRule="exact"/>
        <w:rPr>
          <w:sz w:val="20"/>
          <w:szCs w:val="20"/>
          <w:color w:val="auto"/>
        </w:rPr>
      </w:pPr>
    </w:p>
    <w:p>
      <w:pPr>
        <w:jc w:val="both"/>
        <w:ind w:right="20" w:firstLine="324"/>
        <w:spacing w:after="0" w:line="268" w:lineRule="auto"/>
        <w:rPr>
          <w:sz w:val="20"/>
          <w:szCs w:val="20"/>
          <w:color w:val="auto"/>
        </w:rPr>
      </w:pPr>
      <w:r>
        <w:rPr>
          <w:rFonts w:ascii="Arial" w:cs="Arial" w:eastAsia="Arial" w:hAnsi="Arial"/>
          <w:sz w:val="18"/>
          <w:szCs w:val="18"/>
          <w:color w:val="auto"/>
        </w:rPr>
        <w:t>Because the vote is advisory, the result will not be binding on the Compensation Committee or the Company and it will not affect, limit or augment any existing compensation or awards. The Compensation Committee will, however, take into account the outcome of the vote when considering future compensation arrangements.</w:t>
      </w:r>
    </w:p>
    <w:p>
      <w:pPr>
        <w:spacing w:after="0" w:line="63" w:lineRule="exact"/>
        <w:rPr>
          <w:sz w:val="20"/>
          <w:szCs w:val="20"/>
          <w:color w:val="auto"/>
        </w:rPr>
      </w:pPr>
    </w:p>
    <w:p>
      <w:pPr>
        <w:ind w:right="360" w:firstLine="324"/>
        <w:spacing w:after="0" w:line="287" w:lineRule="auto"/>
        <w:rPr>
          <w:sz w:val="20"/>
          <w:szCs w:val="20"/>
          <w:color w:val="auto"/>
        </w:rPr>
      </w:pPr>
      <w:r>
        <w:rPr>
          <w:rFonts w:ascii="Arial" w:cs="Arial" w:eastAsia="Arial" w:hAnsi="Arial"/>
          <w:sz w:val="18"/>
          <w:szCs w:val="18"/>
          <w:color w:val="auto"/>
        </w:rPr>
        <w:t>The affirmative “FOR” vote of a majority of the shares present and entitled to vote at the 2025 Annual Meeting, either represented by proxy or by attending the meeting, is required to approve, on an advisory basis, the compensation of our NEOs.</w:t>
      </w:r>
    </w:p>
    <w:p>
      <w:pPr>
        <w:spacing w:after="0" w:line="45" w:lineRule="exact"/>
        <w:rPr>
          <w:sz w:val="20"/>
          <w:szCs w:val="20"/>
          <w:color w:val="auto"/>
        </w:rPr>
      </w:pPr>
    </w:p>
    <w:p>
      <w:pPr>
        <w:ind w:right="160" w:firstLine="324"/>
        <w:spacing w:after="0" w:line="287" w:lineRule="auto"/>
        <w:rPr>
          <w:sz w:val="20"/>
          <w:szCs w:val="20"/>
          <w:color w:val="auto"/>
        </w:rPr>
      </w:pPr>
      <w:r>
        <w:rPr>
          <w:rFonts w:ascii="Arial" w:cs="Arial" w:eastAsia="Arial" w:hAnsi="Arial"/>
          <w:sz w:val="18"/>
          <w:szCs w:val="18"/>
          <w:color w:val="auto"/>
        </w:rPr>
        <w:t>We believe you should read the Compensation Discussion and Analysis, compensation tables and accompanying narrative information and also consider the factors below in determining whether to approve this proposal.</w:t>
      </w:r>
    </w:p>
    <w:p>
      <w:pPr>
        <w:spacing w:after="0" w:line="45" w:lineRule="exact"/>
        <w:rPr>
          <w:sz w:val="20"/>
          <w:szCs w:val="20"/>
          <w:color w:val="auto"/>
        </w:rPr>
      </w:pPr>
    </w:p>
    <w:p>
      <w:pPr>
        <w:jc w:val="both"/>
        <w:ind w:right="20" w:firstLine="324"/>
        <w:spacing w:after="0" w:line="268" w:lineRule="auto"/>
        <w:rPr>
          <w:sz w:val="20"/>
          <w:szCs w:val="20"/>
          <w:color w:val="auto"/>
        </w:rPr>
      </w:pPr>
      <w:r>
        <w:rPr>
          <w:rFonts w:ascii="Arial" w:cs="Arial" w:eastAsia="Arial" w:hAnsi="Arial"/>
          <w:sz w:val="18"/>
          <w:szCs w:val="18"/>
          <w:color w:val="auto"/>
        </w:rPr>
        <w:t>We have determined to include a stockholder vote on the compensation of named executive officers (commonly known as a “say on pay” vote) in our proxy statement annually until the next required vote on the frequency of say on pay votes. The next say on pay vote accordingly will be held at the 2026 Annual Meeting of Stockholders.</w:t>
      </w:r>
    </w:p>
    <w:p>
      <w:pPr>
        <w:spacing w:after="0" w:line="66" w:lineRule="exact"/>
        <w:rPr>
          <w:sz w:val="20"/>
          <w:szCs w:val="20"/>
          <w:color w:val="auto"/>
        </w:rPr>
      </w:pPr>
    </w:p>
    <w:p>
      <w:pPr>
        <w:spacing w:after="0"/>
        <w:rPr>
          <w:sz w:val="20"/>
          <w:szCs w:val="20"/>
          <w:color w:val="auto"/>
        </w:rPr>
      </w:pPr>
      <w:r>
        <w:rPr>
          <w:rFonts w:ascii="Arial" w:cs="Arial" w:eastAsia="Arial" w:hAnsi="Arial"/>
          <w:sz w:val="22"/>
          <w:szCs w:val="22"/>
          <w:b w:val="1"/>
          <w:bCs w:val="1"/>
          <w:color w:val="EF3A35"/>
        </w:rPr>
        <w:t>Key Features of our Executive Compensation Program</w:t>
      </w:r>
    </w:p>
    <w:p>
      <w:pPr>
        <w:spacing w:after="0" w:line="108" w:lineRule="exact"/>
        <w:rPr>
          <w:sz w:val="20"/>
          <w:szCs w:val="20"/>
          <w:color w:val="auto"/>
        </w:rPr>
      </w:pPr>
    </w:p>
    <w:p>
      <w:pPr>
        <w:ind w:firstLine="324"/>
        <w:spacing w:after="0" w:line="262" w:lineRule="auto"/>
        <w:rPr>
          <w:sz w:val="20"/>
          <w:szCs w:val="20"/>
          <w:color w:val="auto"/>
        </w:rPr>
      </w:pPr>
      <w:r>
        <w:rPr>
          <w:rFonts w:ascii="Arial" w:cs="Arial" w:eastAsia="Arial" w:hAnsi="Arial"/>
          <w:sz w:val="18"/>
          <w:szCs w:val="18"/>
          <w:color w:val="auto"/>
        </w:rPr>
        <w:t>The discretionary structure of our compensation program allows our Board and our Compensation Committee to determine pay based on a comprehensive view of the quantitative and qualitative factors they believe best reflect the results that will produce long-term business success. The Board and the Compensation Committee maintain a strong correlation between our financial results and Company objectives and NEO compensation actually awarded.</w:t>
      </w:r>
    </w:p>
    <w:p>
      <w:pPr>
        <w:spacing w:after="0" w:line="68" w:lineRule="exact"/>
        <w:rPr>
          <w:sz w:val="20"/>
          <w:szCs w:val="20"/>
          <w:color w:val="auto"/>
        </w:rPr>
      </w:pPr>
    </w:p>
    <w:p>
      <w:pPr>
        <w:jc w:val="both"/>
        <w:ind w:right="260" w:firstLine="324"/>
        <w:spacing w:after="0" w:line="268" w:lineRule="auto"/>
        <w:rPr>
          <w:sz w:val="20"/>
          <w:szCs w:val="20"/>
          <w:color w:val="auto"/>
        </w:rPr>
      </w:pPr>
      <w:r>
        <w:rPr>
          <w:rFonts w:ascii="Arial" w:cs="Arial" w:eastAsia="Arial" w:hAnsi="Arial"/>
          <w:sz w:val="18"/>
          <w:szCs w:val="18"/>
          <w:color w:val="auto"/>
        </w:rPr>
        <w:t>We designed our compensation programs for NEOs to attract, motivate and retain the key executives who drive our success. Pay that reflects performance and alignment of that pay with the interests of our stockholders are the key principles that underlie our compensation program and decisions. In that regard, we:</w:t>
      </w:r>
    </w:p>
    <w:p>
      <w:pPr>
        <w:spacing w:after="0" w:line="117"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weight compensation towards driving achievement of our long-term strategic and financial objectives and aligning our</w:t>
      </w:r>
    </w:p>
    <w:p>
      <w:pPr>
        <w:spacing w:after="0" w:line="27" w:lineRule="exact"/>
        <w:rPr>
          <w:sz w:val="20"/>
          <w:szCs w:val="20"/>
          <w:color w:val="auto"/>
        </w:rPr>
      </w:pPr>
    </w:p>
    <w:p>
      <w:pPr>
        <w:ind w:left="700" w:right="620" w:hanging="314"/>
        <w:spacing w:after="0" w:line="266" w:lineRule="auto"/>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executive officers’ interest with the long-term interests of our stockholders by providing meaningful variable and equity-based compensation, including performance-based equity compensation;</w:t>
      </w:r>
    </w:p>
    <w:p>
      <w:pPr>
        <w:spacing w:after="0" w:line="9" w:lineRule="exact"/>
        <w:rPr>
          <w:rFonts w:ascii="Arial" w:cs="Arial" w:eastAsia="Arial" w:hAnsi="Arial"/>
          <w:sz w:val="18"/>
          <w:szCs w:val="18"/>
          <w:color w:val="auto"/>
        </w:rPr>
      </w:pPr>
    </w:p>
    <w:p>
      <w:pPr>
        <w:ind w:left="720" w:hanging="334"/>
        <w:spacing w:after="0"/>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pay base salaries to our senior executives that are competitive based on our review of market data;</w:t>
      </w:r>
    </w:p>
    <w:p>
      <w:pPr>
        <w:spacing w:after="0" w:line="63" w:lineRule="exact"/>
        <w:rPr>
          <w:rFonts w:ascii="Arial" w:cs="Arial" w:eastAsia="Arial" w:hAnsi="Arial"/>
          <w:sz w:val="18"/>
          <w:szCs w:val="18"/>
          <w:color w:val="auto"/>
        </w:rPr>
      </w:pPr>
    </w:p>
    <w:p>
      <w:pPr>
        <w:ind w:left="700" w:right="1120" w:hanging="314"/>
        <w:spacing w:after="0" w:line="186" w:lineRule="auto"/>
        <w:tabs>
          <w:tab w:leader="none" w:pos="715" w:val="left"/>
        </w:tabs>
        <w:numPr>
          <w:ilvl w:val="0"/>
          <w:numId w:val="14"/>
        </w:numPr>
        <w:rPr>
          <w:rFonts w:ascii="Arial" w:cs="Arial" w:eastAsia="Arial" w:hAnsi="Arial"/>
          <w:sz w:val="34"/>
          <w:szCs w:val="34"/>
          <w:color w:val="auto"/>
          <w:vertAlign w:val="subscript"/>
        </w:rPr>
      </w:pPr>
      <w:r>
        <w:rPr>
          <w:rFonts w:ascii="Arial" w:cs="Arial" w:eastAsia="Arial" w:hAnsi="Arial"/>
          <w:sz w:val="17"/>
          <w:szCs w:val="17"/>
          <w:color w:val="auto"/>
        </w:rPr>
        <w:t>consider peer group competitive pay and practices and comparative data derived from market research in establishing compensation;</w:t>
      </w:r>
    </w:p>
    <w:p>
      <w:pPr>
        <w:spacing w:after="0" w:line="31" w:lineRule="exact"/>
        <w:rPr>
          <w:rFonts w:ascii="Arial" w:cs="Arial" w:eastAsia="Arial" w:hAnsi="Arial"/>
          <w:sz w:val="34"/>
          <w:szCs w:val="34"/>
          <w:color w:val="auto"/>
          <w:vertAlign w:val="subscript"/>
        </w:rPr>
      </w:pPr>
    </w:p>
    <w:p>
      <w:pPr>
        <w:ind w:left="700" w:right="1360" w:hanging="314"/>
        <w:spacing w:after="0" w:line="186" w:lineRule="auto"/>
        <w:tabs>
          <w:tab w:leader="none" w:pos="715" w:val="left"/>
        </w:tabs>
        <w:numPr>
          <w:ilvl w:val="0"/>
          <w:numId w:val="14"/>
        </w:numPr>
        <w:rPr>
          <w:rFonts w:ascii="Arial" w:cs="Arial" w:eastAsia="Arial" w:hAnsi="Arial"/>
          <w:sz w:val="34"/>
          <w:szCs w:val="34"/>
          <w:color w:val="auto"/>
          <w:vertAlign w:val="subscript"/>
        </w:rPr>
      </w:pPr>
      <w:r>
        <w:rPr>
          <w:rFonts w:ascii="Arial" w:cs="Arial" w:eastAsia="Arial" w:hAnsi="Arial"/>
          <w:sz w:val="17"/>
          <w:szCs w:val="17"/>
          <w:color w:val="auto"/>
        </w:rPr>
        <w:t>strive to enhance retention by conditioning a significant percentage of total compensation on multi-year vesting and performance-based vesting; and</w:t>
      </w:r>
    </w:p>
    <w:p>
      <w:pPr>
        <w:spacing w:after="0" w:line="31" w:lineRule="exact"/>
        <w:rPr>
          <w:rFonts w:ascii="Arial" w:cs="Arial" w:eastAsia="Arial" w:hAnsi="Arial"/>
          <w:sz w:val="34"/>
          <w:szCs w:val="34"/>
          <w:color w:val="auto"/>
          <w:vertAlign w:val="subscript"/>
        </w:rPr>
      </w:pPr>
    </w:p>
    <w:p>
      <w:pPr>
        <w:ind w:left="720" w:hanging="334"/>
        <w:spacing w:after="0"/>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do not include “golden parachute” excise tax gross-ups.</w:t>
      </w:r>
    </w:p>
    <w:p>
      <w:pPr>
        <w:spacing w:after="0" w:line="239" w:lineRule="exact"/>
        <w:rPr>
          <w:sz w:val="20"/>
          <w:szCs w:val="20"/>
          <w:color w:val="auto"/>
        </w:rPr>
      </w:pPr>
    </w:p>
    <w:p>
      <w:pPr>
        <w:ind w:right="160" w:firstLine="324"/>
        <w:spacing w:after="0" w:line="268" w:lineRule="auto"/>
        <w:rPr>
          <w:sz w:val="20"/>
          <w:szCs w:val="20"/>
          <w:color w:val="auto"/>
        </w:rPr>
      </w:pPr>
      <w:r>
        <w:rPr>
          <w:rFonts w:ascii="Arial" w:cs="Arial" w:eastAsia="Arial" w:hAnsi="Arial"/>
          <w:sz w:val="18"/>
          <w:szCs w:val="18"/>
          <w:color w:val="auto"/>
        </w:rPr>
        <w:t>Although the vote in this Proposal 2 is non-binding, the Board and the Compensation Committee value the opinions of the stockholders and will review the voting results and consider the outcome of the say-on-pay vote and stockholder concerns, along with other relevant factors, when making future compensation design decisions.</w:t>
      </w:r>
    </w:p>
    <w:p>
      <w:pPr>
        <w:spacing w:after="0" w:line="63" w:lineRule="exact"/>
        <w:rPr>
          <w:sz w:val="20"/>
          <w:szCs w:val="20"/>
          <w:color w:val="auto"/>
        </w:rPr>
      </w:pPr>
    </w:p>
    <w:p>
      <w:pPr>
        <w:ind w:right="120" w:firstLine="324"/>
        <w:spacing w:after="0" w:line="268" w:lineRule="auto"/>
        <w:rPr>
          <w:sz w:val="20"/>
          <w:szCs w:val="20"/>
          <w:color w:val="auto"/>
        </w:rPr>
      </w:pPr>
      <w:r>
        <w:rPr>
          <w:rFonts w:ascii="Arial" w:cs="Arial" w:eastAsia="Arial" w:hAnsi="Arial"/>
          <w:sz w:val="18"/>
          <w:szCs w:val="18"/>
          <w:color w:val="auto"/>
        </w:rPr>
        <w:t>In accordance with the wishes of our stockholders based on a vote in 2021 regarding the frequency of say-on-pay proposals, we currently hold our say-on-pay vote every year. Accordingly, we are asking our stockholders to indicate their support for our named executive officer compensation as described in this Proxy Statement by voting “FOR” the following resolution at the 2025 Annual Meeting:</w:t>
      </w:r>
    </w:p>
    <w:p>
      <w:pPr>
        <w:spacing w:after="0" w:line="63"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b w:val="1"/>
          <w:bCs w:val="1"/>
          <w:color w:val="auto"/>
        </w:rPr>
        <w:t>“RESOLVED</w:t>
      </w:r>
      <w:r>
        <w:rPr>
          <w:rFonts w:ascii="Arial" w:cs="Arial" w:eastAsia="Arial" w:hAnsi="Arial"/>
          <w:sz w:val="18"/>
          <w:szCs w:val="18"/>
          <w:color w:val="auto"/>
        </w:rPr>
        <w:t>, that the compensation paid to the Company’s named executive officers as disclosed pursuant to Item 402 of Regulation S-K in this Proxy Statement, including in the “Compensation Discussion and Analysis,” the compensation tables and the narrative discussion, is hereby approved.”</w:t>
      </w:r>
    </w:p>
    <w:p>
      <w:pPr>
        <w:spacing w:after="0" w:line="6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EF3A35"/>
        </w:rPr>
        <w:t>OUR BOARD UNANIMOUSLY RECOMMENDS A VOTE “FOR” THIS RESOLUTION.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220"/>
          </w:cols>
          <w:pgMar w:left="320" w:top="763" w:right="359" w:bottom="1440" w:gutter="0" w:footer="0" w:header="0"/>
        </w:sectPr>
      </w:pPr>
    </w:p>
    <w:bookmarkStart w:id="23" w:name="page24"/>
    <w:bookmarkEnd w:id="23"/>
    <w:p>
      <w:pPr>
        <w:ind w:left="3860"/>
        <w:spacing w:after="0"/>
        <w:rPr>
          <w:sz w:val="20"/>
          <w:szCs w:val="20"/>
          <w:color w:val="auto"/>
        </w:rPr>
      </w:pPr>
      <w:r>
        <w:rPr>
          <w:rFonts w:ascii="Arial" w:cs="Arial" w:eastAsia="Arial" w:hAnsi="Arial"/>
          <w:sz w:val="25"/>
          <w:szCs w:val="25"/>
          <w:b w:val="1"/>
          <w:bCs w:val="1"/>
          <w:color w:val="EF3A35"/>
        </w:rPr>
        <w:t>EXECUTIVE COMPENSATION</w:t>
      </w:r>
    </w:p>
    <w:p>
      <w:pPr>
        <w:spacing w:after="0" w:line="127" w:lineRule="exact"/>
        <w:rPr>
          <w:sz w:val="20"/>
          <w:szCs w:val="20"/>
          <w:color w:val="auto"/>
        </w:rPr>
      </w:pPr>
    </w:p>
    <w:p>
      <w:pPr>
        <w:spacing w:after="0"/>
        <w:rPr>
          <w:sz w:val="20"/>
          <w:szCs w:val="20"/>
          <w:color w:val="auto"/>
        </w:rPr>
      </w:pPr>
      <w:r>
        <w:rPr>
          <w:rFonts w:ascii="Arial" w:cs="Arial" w:eastAsia="Arial" w:hAnsi="Arial"/>
          <w:sz w:val="22"/>
          <w:szCs w:val="22"/>
          <w:b w:val="1"/>
          <w:bCs w:val="1"/>
          <w:color w:val="EF3A35"/>
        </w:rPr>
        <w:t>Compensation Discussion and Analysis</w:t>
      </w:r>
    </w:p>
    <w:p>
      <w:pPr>
        <w:spacing w:after="0" w:line="121" w:lineRule="exact"/>
        <w:rPr>
          <w:sz w:val="20"/>
          <w:szCs w:val="20"/>
          <w:color w:val="auto"/>
        </w:rPr>
      </w:pPr>
    </w:p>
    <w:p>
      <w:pPr>
        <w:ind w:right="140" w:firstLine="324"/>
        <w:spacing w:after="0" w:line="262" w:lineRule="auto"/>
        <w:rPr>
          <w:sz w:val="20"/>
          <w:szCs w:val="20"/>
          <w:color w:val="auto"/>
        </w:rPr>
      </w:pPr>
      <w:r>
        <w:rPr>
          <w:rFonts w:ascii="Arial" w:cs="Arial" w:eastAsia="Arial" w:hAnsi="Arial"/>
          <w:sz w:val="18"/>
          <w:szCs w:val="18"/>
          <w:color w:val="auto"/>
        </w:rPr>
        <w:t>This Compensation Discussion and Analysis describes our executive compensation program and the decisions made in 2024 as they pertain to each individual who served as our Chief Executive Officer (“</w:t>
      </w:r>
      <w:r>
        <w:rPr>
          <w:rFonts w:ascii="Arial" w:cs="Arial" w:eastAsia="Arial" w:hAnsi="Arial"/>
          <w:sz w:val="18"/>
          <w:szCs w:val="18"/>
          <w:u w:val="single" w:color="auto"/>
          <w:color w:val="auto"/>
        </w:rPr>
        <w:t>CEO</w:t>
      </w:r>
      <w:r>
        <w:rPr>
          <w:rFonts w:ascii="Arial" w:cs="Arial" w:eastAsia="Arial" w:hAnsi="Arial"/>
          <w:sz w:val="18"/>
          <w:szCs w:val="18"/>
          <w:color w:val="auto"/>
        </w:rPr>
        <w:t>”), our Chief Financial Officer (“</w:t>
      </w:r>
      <w:r>
        <w:rPr>
          <w:rFonts w:ascii="Arial" w:cs="Arial" w:eastAsia="Arial" w:hAnsi="Arial"/>
          <w:sz w:val="18"/>
          <w:szCs w:val="18"/>
          <w:u w:val="single" w:color="auto"/>
          <w:color w:val="auto"/>
        </w:rPr>
        <w:t>CFO</w:t>
      </w:r>
      <w:r>
        <w:rPr>
          <w:rFonts w:ascii="Arial" w:cs="Arial" w:eastAsia="Arial" w:hAnsi="Arial"/>
          <w:sz w:val="18"/>
          <w:szCs w:val="18"/>
          <w:color w:val="auto"/>
        </w:rPr>
        <w:t>”), and our other executive officers during our fiscal year ended December 31, 2024. Throughout this document, these executives are collectively referred to as our “NEOs” or our “named executive officers.” During fiscal year 2024, our named executive officers were: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402907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029075" cy="8255"/>
                    </a:xfrm>
                    <a:prstGeom prst="rect">
                      <a:avLst/>
                    </a:prstGeom>
                    <a:noFill/>
                  </pic:spPr>
                </pic:pic>
              </a:graphicData>
            </a:graphic>
          </wp:anchor>
        </w:drawing>
      </w:r>
    </w:p>
    <w:p>
      <w:pPr>
        <w:spacing w:after="0" w:line="116"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1860" w:type="dxa"/>
            <w:vAlign w:val="bottom"/>
          </w:tcPr>
          <w:p>
            <w:pPr>
              <w:spacing w:after="0"/>
              <w:rPr>
                <w:sz w:val="20"/>
                <w:szCs w:val="20"/>
                <w:color w:val="auto"/>
              </w:rPr>
            </w:pPr>
            <w:r>
              <w:rPr>
                <w:rFonts w:ascii="Arial" w:cs="Arial" w:eastAsia="Arial" w:hAnsi="Arial"/>
                <w:sz w:val="18"/>
                <w:szCs w:val="18"/>
                <w:color w:val="auto"/>
              </w:rPr>
              <w:t>Jonathan Oringer</w:t>
            </w:r>
          </w:p>
        </w:tc>
        <w:tc>
          <w:tcPr>
            <w:tcW w:w="3860" w:type="dxa"/>
            <w:vAlign w:val="bottom"/>
          </w:tcPr>
          <w:p>
            <w:pPr>
              <w:ind w:left="460"/>
              <w:spacing w:after="0"/>
              <w:rPr>
                <w:sz w:val="20"/>
                <w:szCs w:val="20"/>
                <w:color w:val="auto"/>
              </w:rPr>
            </w:pPr>
            <w:r>
              <w:rPr>
                <w:rFonts w:ascii="Arial" w:cs="Arial" w:eastAsia="Arial" w:hAnsi="Arial"/>
                <w:sz w:val="18"/>
                <w:szCs w:val="18"/>
                <w:color w:val="auto"/>
                <w:w w:val="99"/>
              </w:rPr>
              <w:t>Founder, Executive Chairman of the Board</w:t>
            </w:r>
          </w:p>
        </w:tc>
      </w:tr>
      <w:tr>
        <w:trPr>
          <w:trHeight w:val="270"/>
        </w:trPr>
        <w:tc>
          <w:tcPr>
            <w:tcW w:w="1860" w:type="dxa"/>
            <w:vAlign w:val="bottom"/>
          </w:tcPr>
          <w:p>
            <w:pPr>
              <w:spacing w:after="0"/>
              <w:rPr>
                <w:sz w:val="20"/>
                <w:szCs w:val="20"/>
                <w:color w:val="auto"/>
              </w:rPr>
            </w:pPr>
            <w:r>
              <w:rPr>
                <w:rFonts w:ascii="Arial" w:cs="Arial" w:eastAsia="Arial" w:hAnsi="Arial"/>
                <w:sz w:val="18"/>
                <w:szCs w:val="18"/>
                <w:color w:val="auto"/>
              </w:rPr>
              <w:t>Paul Hennessy</w:t>
            </w:r>
          </w:p>
        </w:tc>
        <w:tc>
          <w:tcPr>
            <w:tcW w:w="3860" w:type="dxa"/>
            <w:vAlign w:val="bottom"/>
          </w:tcPr>
          <w:p>
            <w:pPr>
              <w:ind w:left="460"/>
              <w:spacing w:after="0"/>
              <w:rPr>
                <w:sz w:val="20"/>
                <w:szCs w:val="20"/>
                <w:color w:val="auto"/>
              </w:rPr>
            </w:pPr>
            <w:r>
              <w:rPr>
                <w:rFonts w:ascii="Arial" w:cs="Arial" w:eastAsia="Arial" w:hAnsi="Arial"/>
                <w:sz w:val="18"/>
                <w:szCs w:val="18"/>
                <w:color w:val="auto"/>
              </w:rPr>
              <w:t>Chief Executive Officer</w:t>
            </w:r>
          </w:p>
        </w:tc>
      </w:tr>
      <w:tr>
        <w:trPr>
          <w:trHeight w:val="299"/>
        </w:trPr>
        <w:tc>
          <w:tcPr>
            <w:tcW w:w="1860" w:type="dxa"/>
            <w:vAlign w:val="bottom"/>
          </w:tcPr>
          <w:p>
            <w:pPr>
              <w:spacing w:after="0"/>
              <w:rPr>
                <w:sz w:val="20"/>
                <w:szCs w:val="20"/>
                <w:color w:val="auto"/>
              </w:rPr>
            </w:pPr>
            <w:r>
              <w:rPr>
                <w:rFonts w:ascii="Arial" w:cs="Arial" w:eastAsia="Arial" w:hAnsi="Arial"/>
                <w:sz w:val="18"/>
                <w:szCs w:val="18"/>
                <w:color w:val="auto"/>
              </w:rPr>
              <w:t>Rik Powell</w:t>
            </w:r>
          </w:p>
        </w:tc>
        <w:tc>
          <w:tcPr>
            <w:tcW w:w="3860" w:type="dxa"/>
            <w:vAlign w:val="bottom"/>
          </w:tcPr>
          <w:p>
            <w:pPr>
              <w:ind w:left="460"/>
              <w:spacing w:after="0"/>
              <w:rPr>
                <w:sz w:val="20"/>
                <w:szCs w:val="20"/>
                <w:color w:val="auto"/>
              </w:rPr>
            </w:pPr>
            <w:r>
              <w:rPr>
                <w:rFonts w:ascii="Arial" w:cs="Arial" w:eastAsia="Arial" w:hAnsi="Arial"/>
                <w:sz w:val="18"/>
                <w:szCs w:val="18"/>
                <w:color w:val="auto"/>
              </w:rPr>
              <w:t>Chief Financial Officer</w:t>
            </w:r>
            <w:r>
              <w:rPr>
                <w:rFonts w:ascii="Arial" w:cs="Arial" w:eastAsia="Arial" w:hAnsi="Arial"/>
                <w:sz w:val="23"/>
                <w:szCs w:val="23"/>
                <w:color w:val="auto"/>
                <w:vertAlign w:val="superscript"/>
              </w:rPr>
              <w:t>(1)</w:t>
            </w:r>
          </w:p>
        </w:tc>
      </w:tr>
      <w:tr>
        <w:trPr>
          <w:trHeight w:val="270"/>
        </w:trPr>
        <w:tc>
          <w:tcPr>
            <w:tcW w:w="1860" w:type="dxa"/>
            <w:vAlign w:val="bottom"/>
          </w:tcPr>
          <w:p>
            <w:pPr>
              <w:spacing w:after="0"/>
              <w:rPr>
                <w:sz w:val="20"/>
                <w:szCs w:val="20"/>
                <w:color w:val="auto"/>
              </w:rPr>
            </w:pPr>
            <w:r>
              <w:rPr>
                <w:rFonts w:ascii="Arial" w:cs="Arial" w:eastAsia="Arial" w:hAnsi="Arial"/>
                <w:sz w:val="18"/>
                <w:szCs w:val="18"/>
                <w:color w:val="auto"/>
              </w:rPr>
              <w:t>Jarrod Yahes</w:t>
            </w:r>
          </w:p>
        </w:tc>
        <w:tc>
          <w:tcPr>
            <w:tcW w:w="3860" w:type="dxa"/>
            <w:vAlign w:val="bottom"/>
          </w:tcPr>
          <w:p>
            <w:pPr>
              <w:ind w:left="460"/>
              <w:spacing w:after="0"/>
              <w:rPr>
                <w:sz w:val="20"/>
                <w:szCs w:val="20"/>
                <w:color w:val="auto"/>
              </w:rPr>
            </w:pPr>
            <w:r>
              <w:rPr>
                <w:rFonts w:ascii="Arial" w:cs="Arial" w:eastAsia="Arial" w:hAnsi="Arial"/>
                <w:sz w:val="18"/>
                <w:szCs w:val="18"/>
                <w:color w:val="auto"/>
              </w:rPr>
              <w:t>Former Chief Financial Officer</w:t>
            </w:r>
            <w:r>
              <w:rPr>
                <w:rFonts w:ascii="Arial" w:cs="Arial" w:eastAsia="Arial" w:hAnsi="Arial"/>
                <w:sz w:val="23"/>
                <w:szCs w:val="23"/>
                <w:color w:val="auto"/>
                <w:vertAlign w:val="superscript"/>
              </w:rPr>
              <w:t>(2)</w:t>
            </w:r>
          </w:p>
        </w:tc>
      </w:tr>
      <w:tr>
        <w:trPr>
          <w:trHeight w:val="311"/>
        </w:trPr>
        <w:tc>
          <w:tcPr>
            <w:tcW w:w="1860" w:type="dxa"/>
            <w:vAlign w:val="bottom"/>
          </w:tcPr>
          <w:p>
            <w:pPr>
              <w:spacing w:after="0"/>
              <w:rPr>
                <w:sz w:val="20"/>
                <w:szCs w:val="20"/>
                <w:color w:val="auto"/>
              </w:rPr>
            </w:pPr>
            <w:r>
              <w:rPr>
                <w:rFonts w:ascii="Arial" w:cs="Arial" w:eastAsia="Arial" w:hAnsi="Arial"/>
                <w:sz w:val="18"/>
                <w:szCs w:val="18"/>
                <w:color w:val="auto"/>
              </w:rPr>
              <w:t>John Caine</w:t>
            </w:r>
          </w:p>
        </w:tc>
        <w:tc>
          <w:tcPr>
            <w:tcW w:w="3860" w:type="dxa"/>
            <w:vAlign w:val="bottom"/>
          </w:tcPr>
          <w:p>
            <w:pPr>
              <w:ind w:left="460"/>
              <w:spacing w:after="0"/>
              <w:rPr>
                <w:sz w:val="20"/>
                <w:szCs w:val="20"/>
                <w:color w:val="auto"/>
              </w:rPr>
            </w:pPr>
            <w:r>
              <w:rPr>
                <w:rFonts w:ascii="Arial" w:cs="Arial" w:eastAsia="Arial" w:hAnsi="Arial"/>
                <w:sz w:val="18"/>
                <w:szCs w:val="18"/>
                <w:color w:val="auto"/>
                <w:w w:val="99"/>
              </w:rPr>
              <w:t>Former Chief Product and Digital Officer</w:t>
            </w:r>
            <w:r>
              <w:rPr>
                <w:rFonts w:ascii="Arial" w:cs="Arial" w:eastAsia="Arial" w:hAnsi="Arial"/>
                <w:sz w:val="23"/>
                <w:szCs w:val="23"/>
                <w:color w:val="auto"/>
                <w:w w:val="99"/>
                <w:vertAlign w:val="superscript"/>
              </w:rPr>
              <w:t>(3)</w:t>
            </w:r>
          </w:p>
        </w:tc>
      </w:tr>
    </w:tbl>
    <w:p>
      <w:pPr>
        <w:spacing w:after="0" w:line="134" w:lineRule="exact"/>
        <w:rPr>
          <w:sz w:val="20"/>
          <w:szCs w:val="20"/>
          <w:color w:val="auto"/>
        </w:rPr>
      </w:pPr>
    </w:p>
    <w:p>
      <w:pPr>
        <w:ind w:left="500" w:hanging="330"/>
        <w:spacing w:after="0"/>
        <w:tabs>
          <w:tab w:leader="none" w:pos="500" w:val="left"/>
        </w:tabs>
        <w:numPr>
          <w:ilvl w:val="0"/>
          <w:numId w:val="15"/>
        </w:numPr>
        <w:rPr>
          <w:rFonts w:ascii="Arial" w:cs="Arial" w:eastAsia="Arial" w:hAnsi="Arial"/>
          <w:sz w:val="14"/>
          <w:szCs w:val="14"/>
          <w:color w:val="auto"/>
        </w:rPr>
      </w:pPr>
      <w:r>
        <w:rPr>
          <w:rFonts w:ascii="Arial" w:cs="Arial" w:eastAsia="Arial" w:hAnsi="Arial"/>
          <w:sz w:val="14"/>
          <w:szCs w:val="14"/>
          <w:color w:val="auto"/>
        </w:rPr>
        <w:t>Mr. Powell was appointed as Chief Financial Officer of the Company effective November 1, 2024.</w:t>
      </w:r>
    </w:p>
    <w:p>
      <w:pPr>
        <w:spacing w:after="0" w:line="68" w:lineRule="exact"/>
        <w:rPr>
          <w:rFonts w:ascii="Arial" w:cs="Arial" w:eastAsia="Arial" w:hAnsi="Arial"/>
          <w:sz w:val="14"/>
          <w:szCs w:val="14"/>
          <w:color w:val="auto"/>
        </w:rPr>
      </w:pPr>
    </w:p>
    <w:p>
      <w:pPr>
        <w:ind w:left="500" w:hanging="330"/>
        <w:spacing w:after="0"/>
        <w:tabs>
          <w:tab w:leader="none" w:pos="500" w:val="left"/>
        </w:tabs>
        <w:numPr>
          <w:ilvl w:val="0"/>
          <w:numId w:val="15"/>
        </w:numPr>
        <w:rPr>
          <w:rFonts w:ascii="Arial" w:cs="Arial" w:eastAsia="Arial" w:hAnsi="Arial"/>
          <w:sz w:val="14"/>
          <w:szCs w:val="14"/>
          <w:color w:val="auto"/>
        </w:rPr>
      </w:pPr>
      <w:r>
        <w:rPr>
          <w:rFonts w:ascii="Arial" w:cs="Arial" w:eastAsia="Arial" w:hAnsi="Arial"/>
          <w:sz w:val="14"/>
          <w:szCs w:val="14"/>
          <w:color w:val="auto"/>
        </w:rPr>
        <w:t>Mr. Yahes resigned as Chief Financial Officer of the Company effective November 1, 2024.</w:t>
      </w:r>
    </w:p>
    <w:p>
      <w:pPr>
        <w:spacing w:after="0" w:line="68" w:lineRule="exact"/>
        <w:rPr>
          <w:rFonts w:ascii="Arial" w:cs="Arial" w:eastAsia="Arial" w:hAnsi="Arial"/>
          <w:sz w:val="14"/>
          <w:szCs w:val="14"/>
          <w:color w:val="auto"/>
        </w:rPr>
      </w:pPr>
    </w:p>
    <w:p>
      <w:pPr>
        <w:ind w:left="500" w:hanging="330"/>
        <w:spacing w:after="0"/>
        <w:tabs>
          <w:tab w:leader="none" w:pos="500" w:val="left"/>
        </w:tabs>
        <w:numPr>
          <w:ilvl w:val="0"/>
          <w:numId w:val="15"/>
        </w:numPr>
        <w:rPr>
          <w:rFonts w:ascii="Arial" w:cs="Arial" w:eastAsia="Arial" w:hAnsi="Arial"/>
          <w:sz w:val="14"/>
          <w:szCs w:val="14"/>
          <w:color w:val="auto"/>
        </w:rPr>
      </w:pPr>
      <w:r>
        <w:rPr>
          <w:rFonts w:ascii="Arial" w:cs="Arial" w:eastAsia="Arial" w:hAnsi="Arial"/>
          <w:sz w:val="14"/>
          <w:szCs w:val="14"/>
          <w:color w:val="auto"/>
        </w:rPr>
        <w:t>Mr. Caine’s employment as Chief Product and Digital Officer of the Company ended effective August 23, 2024.</w:t>
      </w:r>
    </w:p>
    <w:p>
      <w:pPr>
        <w:spacing w:after="0" w:line="11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This Compensation Discussion and Analysis is organized into four sections:</w:t>
      </w:r>
    </w:p>
    <w:p>
      <w:pPr>
        <w:spacing w:after="0" w:line="171" w:lineRule="exact"/>
        <w:rPr>
          <w:sz w:val="20"/>
          <w:szCs w:val="20"/>
          <w:color w:val="auto"/>
        </w:rPr>
      </w:pPr>
    </w:p>
    <w:p>
      <w:pPr>
        <w:ind w:left="700" w:hanging="314"/>
        <w:spacing w:after="0"/>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Section 1 – Executive Summary</w:t>
      </w:r>
    </w:p>
    <w:p>
      <w:pPr>
        <w:spacing w:after="0" w:line="63" w:lineRule="exact"/>
        <w:rPr>
          <w:rFonts w:ascii="Arial" w:cs="Arial" w:eastAsia="Arial" w:hAnsi="Arial"/>
          <w:sz w:val="18"/>
          <w:szCs w:val="18"/>
          <w:color w:val="auto"/>
        </w:rPr>
      </w:pPr>
    </w:p>
    <w:p>
      <w:pPr>
        <w:ind w:left="700" w:hanging="314"/>
        <w:spacing w:after="0"/>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Section 2 – Establishing and Evaluating Executive Compensation</w:t>
      </w:r>
    </w:p>
    <w:p>
      <w:pPr>
        <w:spacing w:after="0" w:line="63" w:lineRule="exact"/>
        <w:rPr>
          <w:rFonts w:ascii="Arial" w:cs="Arial" w:eastAsia="Arial" w:hAnsi="Arial"/>
          <w:sz w:val="18"/>
          <w:szCs w:val="18"/>
          <w:color w:val="auto"/>
        </w:rPr>
      </w:pPr>
    </w:p>
    <w:p>
      <w:pPr>
        <w:ind w:left="700" w:hanging="314"/>
        <w:spacing w:after="0"/>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Section 3 – Elements of 2024 Compensation</w:t>
      </w:r>
    </w:p>
    <w:p>
      <w:pPr>
        <w:spacing w:after="0" w:line="63" w:lineRule="exact"/>
        <w:rPr>
          <w:rFonts w:ascii="Arial" w:cs="Arial" w:eastAsia="Arial" w:hAnsi="Arial"/>
          <w:sz w:val="18"/>
          <w:szCs w:val="18"/>
          <w:color w:val="auto"/>
        </w:rPr>
      </w:pPr>
    </w:p>
    <w:p>
      <w:pPr>
        <w:ind w:left="700" w:hanging="314"/>
        <w:spacing w:after="0"/>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Section 4 – Other Compensation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b w:val="1"/>
          <w:bCs w:val="1"/>
          <w:color w:val="EF3A35"/>
        </w:rPr>
        <w:t>Section 1 – Executive Summary</w:t>
      </w:r>
    </w:p>
    <w:p>
      <w:pPr>
        <w:spacing w:after="0" w:line="108" w:lineRule="exact"/>
        <w:rPr>
          <w:sz w:val="20"/>
          <w:szCs w:val="20"/>
          <w:color w:val="auto"/>
        </w:rPr>
      </w:pPr>
    </w:p>
    <w:p>
      <w:pPr>
        <w:ind w:firstLine="324"/>
        <w:spacing w:after="0" w:line="262" w:lineRule="auto"/>
        <w:rPr>
          <w:sz w:val="20"/>
          <w:szCs w:val="20"/>
          <w:color w:val="auto"/>
        </w:rPr>
      </w:pPr>
      <w:r>
        <w:rPr>
          <w:rFonts w:ascii="Arial" w:cs="Arial" w:eastAsia="Arial" w:hAnsi="Arial"/>
          <w:sz w:val="18"/>
          <w:szCs w:val="18"/>
          <w:color w:val="auto"/>
        </w:rPr>
        <w:t>Our success depends, in part, on our ability to attract, engage, motivate and retain highly talented individuals who are committed to our vision, strategy and values. One of the key objectives of our executive compensation program is to maintain a strong alignment between corporate performance and executive compensation by tying incentive compensation to the achievement of performance metrics that we believe increase the Company’s long-term value and align our executives’ interests with the interests of our stockholders.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2024 Business Highlights</w:t>
      </w:r>
      <w:r>
        <w:rPr>
          <w:rFonts w:ascii="Arial" w:cs="Arial" w:eastAsia="Arial" w:hAnsi="Arial"/>
          <w:sz w:val="23"/>
          <w:szCs w:val="23"/>
          <w:color w:val="auto"/>
          <w:vertAlign w:val="superscript"/>
        </w:rPr>
        <w:t>(1)</w:t>
      </w:r>
    </w:p>
    <w:p>
      <w:pPr>
        <w:spacing w:after="0" w:line="60" w:lineRule="exact"/>
        <w:rPr>
          <w:sz w:val="20"/>
          <w:szCs w:val="20"/>
          <w:color w:val="auto"/>
        </w:rPr>
      </w:pPr>
    </w:p>
    <w:p>
      <w:pPr>
        <w:ind w:right="20" w:firstLine="324"/>
        <w:spacing w:after="0" w:line="262" w:lineRule="auto"/>
        <w:rPr>
          <w:sz w:val="20"/>
          <w:szCs w:val="20"/>
          <w:color w:val="auto"/>
        </w:rPr>
      </w:pPr>
      <w:r>
        <w:rPr>
          <w:rFonts w:ascii="Arial" w:cs="Arial" w:eastAsia="Arial" w:hAnsi="Arial"/>
          <w:sz w:val="18"/>
          <w:szCs w:val="18"/>
          <w:color w:val="auto"/>
        </w:rPr>
        <w:t>Over 4.0 million active, paying customers contributed to our revenue in 2024. Our contributors made their images, footage and music tracks available in our collection, which has grown to 800 million images and 59 million footage clips as of December 31, 2024. This makes our collection of content one of the largest of its kind, and we delivered 134.3 million paid downloads to our customers across our brands during the year ended December 31, 2024.</w:t>
      </w:r>
    </w:p>
    <w:p>
      <w:pPr>
        <w:spacing w:after="0" w:line="6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highlights of our 2024 performance versus 2023 performance</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include:</w:t>
      </w:r>
    </w:p>
    <w:p>
      <w:pPr>
        <w:spacing w:after="0" w:line="114" w:lineRule="exact"/>
        <w:rPr>
          <w:sz w:val="20"/>
          <w:szCs w:val="20"/>
          <w:color w:val="auto"/>
        </w:rPr>
      </w:pPr>
    </w:p>
    <w:p>
      <w:pPr>
        <w:ind w:left="720" w:hanging="289"/>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Revenue increased 7% to $935.3 million</w:t>
      </w:r>
    </w:p>
    <w:p>
      <w:pPr>
        <w:spacing w:after="0" w:line="63" w:lineRule="exact"/>
        <w:rPr>
          <w:rFonts w:ascii="Arial" w:cs="Arial" w:eastAsia="Arial" w:hAnsi="Arial"/>
          <w:sz w:val="18"/>
          <w:szCs w:val="18"/>
          <w:color w:val="auto"/>
        </w:rPr>
      </w:pPr>
    </w:p>
    <w:p>
      <w:pPr>
        <w:ind w:left="720" w:hanging="289"/>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Income from operations was $68.7 million, essentially flat.</w:t>
      </w:r>
    </w:p>
    <w:p>
      <w:pPr>
        <w:spacing w:after="0" w:line="63" w:lineRule="exact"/>
        <w:rPr>
          <w:rFonts w:ascii="Arial" w:cs="Arial" w:eastAsia="Arial" w:hAnsi="Arial"/>
          <w:sz w:val="18"/>
          <w:szCs w:val="18"/>
          <w:color w:val="auto"/>
        </w:rPr>
      </w:pPr>
    </w:p>
    <w:p>
      <w:pPr>
        <w:ind w:left="720" w:hanging="289"/>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Net income decreased 67% to $35.9 million</w:t>
      </w:r>
    </w:p>
    <w:p>
      <w:pPr>
        <w:spacing w:after="0" w:line="63" w:lineRule="exact"/>
        <w:rPr>
          <w:rFonts w:ascii="Arial" w:cs="Arial" w:eastAsia="Arial" w:hAnsi="Arial"/>
          <w:sz w:val="18"/>
          <w:szCs w:val="18"/>
          <w:color w:val="auto"/>
        </w:rPr>
      </w:pPr>
    </w:p>
    <w:p>
      <w:pPr>
        <w:ind w:left="720" w:hanging="289"/>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Adjusted EBITDA increased 3% to $247.1 million</w:t>
      </w:r>
      <w:r>
        <w:rPr>
          <w:rFonts w:ascii="Arial" w:cs="Arial" w:eastAsia="Arial" w:hAnsi="Arial"/>
          <w:sz w:val="23"/>
          <w:szCs w:val="23"/>
          <w:color w:val="auto"/>
          <w:vertAlign w:val="superscript"/>
        </w:rPr>
        <w:t>(2)</w:t>
      </w:r>
    </w:p>
    <w:p>
      <w:pPr>
        <w:spacing w:after="0" w:line="23" w:lineRule="exact"/>
        <w:rPr>
          <w:rFonts w:ascii="Arial" w:cs="Arial" w:eastAsia="Arial" w:hAnsi="Arial"/>
          <w:sz w:val="18"/>
          <w:szCs w:val="18"/>
          <w:color w:val="auto"/>
        </w:rPr>
      </w:pPr>
    </w:p>
    <w:p>
      <w:pPr>
        <w:ind w:left="720" w:hanging="289"/>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Operating cash flows decreased $107.9 million to $32.6 million</w:t>
      </w:r>
      <w:r>
        <w:rPr>
          <w:rFonts w:ascii="Arial" w:cs="Arial" w:eastAsia="Arial" w:hAnsi="Arial"/>
          <w:sz w:val="23"/>
          <w:szCs w:val="23"/>
          <w:color w:val="auto"/>
          <w:vertAlign w:val="superscript"/>
        </w:rPr>
        <w:t>(2)</w:t>
      </w:r>
    </w:p>
    <w:p>
      <w:pPr>
        <w:spacing w:after="0" w:line="5" w:lineRule="exact"/>
        <w:rPr>
          <w:rFonts w:ascii="Arial" w:cs="Arial" w:eastAsia="Arial" w:hAnsi="Arial"/>
          <w:sz w:val="18"/>
          <w:szCs w:val="18"/>
          <w:color w:val="auto"/>
        </w:rPr>
      </w:pPr>
    </w:p>
    <w:p>
      <w:pPr>
        <w:ind w:left="720" w:hanging="289"/>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Adjusted free cash flow decreased $29.8 million to $108.7 million</w:t>
      </w:r>
      <w:r>
        <w:rPr>
          <w:rFonts w:ascii="Arial" w:cs="Arial" w:eastAsia="Arial" w:hAnsi="Arial"/>
          <w:sz w:val="23"/>
          <w:szCs w:val="23"/>
          <w:color w:val="auto"/>
          <w:vertAlign w:val="superscript"/>
        </w:rPr>
        <w:t>(2)</w:t>
      </w:r>
    </w:p>
    <w:p>
      <w:pPr>
        <w:spacing w:after="0" w:line="11" w:lineRule="exact"/>
        <w:rPr>
          <w:sz w:val="20"/>
          <w:szCs w:val="20"/>
          <w:color w:val="auto"/>
        </w:rPr>
      </w:pPr>
    </w:p>
    <w:p>
      <w:pPr>
        <w:ind w:left="720" w:right="200" w:hanging="370"/>
        <w:spacing w:after="0" w:line="269" w:lineRule="auto"/>
        <w:tabs>
          <w:tab w:leader="none" w:pos="7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For additional information regarding our financial results, please see our 2024 Annual Report, including “Item 7. Management’s Discussion and Analysis of Financial Condition and Results of Operations.” For a description of our key metrics, including number of subscribers, subscriber revenue, average revenue per customer, paid downloads, revenue per download and content in our collection, see “Key Operating Metrics” within “Item 7. Management’s Discussion and Analysis of Financial Condition and Results of Operations” in our 2024 Annual Report.</w:t>
      </w:r>
    </w:p>
    <w:p>
      <w:pPr>
        <w:spacing w:after="0" w:line="6" w:lineRule="exact"/>
        <w:rPr>
          <w:rFonts w:ascii="Arial" w:cs="Arial" w:eastAsia="Arial" w:hAnsi="Arial"/>
          <w:sz w:val="14"/>
          <w:szCs w:val="14"/>
          <w:color w:val="auto"/>
        </w:rPr>
      </w:pPr>
    </w:p>
    <w:p>
      <w:pPr>
        <w:ind w:left="720" w:hanging="370"/>
        <w:spacing w:after="0"/>
        <w:tabs>
          <w:tab w:leader="none" w:pos="7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For a discussion regarding, and reconciliation of, our non-GAAP to GAAP financial measures, please see Annex A.</w:t>
      </w:r>
    </w:p>
    <w:p>
      <w:pPr>
        <w:sectPr>
          <w:pgSz w:w="11900" w:h="16838" w:orient="portrait"/>
          <w:cols w:equalWidth="0" w:num="1">
            <w:col w:w="11060"/>
          </w:cols>
          <w:pgMar w:left="320" w:top="871" w:right="5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60"/>
          </w:cols>
          <w:pgMar w:left="320" w:top="871" w:right="51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Shareholder Engagement</w:t>
      </w:r>
    </w:p>
    <w:p>
      <w:pPr>
        <w:spacing w:after="0" w:line="117" w:lineRule="exact"/>
        <w:rPr>
          <w:sz w:val="20"/>
          <w:szCs w:val="20"/>
          <w:color w:val="auto"/>
        </w:rPr>
      </w:pPr>
    </w:p>
    <w:p>
      <w:pPr>
        <w:ind w:right="220" w:firstLine="324"/>
        <w:spacing w:after="0" w:line="262" w:lineRule="auto"/>
        <w:rPr>
          <w:sz w:val="20"/>
          <w:szCs w:val="20"/>
          <w:color w:val="auto"/>
        </w:rPr>
      </w:pPr>
      <w:r>
        <w:rPr>
          <w:rFonts w:ascii="Arial" w:cs="Arial" w:eastAsia="Arial" w:hAnsi="Arial"/>
          <w:sz w:val="18"/>
          <w:szCs w:val="18"/>
          <w:color w:val="auto"/>
        </w:rPr>
        <w:t>At our 2024 Annual Meeting, approximately 94.8% of the votes cast by stockholders on the advisory vote on executive compensation were in favor of the compensation of our named executive officers. The Board and Compensation Committee reviewed these final vote results and determined that, given the significant level of support of our approach to compensation by our stockholders, stockholders were not demanding significant changes to our executive compensation policies.</w:t>
      </w:r>
    </w:p>
    <w:p>
      <w:pPr>
        <w:spacing w:after="0" w:line="72" w:lineRule="exact"/>
        <w:rPr>
          <w:sz w:val="20"/>
          <w:szCs w:val="20"/>
          <w:color w:val="auto"/>
        </w:rPr>
      </w:pPr>
    </w:p>
    <w:p>
      <w:pPr>
        <w:spacing w:after="0"/>
        <w:rPr>
          <w:sz w:val="20"/>
          <w:szCs w:val="20"/>
          <w:color w:val="auto"/>
        </w:rPr>
      </w:pPr>
      <w:r>
        <w:rPr>
          <w:rFonts w:ascii="Arial" w:cs="Arial" w:eastAsia="Arial" w:hAnsi="Arial"/>
          <w:sz w:val="22"/>
          <w:szCs w:val="22"/>
          <w:b w:val="1"/>
          <w:bCs w:val="1"/>
          <w:color w:val="EF3A35"/>
        </w:rPr>
        <w:t>Section 2 – Establishing and Evaluating Executive Compensation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 Philosophy &amp; Objectives</w:t>
      </w:r>
    </w:p>
    <w:p>
      <w:pPr>
        <w:spacing w:after="0" w:line="117" w:lineRule="exact"/>
        <w:rPr>
          <w:sz w:val="20"/>
          <w:szCs w:val="20"/>
          <w:color w:val="auto"/>
        </w:rPr>
      </w:pPr>
    </w:p>
    <w:p>
      <w:pPr>
        <w:jc w:val="both"/>
        <w:ind w:right="100" w:firstLine="324"/>
        <w:spacing w:after="0" w:line="262" w:lineRule="auto"/>
        <w:rPr>
          <w:sz w:val="20"/>
          <w:szCs w:val="20"/>
          <w:color w:val="auto"/>
        </w:rPr>
      </w:pPr>
      <w:r>
        <w:rPr>
          <w:rFonts w:ascii="Arial" w:cs="Arial" w:eastAsia="Arial" w:hAnsi="Arial"/>
          <w:sz w:val="18"/>
          <w:szCs w:val="18"/>
          <w:color w:val="auto"/>
        </w:rPr>
        <w:t>Our philosophy with regard to the compensation of our named executive officers, is to attract and retain high performers, and motivate them to pursue our corporate and business objectives that are intended to create long-term value for our stockholders. We strive to provide compensation packages that are competitive, reward achievement of our business objectives, and align executive and stockholder interests through equity ownership.</w:t>
      </w:r>
    </w:p>
    <w:p>
      <w:pPr>
        <w:spacing w:after="0" w:line="6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executive compensation program is designed to:</w:t>
      </w:r>
    </w:p>
    <w:p>
      <w:pPr>
        <w:spacing w:after="0" w:line="171" w:lineRule="exact"/>
        <w:rPr>
          <w:sz w:val="20"/>
          <w:szCs w:val="20"/>
          <w:color w:val="auto"/>
        </w:rPr>
      </w:pPr>
    </w:p>
    <w:p>
      <w:pPr>
        <w:ind w:left="700" w:hanging="314"/>
        <w:spacing w:after="0"/>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attract, motivate and retain high-performing executives;</w:t>
      </w:r>
    </w:p>
    <w:p>
      <w:pPr>
        <w:spacing w:after="0" w:line="63" w:lineRule="exact"/>
        <w:rPr>
          <w:rFonts w:ascii="Arial" w:cs="Arial" w:eastAsia="Arial" w:hAnsi="Arial"/>
          <w:sz w:val="18"/>
          <w:szCs w:val="18"/>
          <w:color w:val="auto"/>
        </w:rPr>
      </w:pPr>
    </w:p>
    <w:p>
      <w:pPr>
        <w:ind w:left="700" w:right="580" w:hanging="314"/>
        <w:spacing w:after="0" w:line="281" w:lineRule="auto"/>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provide compensation that is competitive with the market and tailored to account for the specific needs and responsibilities of the particular position, as well as the performance and unique qualifications of the individual executive;</w:t>
      </w:r>
    </w:p>
    <w:p>
      <w:pPr>
        <w:spacing w:after="0" w:line="1" w:lineRule="exact"/>
        <w:rPr>
          <w:rFonts w:ascii="Arial" w:cs="Arial" w:eastAsia="Arial" w:hAnsi="Arial"/>
          <w:sz w:val="18"/>
          <w:szCs w:val="18"/>
          <w:color w:val="auto"/>
        </w:rPr>
      </w:pPr>
    </w:p>
    <w:p>
      <w:pPr>
        <w:ind w:left="700" w:hanging="314"/>
        <w:spacing w:after="0"/>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ensure actual payouts are aligned with financial performance and strategic business goals that enhance stockholder value;</w:t>
      </w:r>
    </w:p>
    <w:p>
      <w:pPr>
        <w:spacing w:after="0" w:line="63" w:lineRule="exact"/>
        <w:rPr>
          <w:rFonts w:ascii="Arial" w:cs="Arial" w:eastAsia="Arial" w:hAnsi="Arial"/>
          <w:sz w:val="18"/>
          <w:szCs w:val="18"/>
          <w:color w:val="auto"/>
        </w:rPr>
      </w:pPr>
    </w:p>
    <w:p>
      <w:pPr>
        <w:ind w:left="700" w:right="680" w:hanging="314"/>
        <w:spacing w:after="0" w:line="281" w:lineRule="auto"/>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ensure a substantial portion of each executive’s total compensation is “at-risk” and varies based on Company and individual performance; and</w:t>
      </w:r>
    </w:p>
    <w:p>
      <w:pPr>
        <w:spacing w:after="0" w:line="1" w:lineRule="exact"/>
        <w:rPr>
          <w:rFonts w:ascii="Arial" w:cs="Arial" w:eastAsia="Arial" w:hAnsi="Arial"/>
          <w:sz w:val="18"/>
          <w:szCs w:val="18"/>
          <w:color w:val="auto"/>
        </w:rPr>
      </w:pPr>
    </w:p>
    <w:p>
      <w:pPr>
        <w:ind w:left="700" w:hanging="314"/>
        <w:spacing w:after="0"/>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align the executive compensation program with both short-term and long-term stockholder interests.</w:t>
      </w:r>
    </w:p>
    <w:p>
      <w:pPr>
        <w:spacing w:after="0" w:line="239" w:lineRule="exact"/>
        <w:rPr>
          <w:sz w:val="20"/>
          <w:szCs w:val="20"/>
          <w:color w:val="auto"/>
        </w:rPr>
      </w:pPr>
    </w:p>
    <w:p>
      <w:pPr>
        <w:ind w:right="680" w:firstLine="324"/>
        <w:spacing w:after="0" w:line="375" w:lineRule="auto"/>
        <w:rPr>
          <w:sz w:val="20"/>
          <w:szCs w:val="20"/>
          <w:color w:val="auto"/>
        </w:rPr>
      </w:pPr>
      <w:r>
        <w:rPr>
          <w:rFonts w:ascii="Arial" w:cs="Arial" w:eastAsia="Arial" w:hAnsi="Arial"/>
          <w:sz w:val="18"/>
          <w:szCs w:val="18"/>
          <w:color w:val="auto"/>
        </w:rPr>
        <w:t xml:space="preserve">As our needs evolve, we will reevaluate our philosophy and compensation programs from time to time as circumstances require. </w:t>
      </w:r>
      <w:r>
        <w:rPr>
          <w:rFonts w:ascii="Arial" w:cs="Arial" w:eastAsia="Arial" w:hAnsi="Arial"/>
          <w:sz w:val="18"/>
          <w:szCs w:val="18"/>
          <w:b w:val="1"/>
          <w:bCs w:val="1"/>
          <w:color w:val="auto"/>
        </w:rPr>
        <w:t>Setting our Compensation</w:t>
      </w:r>
    </w:p>
    <w:p>
      <w:pPr>
        <w:spacing w:after="0" w:line="1"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Our Compensation Committee is responsible for overseeing all aspects of our executive compensation programs, including executive salaries, annual cash incentive payouts, the size and structure of equity awards and any severance or change in control benefits. In carrying out its responsibilities, the Compensation Committee reviews, evaluates and approves the compensation arrangements, plans, policies, and practices for our executive officers. When discharging its responsibilities, the Compensation Committee relies on input from our management and our independent compensation consultant, whose roles are discussed below. Mr. Oringer, our Executive Chairman, also assists the Compensation Committee in determining our CEO’s compensation. Our management provides our Compensation Committee with its perspectives on certain aspects of our NEOs’ compensation, including the metrics and targets used in our performance-based compensation elements and the companies that constitute our compensation peers. Additionally, for each NEO except for himself, our CEO provides his review of the NEO’s individual performance to the committee and recommends an amount of compensation for the NEO, informed by that NEO’s individual performance and data regarding market levels of compensation for that NEO’s role and scope of responsibility. Our CEO and Executive Chairman do not participate in the Compensation Committee’s deliberations on their own compensation.</w:t>
      </w:r>
    </w:p>
    <w:p>
      <w:pPr>
        <w:spacing w:after="0" w:line="65"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Potential changes to our executive officers’ compensation, such as increases in salary and annual incentive opportunities, are considered by the Compensation Committee annually. Any changes are typically set by the Compensation Committee at a meeting early in the calendar year after the Board has reviewed the Company’s performance for the past year and prospects for the year ahead, although individual executive performance is evaluated on an ongoing basis and, accordingly compensation decisions may be made throughout the year.</w:t>
      </w:r>
    </w:p>
    <w:p>
      <w:pPr>
        <w:spacing w:after="0" w:line="71"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In connection with determining compensation, our Compensation Committee has retained the services of Pearl Meyer as its independent compensation consultant to provide advice and recommendations on the amount and form of executive compensation. Pearl Meyer was selected by and reports to the Compensation Committee and did not provide any other services to the Company. Our Compensation Committee periodically has sought input from Pearl Meyer on a range of external market factors, including evolving compensation trends, appropriate peer companies and market survey data. Pearl Meyer has also provided general observations on the Company’s compensation programs, including the compensation of our Executive Chairman and the design of our PSUs, each as described below.</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200"/>
          </w:cols>
          <w:pgMar w:left="320" w:top="877" w:right="379" w:bottom="1440" w:gutter="0" w:footer="0" w:header="0"/>
        </w:sectPr>
      </w:pPr>
    </w:p>
    <w:bookmarkStart w:id="25" w:name="page26"/>
    <w:bookmarkEnd w:id="25"/>
    <w:p>
      <w:pPr>
        <w:ind w:right="40" w:firstLine="324"/>
        <w:spacing w:after="0" w:line="262" w:lineRule="auto"/>
        <w:rPr>
          <w:sz w:val="20"/>
          <w:szCs w:val="20"/>
          <w:color w:val="auto"/>
        </w:rPr>
      </w:pPr>
      <w:r>
        <w:rPr>
          <w:rFonts w:ascii="Arial" w:cs="Arial" w:eastAsia="Arial" w:hAnsi="Arial"/>
          <w:sz w:val="18"/>
          <w:szCs w:val="18"/>
          <w:color w:val="auto"/>
        </w:rPr>
        <w:t>Our Compensation Committee considered and assessed all factors relevant to Pearl Meyer’s independence, including factors specified in NYSE listing standards and Rule 10C-1(b) of the Exchange Act, as well as certain other factors that could give rise to a potential conflict of interest with respect to the work of Pearl Meyer. Based on this assessment, our Compensation Committee confirmed that no conflicts of interest were raised by the work performed by Pearl Meyer.</w:t>
      </w:r>
    </w:p>
    <w:p>
      <w:pPr>
        <w:spacing w:after="0" w:line="68" w:lineRule="exact"/>
        <w:rPr>
          <w:sz w:val="20"/>
          <w:szCs w:val="20"/>
          <w:color w:val="auto"/>
        </w:rPr>
      </w:pPr>
    </w:p>
    <w:p>
      <w:pPr>
        <w:ind w:right="480" w:firstLine="324"/>
        <w:spacing w:after="0" w:line="262" w:lineRule="auto"/>
        <w:rPr>
          <w:sz w:val="20"/>
          <w:szCs w:val="20"/>
          <w:color w:val="auto"/>
        </w:rPr>
      </w:pPr>
      <w:r>
        <w:rPr>
          <w:rFonts w:ascii="Arial" w:cs="Arial" w:eastAsia="Arial" w:hAnsi="Arial"/>
          <w:sz w:val="18"/>
          <w:szCs w:val="18"/>
          <w:color w:val="auto"/>
        </w:rPr>
        <w:t>Our Compensation Committee also administers our cash-based and equity-based compensation plans and reviews our executive compensation program from time to time, including such compensation plans, to determine whether they are appropriate, properly coordinated, and achieving their intended purposes, and to make any modifications to existing plans and arrangements or to adopt new plans or arrangements.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Comparative Market Data</w:t>
      </w:r>
    </w:p>
    <w:p>
      <w:pPr>
        <w:spacing w:after="0" w:line="117" w:lineRule="exact"/>
        <w:rPr>
          <w:sz w:val="20"/>
          <w:szCs w:val="20"/>
          <w:color w:val="auto"/>
        </w:rPr>
      </w:pPr>
    </w:p>
    <w:p>
      <w:pPr>
        <w:ind w:right="60" w:firstLine="324"/>
        <w:spacing w:after="0" w:line="256" w:lineRule="auto"/>
        <w:rPr>
          <w:sz w:val="20"/>
          <w:szCs w:val="20"/>
          <w:color w:val="auto"/>
        </w:rPr>
      </w:pPr>
      <w:r>
        <w:rPr>
          <w:rFonts w:ascii="Arial" w:cs="Arial" w:eastAsia="Arial" w:hAnsi="Arial"/>
          <w:sz w:val="18"/>
          <w:szCs w:val="18"/>
          <w:color w:val="auto"/>
        </w:rPr>
        <w:t>We aim to compensate our executive officers at levels that are commensurate with competitive levels of compensation for executives in similar positions at peer companies, with whom we compete to hire and retain executive talent, although we do not attempt to link any single element of compensation to specific peer company percentiles or ratios. Market data is just one of a variety of factors considered in determining base salary, bonus targets, long-term equity awards and total compensation levels. The Compensation Committee and management believe that over-reliance on benchmarking can result in compensation that is unrelated to the value delivered by the executive officers because compensation benchmarking does not take the specific performance of the executive officers, or the performance of the Company, into account.</w:t>
      </w:r>
    </w:p>
    <w:p>
      <w:pPr>
        <w:spacing w:after="0" w:line="75"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The Compensation Committee periodically reviews the composition of our peer group used in making compensation decisions to determine whether any changes are appropriate. In January 2024, the Compensation Committee, in consultation with Pearl Meyer, reviewed and approved the composition of our peer group consisting of technology and software services companies that are similar to us in industry code, revenue, market capitalization and sales growth. Our peer group, which was used in making compensation decisions for fiscal year 2024, includes the following companies:</w:t>
      </w:r>
    </w:p>
    <w:p>
      <w:pPr>
        <w:spacing w:after="0" w:line="125" w:lineRule="exact"/>
        <w:rPr>
          <w:sz w:val="20"/>
          <w:szCs w:val="20"/>
          <w:color w:val="auto"/>
        </w:rPr>
      </w:pPr>
    </w:p>
    <w:tbl>
      <w:tblPr>
        <w:tblLayout w:type="fixed"/>
        <w:tblInd w:w="60" w:type="dxa"/>
        <w:tblCellMar>
          <w:top w:w="0" w:type="dxa"/>
          <w:left w:w="0" w:type="dxa"/>
          <w:bottom w:w="0" w:type="dxa"/>
          <w:right w:w="0" w:type="dxa"/>
        </w:tblCellMar>
      </w:tblPr>
      <w:tr>
        <w:trPr>
          <w:trHeight w:val="239"/>
        </w:trPr>
        <w:tc>
          <w:tcPr>
            <w:tcW w:w="2380" w:type="dxa"/>
            <w:vAlign w:val="bottom"/>
          </w:tcPr>
          <w:p>
            <w:pPr>
              <w:spacing w:after="0"/>
              <w:rPr>
                <w:sz w:val="20"/>
                <w:szCs w:val="20"/>
                <w:color w:val="auto"/>
              </w:rPr>
            </w:pPr>
            <w:r>
              <w:rPr>
                <w:rFonts w:ascii="Arial" w:cs="Arial" w:eastAsia="Arial" w:hAnsi="Arial"/>
                <w:sz w:val="18"/>
                <w:szCs w:val="18"/>
                <w:color w:val="auto"/>
              </w:rPr>
              <w:t>Alarm.com Holdings, Inc.</w:t>
            </w:r>
          </w:p>
        </w:tc>
        <w:tc>
          <w:tcPr>
            <w:tcW w:w="3020" w:type="dxa"/>
            <w:vAlign w:val="bottom"/>
          </w:tcPr>
          <w:p>
            <w:pPr>
              <w:ind w:left="400"/>
              <w:spacing w:after="0"/>
              <w:rPr>
                <w:sz w:val="20"/>
                <w:szCs w:val="20"/>
                <w:color w:val="auto"/>
              </w:rPr>
            </w:pPr>
            <w:r>
              <w:rPr>
                <w:rFonts w:ascii="Arial" w:cs="Arial" w:eastAsia="Arial" w:hAnsi="Arial"/>
                <w:sz w:val="18"/>
                <w:szCs w:val="18"/>
                <w:color w:val="auto"/>
              </w:rPr>
              <w:t>Envestnet, Inc.</w:t>
            </w:r>
          </w:p>
        </w:tc>
        <w:tc>
          <w:tcPr>
            <w:tcW w:w="2600" w:type="dxa"/>
            <w:vAlign w:val="bottom"/>
          </w:tcPr>
          <w:p>
            <w:pPr>
              <w:ind w:left="440"/>
              <w:spacing w:after="0"/>
              <w:rPr>
                <w:sz w:val="20"/>
                <w:szCs w:val="20"/>
                <w:color w:val="auto"/>
              </w:rPr>
            </w:pPr>
            <w:r>
              <w:rPr>
                <w:rFonts w:ascii="Arial" w:cs="Arial" w:eastAsia="Arial" w:hAnsi="Arial"/>
                <w:sz w:val="18"/>
                <w:szCs w:val="18"/>
                <w:color w:val="auto"/>
              </w:rPr>
              <w:t>Magnite, Inc.</w:t>
            </w:r>
          </w:p>
        </w:tc>
        <w:tc>
          <w:tcPr>
            <w:tcW w:w="2380" w:type="dxa"/>
            <w:vAlign w:val="bottom"/>
          </w:tcPr>
          <w:p>
            <w:pPr>
              <w:ind w:left="360"/>
              <w:spacing w:after="0"/>
              <w:rPr>
                <w:sz w:val="20"/>
                <w:szCs w:val="20"/>
                <w:color w:val="auto"/>
              </w:rPr>
            </w:pPr>
            <w:r>
              <w:rPr>
                <w:rFonts w:ascii="Arial" w:cs="Arial" w:eastAsia="Arial" w:hAnsi="Arial"/>
                <w:sz w:val="18"/>
                <w:szCs w:val="18"/>
                <w:color w:val="auto"/>
                <w:w w:val="97"/>
              </w:rPr>
              <w:t>Quotient Technology, Inc.</w:t>
            </w:r>
          </w:p>
        </w:tc>
      </w:tr>
      <w:tr>
        <w:trPr>
          <w:trHeight w:val="270"/>
        </w:trPr>
        <w:tc>
          <w:tcPr>
            <w:tcW w:w="2380" w:type="dxa"/>
            <w:vAlign w:val="bottom"/>
          </w:tcPr>
          <w:p>
            <w:pPr>
              <w:spacing w:after="0"/>
              <w:rPr>
                <w:sz w:val="20"/>
                <w:szCs w:val="20"/>
                <w:color w:val="auto"/>
              </w:rPr>
            </w:pPr>
            <w:r>
              <w:rPr>
                <w:rFonts w:ascii="Arial" w:cs="Arial" w:eastAsia="Arial" w:hAnsi="Arial"/>
                <w:sz w:val="18"/>
                <w:szCs w:val="18"/>
                <w:color w:val="auto"/>
              </w:rPr>
              <w:t>Box, Inc.</w:t>
            </w:r>
          </w:p>
        </w:tc>
        <w:tc>
          <w:tcPr>
            <w:tcW w:w="3020" w:type="dxa"/>
            <w:vAlign w:val="bottom"/>
          </w:tcPr>
          <w:p>
            <w:pPr>
              <w:ind w:left="400"/>
              <w:spacing w:after="0"/>
              <w:rPr>
                <w:sz w:val="20"/>
                <w:szCs w:val="20"/>
                <w:color w:val="auto"/>
              </w:rPr>
            </w:pPr>
            <w:r>
              <w:rPr>
                <w:rFonts w:ascii="Arial" w:cs="Arial" w:eastAsia="Arial" w:hAnsi="Arial"/>
                <w:sz w:val="18"/>
                <w:szCs w:val="18"/>
                <w:color w:val="auto"/>
              </w:rPr>
              <w:t>Etsy, Inc.</w:t>
            </w:r>
          </w:p>
        </w:tc>
        <w:tc>
          <w:tcPr>
            <w:tcW w:w="2600" w:type="dxa"/>
            <w:vAlign w:val="bottom"/>
          </w:tcPr>
          <w:p>
            <w:pPr>
              <w:ind w:left="440"/>
              <w:spacing w:after="0"/>
              <w:rPr>
                <w:sz w:val="20"/>
                <w:szCs w:val="20"/>
                <w:color w:val="auto"/>
              </w:rPr>
            </w:pPr>
            <w:r>
              <w:rPr>
                <w:rFonts w:ascii="Arial" w:cs="Arial" w:eastAsia="Arial" w:hAnsi="Arial"/>
                <w:sz w:val="18"/>
                <w:szCs w:val="18"/>
                <w:color w:val="auto"/>
              </w:rPr>
              <w:t>New Relic, Inc.</w:t>
            </w:r>
          </w:p>
        </w:tc>
        <w:tc>
          <w:tcPr>
            <w:tcW w:w="2380" w:type="dxa"/>
            <w:vAlign w:val="bottom"/>
          </w:tcPr>
          <w:p>
            <w:pPr>
              <w:ind w:left="360"/>
              <w:spacing w:after="0"/>
              <w:rPr>
                <w:sz w:val="20"/>
                <w:szCs w:val="20"/>
                <w:color w:val="auto"/>
              </w:rPr>
            </w:pPr>
            <w:r>
              <w:rPr>
                <w:rFonts w:ascii="Arial" w:cs="Arial" w:eastAsia="Arial" w:hAnsi="Arial"/>
                <w:sz w:val="18"/>
                <w:szCs w:val="18"/>
                <w:color w:val="auto"/>
              </w:rPr>
              <w:t>Stitch Fix, Inc.</w:t>
            </w:r>
          </w:p>
        </w:tc>
      </w:tr>
      <w:tr>
        <w:trPr>
          <w:trHeight w:val="270"/>
        </w:trPr>
        <w:tc>
          <w:tcPr>
            <w:tcW w:w="2380" w:type="dxa"/>
            <w:vAlign w:val="bottom"/>
          </w:tcPr>
          <w:p>
            <w:pPr>
              <w:spacing w:after="0"/>
              <w:rPr>
                <w:sz w:val="20"/>
                <w:szCs w:val="20"/>
                <w:color w:val="auto"/>
              </w:rPr>
            </w:pPr>
            <w:r>
              <w:rPr>
                <w:rFonts w:ascii="Arial" w:cs="Arial" w:eastAsia="Arial" w:hAnsi="Arial"/>
                <w:sz w:val="18"/>
                <w:szCs w:val="18"/>
                <w:color w:val="auto"/>
              </w:rPr>
              <w:t>Cars.com Inc.</w:t>
            </w:r>
          </w:p>
        </w:tc>
        <w:tc>
          <w:tcPr>
            <w:tcW w:w="3020" w:type="dxa"/>
            <w:vAlign w:val="bottom"/>
          </w:tcPr>
          <w:p>
            <w:pPr>
              <w:ind w:left="400"/>
              <w:spacing w:after="0"/>
              <w:rPr>
                <w:sz w:val="20"/>
                <w:szCs w:val="20"/>
                <w:color w:val="auto"/>
              </w:rPr>
            </w:pPr>
            <w:r>
              <w:rPr>
                <w:rFonts w:ascii="Arial" w:cs="Arial" w:eastAsia="Arial" w:hAnsi="Arial"/>
                <w:sz w:val="18"/>
                <w:szCs w:val="18"/>
                <w:color w:val="auto"/>
              </w:rPr>
              <w:t>Getty Images Holdings, Inc.</w:t>
            </w:r>
          </w:p>
        </w:tc>
        <w:tc>
          <w:tcPr>
            <w:tcW w:w="2600" w:type="dxa"/>
            <w:vAlign w:val="bottom"/>
          </w:tcPr>
          <w:p>
            <w:pPr>
              <w:ind w:left="440"/>
              <w:spacing w:after="0"/>
              <w:rPr>
                <w:sz w:val="20"/>
                <w:szCs w:val="20"/>
                <w:color w:val="auto"/>
              </w:rPr>
            </w:pPr>
            <w:r>
              <w:rPr>
                <w:rFonts w:ascii="Arial" w:cs="Arial" w:eastAsia="Arial" w:hAnsi="Arial"/>
                <w:sz w:val="18"/>
                <w:szCs w:val="18"/>
                <w:color w:val="auto"/>
              </w:rPr>
              <w:t>Paycom Software, Inc.</w:t>
            </w:r>
          </w:p>
        </w:tc>
        <w:tc>
          <w:tcPr>
            <w:tcW w:w="2380" w:type="dxa"/>
            <w:vAlign w:val="bottom"/>
          </w:tcPr>
          <w:p>
            <w:pPr>
              <w:ind w:left="360"/>
              <w:spacing w:after="0"/>
              <w:rPr>
                <w:sz w:val="20"/>
                <w:szCs w:val="20"/>
                <w:color w:val="auto"/>
              </w:rPr>
            </w:pPr>
            <w:r>
              <w:rPr>
                <w:rFonts w:ascii="Arial" w:cs="Arial" w:eastAsia="Arial" w:hAnsi="Arial"/>
                <w:sz w:val="18"/>
                <w:szCs w:val="18"/>
                <w:color w:val="auto"/>
              </w:rPr>
              <w:t>TrueCar, Inc.</w:t>
            </w:r>
          </w:p>
        </w:tc>
      </w:tr>
      <w:tr>
        <w:trPr>
          <w:trHeight w:val="270"/>
        </w:trPr>
        <w:tc>
          <w:tcPr>
            <w:tcW w:w="2380" w:type="dxa"/>
            <w:vAlign w:val="bottom"/>
          </w:tcPr>
          <w:p>
            <w:pPr>
              <w:spacing w:after="0"/>
              <w:rPr>
                <w:sz w:val="20"/>
                <w:szCs w:val="20"/>
                <w:color w:val="auto"/>
              </w:rPr>
            </w:pPr>
            <w:r>
              <w:rPr>
                <w:rFonts w:ascii="Arial" w:cs="Arial" w:eastAsia="Arial" w:hAnsi="Arial"/>
                <w:sz w:val="18"/>
                <w:szCs w:val="18"/>
                <w:color w:val="auto"/>
              </w:rPr>
              <w:t>Dropbox, Inc.</w:t>
            </w:r>
          </w:p>
        </w:tc>
        <w:tc>
          <w:tcPr>
            <w:tcW w:w="3020" w:type="dxa"/>
            <w:vAlign w:val="bottom"/>
          </w:tcPr>
          <w:p>
            <w:pPr>
              <w:ind w:left="400"/>
              <w:spacing w:after="0"/>
              <w:rPr>
                <w:sz w:val="20"/>
                <w:szCs w:val="20"/>
                <w:color w:val="auto"/>
              </w:rPr>
            </w:pPr>
            <w:r>
              <w:rPr>
                <w:rFonts w:ascii="Arial" w:cs="Arial" w:eastAsia="Arial" w:hAnsi="Arial"/>
                <w:sz w:val="18"/>
                <w:szCs w:val="18"/>
                <w:color w:val="auto"/>
              </w:rPr>
              <w:t>LivePerson, Inc.</w:t>
            </w:r>
          </w:p>
        </w:tc>
        <w:tc>
          <w:tcPr>
            <w:tcW w:w="2600" w:type="dxa"/>
            <w:vAlign w:val="bottom"/>
          </w:tcPr>
          <w:p>
            <w:pPr>
              <w:ind w:left="440"/>
              <w:spacing w:after="0"/>
              <w:rPr>
                <w:sz w:val="20"/>
                <w:szCs w:val="20"/>
                <w:color w:val="auto"/>
              </w:rPr>
            </w:pPr>
            <w:r>
              <w:rPr>
                <w:rFonts w:ascii="Arial" w:cs="Arial" w:eastAsia="Arial" w:hAnsi="Arial"/>
                <w:sz w:val="18"/>
                <w:szCs w:val="18"/>
                <w:color w:val="auto"/>
              </w:rPr>
              <w:t>Pinterest, Inc.</w:t>
            </w:r>
          </w:p>
        </w:tc>
        <w:tc>
          <w:tcPr>
            <w:tcW w:w="2380" w:type="dxa"/>
            <w:vAlign w:val="bottom"/>
          </w:tcPr>
          <w:p>
            <w:pPr>
              <w:ind w:left="360"/>
              <w:spacing w:after="0"/>
              <w:rPr>
                <w:sz w:val="20"/>
                <w:szCs w:val="20"/>
                <w:color w:val="auto"/>
              </w:rPr>
            </w:pPr>
            <w:r>
              <w:rPr>
                <w:rFonts w:ascii="Arial" w:cs="Arial" w:eastAsia="Arial" w:hAnsi="Arial"/>
                <w:sz w:val="18"/>
                <w:szCs w:val="18"/>
                <w:color w:val="auto"/>
              </w:rPr>
              <w:t>Vimeo, Inc.</w:t>
            </w:r>
          </w:p>
        </w:tc>
      </w:tr>
      <w:tr>
        <w:trPr>
          <w:trHeight w:val="270"/>
        </w:trPr>
        <w:tc>
          <w:tcPr>
            <w:tcW w:w="2380" w:type="dxa"/>
            <w:vAlign w:val="bottom"/>
          </w:tcPr>
          <w:p>
            <w:pPr>
              <w:spacing w:after="0"/>
              <w:rPr>
                <w:sz w:val="23"/>
                <w:szCs w:val="23"/>
                <w:color w:val="auto"/>
              </w:rPr>
            </w:pPr>
          </w:p>
        </w:tc>
        <w:tc>
          <w:tcPr>
            <w:tcW w:w="3020" w:type="dxa"/>
            <w:vAlign w:val="bottom"/>
          </w:tcPr>
          <w:p>
            <w:pPr>
              <w:spacing w:after="0"/>
              <w:rPr>
                <w:sz w:val="23"/>
                <w:szCs w:val="23"/>
                <w:color w:val="auto"/>
              </w:rPr>
            </w:pPr>
          </w:p>
        </w:tc>
        <w:tc>
          <w:tcPr>
            <w:tcW w:w="2600" w:type="dxa"/>
            <w:vAlign w:val="bottom"/>
          </w:tcPr>
          <w:p>
            <w:pPr>
              <w:ind w:left="440"/>
              <w:spacing w:after="0"/>
              <w:rPr>
                <w:sz w:val="20"/>
                <w:szCs w:val="20"/>
                <w:color w:val="auto"/>
              </w:rPr>
            </w:pPr>
            <w:r>
              <w:rPr>
                <w:rFonts w:ascii="Arial" w:cs="Arial" w:eastAsia="Arial" w:hAnsi="Arial"/>
                <w:sz w:val="18"/>
                <w:szCs w:val="18"/>
                <w:color w:val="auto"/>
              </w:rPr>
              <w:t>QuinStreet, Inc.</w:t>
            </w:r>
          </w:p>
        </w:tc>
        <w:tc>
          <w:tcPr>
            <w:tcW w:w="2380" w:type="dxa"/>
            <w:vAlign w:val="bottom"/>
          </w:tcPr>
          <w:p>
            <w:pPr>
              <w:ind w:left="360"/>
              <w:spacing w:after="0"/>
              <w:rPr>
                <w:sz w:val="20"/>
                <w:szCs w:val="20"/>
                <w:color w:val="auto"/>
              </w:rPr>
            </w:pPr>
            <w:r>
              <w:rPr>
                <w:rFonts w:ascii="Arial" w:cs="Arial" w:eastAsia="Arial" w:hAnsi="Arial"/>
                <w:sz w:val="18"/>
                <w:szCs w:val="18"/>
                <w:color w:val="auto"/>
              </w:rPr>
              <w:t>Yelp Inc.</w:t>
            </w:r>
          </w:p>
        </w:tc>
      </w:tr>
    </w:tbl>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Chairman Compensation</w:t>
      </w:r>
    </w:p>
    <w:p>
      <w:pPr>
        <w:spacing w:after="0" w:line="117"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Mr. Oringer, our founder, has served as our Executive Chairman since April 2020 and previously served as our interim CEO for several months during fiscal 2022 and as our CEO for 17 years from the time he founded the Company in 2003 until 2020. In developing compensation recommendations for Mr. Oringer, our Compensation Committee, in its business judgment, has sought to appropriately reward Mr. Oringer’s critical contributions to the Company’s ongoing success and the success of our brand and to create incentives for Mr. Oringer to continue to contribute significantly to successful results in the future.</w:t>
      </w:r>
    </w:p>
    <w:p>
      <w:pPr>
        <w:spacing w:after="0" w:line="71"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Since April 2014, Mr. Oringer’s annual base salary has been $1.00 (one dollar) and Mr. Oringer has remained ineligible to receive an annual cash bonus. In providing for a $1.00 (one dollar) salary, the Compensation Committee determined to instead tie Mr. Oringer’s compensation almost entirely to the Company’s long-term business objectives and long-term stock price performance. In each of April 2022, 2023 and 2024, the Compensation Committee approved an award of performance stock units (“PSUs”) for Mr. Oringer with a grant-date value of $5,500,000, $5,500,000 and $5,225,000, respectively, which in each case vest over a 3-year period based on achievement of revenue growth and adjusted EBITDA margin targets in accordance with the Company-set goals for management. The target number of PSUs for each award was determined by dividing (x) the cash value of the award by (y) the average of the Company’s closing price for a share of Common Stock on each trading day during the 30 trading days period ending on the date immediately prior to the applicable grant date, rounded down to the nearest whole number of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240"/>
          </w:cols>
          <w:pgMar w:left="320" w:top="877"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2024 NEO Departures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Fiscal 2024 was a year of transition for our executive team, as follows:</w:t>
      </w:r>
    </w:p>
    <w:p>
      <w:pPr>
        <w:spacing w:after="0" w:line="117" w:lineRule="exact"/>
        <w:rPr>
          <w:sz w:val="20"/>
          <w:szCs w:val="20"/>
          <w:color w:val="auto"/>
        </w:rPr>
      </w:pPr>
    </w:p>
    <w:p>
      <w:pPr>
        <w:ind w:left="660" w:right="20" w:hanging="328"/>
        <w:spacing w:after="0" w:line="259"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On August 19, 2024, the Company notified John Caine that his employment as Chief Product and Digital Officer of the Company would end, effective August 23, 2024. In accordance with Section 7(a) of his Employment Agreement, Mr. Caine received base salary for the 12-month severance period, a pro-rated annual bonus for the portion of fiscal 2024 that he served in his role, and accelerated vesting of the outstanding equity awards that would have become vested in the subsequent 12-month period. Mr. Caine forfeited his other outstanding equity awards as of August 23, 2024.</w:t>
      </w:r>
    </w:p>
    <w:p>
      <w:pPr>
        <w:spacing w:after="0" w:line="71" w:lineRule="exact"/>
        <w:rPr>
          <w:rFonts w:ascii="Arial" w:cs="Arial" w:eastAsia="Arial" w:hAnsi="Arial"/>
          <w:sz w:val="18"/>
          <w:szCs w:val="18"/>
          <w:color w:val="auto"/>
        </w:rPr>
      </w:pPr>
    </w:p>
    <w:p>
      <w:pPr>
        <w:ind w:left="660" w:right="100" w:hanging="328"/>
        <w:spacing w:after="0" w:line="259"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On October 24, 2024, Jarrod Yahes notified the Company of his resignation as Chief Financial Officer, effective November 1, 2024. Mr. Yahes remained with the Company in an advisory role through December 31, 2024, during which time he continued to earn his annual base salary until December 31, 2024 and remained eligible to earn an annual cash bonus for the full 2024 fiscal year pursuant to his Transition Agreement dated October 31, 2024. Mr. Yahes’ outstanding unvested equity awards were forfeited as of November 1, 2024.</w:t>
      </w:r>
    </w:p>
    <w:p>
      <w:pPr>
        <w:spacing w:after="0" w:line="71" w:lineRule="exact"/>
        <w:rPr>
          <w:rFonts w:ascii="Arial" w:cs="Arial" w:eastAsia="Arial" w:hAnsi="Arial"/>
          <w:sz w:val="18"/>
          <w:szCs w:val="18"/>
          <w:color w:val="auto"/>
        </w:rPr>
      </w:pPr>
    </w:p>
    <w:p>
      <w:pPr>
        <w:ind w:left="660" w:right="180" w:hanging="328"/>
        <w:spacing w:after="0" w:line="259"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On October 28, 2024, the Board unanimously appointed Rik Powell, the Company’s Senior Vice President, Finance and Investor Relations since June 2024, as the Company’s Chief Financial Officer, effective November 1, 2024. Prior to joining the Company in June 2024, Mr. Powell was Senior Vice President, Finance and Investor Relations at Shake Shack Inc., a NYSE-traded quick services restaurant group, for two years. Mr. Powell also served as the Chief Financial Officer of Getty Images Holdings, Inc., a NYSE-traded global visual content creator and marketplace, from 2017 to 2020.</w:t>
      </w:r>
    </w:p>
    <w:p>
      <w:pPr>
        <w:spacing w:after="0" w:line="75" w:lineRule="exact"/>
        <w:rPr>
          <w:sz w:val="20"/>
          <w:szCs w:val="20"/>
          <w:color w:val="auto"/>
        </w:rPr>
      </w:pPr>
    </w:p>
    <w:p>
      <w:pPr>
        <w:spacing w:after="0"/>
        <w:rPr>
          <w:sz w:val="20"/>
          <w:szCs w:val="20"/>
          <w:color w:val="auto"/>
        </w:rPr>
      </w:pPr>
      <w:r>
        <w:rPr>
          <w:rFonts w:ascii="Arial" w:cs="Arial" w:eastAsia="Arial" w:hAnsi="Arial"/>
          <w:sz w:val="22"/>
          <w:szCs w:val="22"/>
          <w:b w:val="1"/>
          <w:bCs w:val="1"/>
          <w:color w:val="EF3A35"/>
        </w:rPr>
        <w:t>Section 3 – Elements of 2024 Compensation</w:t>
      </w:r>
    </w:p>
    <w:p>
      <w:pPr>
        <w:spacing w:after="0" w:line="108" w:lineRule="exact"/>
        <w:rPr>
          <w:sz w:val="20"/>
          <w:szCs w:val="20"/>
          <w:color w:val="auto"/>
        </w:rPr>
      </w:pPr>
    </w:p>
    <w:p>
      <w:pPr>
        <w:ind w:right="160" w:firstLine="324"/>
        <w:spacing w:after="0" w:line="287" w:lineRule="auto"/>
        <w:rPr>
          <w:sz w:val="20"/>
          <w:szCs w:val="20"/>
          <w:color w:val="auto"/>
        </w:rPr>
      </w:pPr>
      <w:r>
        <w:rPr>
          <w:rFonts w:ascii="Arial" w:cs="Arial" w:eastAsia="Arial" w:hAnsi="Arial"/>
          <w:sz w:val="18"/>
          <w:szCs w:val="18"/>
          <w:color w:val="auto"/>
        </w:rPr>
        <w:t>The principal elements of our executive compensation program for our other NEOs are set forth in the following table and described in more detail below.</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23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EF3A35"/>
              </w:rPr>
              <w:t>Compensation Element</w:t>
            </w:r>
          </w:p>
        </w:tc>
        <w:tc>
          <w:tcPr>
            <w:tcW w:w="446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EF3A35"/>
              </w:rPr>
              <w:t>Characteristics</w:t>
            </w:r>
          </w:p>
        </w:tc>
        <w:tc>
          <w:tcPr>
            <w:tcW w:w="390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EF3A35"/>
              </w:rPr>
              <w:t>Objectives</w:t>
            </w:r>
          </w:p>
        </w:tc>
      </w:tr>
      <w:tr>
        <w:trPr>
          <w:trHeight w:val="224"/>
        </w:trPr>
        <w:tc>
          <w:tcPr>
            <w:tcW w:w="2360" w:type="dxa"/>
            <w:vAlign w:val="bottom"/>
          </w:tcPr>
          <w:p>
            <w:pPr>
              <w:ind w:left="20"/>
              <w:spacing w:after="0"/>
              <w:rPr>
                <w:sz w:val="20"/>
                <w:szCs w:val="20"/>
                <w:color w:val="auto"/>
              </w:rPr>
            </w:pPr>
            <w:r>
              <w:rPr>
                <w:rFonts w:ascii="Arial" w:cs="Arial" w:eastAsia="Arial" w:hAnsi="Arial"/>
                <w:sz w:val="18"/>
                <w:szCs w:val="18"/>
                <w:b w:val="1"/>
                <w:bCs w:val="1"/>
                <w:color w:val="EF3A35"/>
              </w:rPr>
              <w:t>Base Salary</w:t>
            </w:r>
          </w:p>
        </w:tc>
        <w:tc>
          <w:tcPr>
            <w:tcW w:w="4460" w:type="dxa"/>
            <w:vAlign w:val="bottom"/>
          </w:tcPr>
          <w:p>
            <w:pPr>
              <w:ind w:left="320"/>
              <w:spacing w:after="0"/>
              <w:rPr>
                <w:sz w:val="20"/>
                <w:szCs w:val="20"/>
                <w:color w:val="auto"/>
              </w:rPr>
            </w:pPr>
            <w:r>
              <w:rPr>
                <w:rFonts w:ascii="Arial" w:cs="Arial" w:eastAsia="Arial" w:hAnsi="Arial"/>
                <w:sz w:val="18"/>
                <w:szCs w:val="18"/>
                <w:color w:val="auto"/>
              </w:rPr>
              <w:t>Annual fixed cash compensation</w:t>
            </w:r>
          </w:p>
        </w:tc>
        <w:tc>
          <w:tcPr>
            <w:tcW w:w="3900" w:type="dxa"/>
            <w:vAlign w:val="bottom"/>
          </w:tcPr>
          <w:p>
            <w:pPr>
              <w:ind w:left="180"/>
              <w:spacing w:after="0"/>
              <w:rPr>
                <w:sz w:val="20"/>
                <w:szCs w:val="20"/>
                <w:color w:val="auto"/>
              </w:rPr>
            </w:pPr>
            <w:r>
              <w:rPr>
                <w:rFonts w:ascii="Arial" w:cs="Arial" w:eastAsia="Arial" w:hAnsi="Arial"/>
                <w:sz w:val="18"/>
                <w:szCs w:val="18"/>
                <w:color w:val="auto"/>
              </w:rPr>
              <w:t>Provide a fixed level of cash compensation to</w:t>
            </w:r>
          </w:p>
        </w:tc>
      </w:tr>
      <w:tr>
        <w:trPr>
          <w:trHeight w:val="216"/>
        </w:trPr>
        <w:tc>
          <w:tcPr>
            <w:tcW w:w="236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3900" w:type="dxa"/>
            <w:vAlign w:val="bottom"/>
          </w:tcPr>
          <w:p>
            <w:pPr>
              <w:ind w:left="180"/>
              <w:spacing w:after="0"/>
              <w:rPr>
                <w:sz w:val="20"/>
                <w:szCs w:val="20"/>
                <w:color w:val="auto"/>
              </w:rPr>
            </w:pPr>
            <w:r>
              <w:rPr>
                <w:rFonts w:ascii="Arial" w:cs="Arial" w:eastAsia="Arial" w:hAnsi="Arial"/>
                <w:sz w:val="18"/>
                <w:szCs w:val="18"/>
                <w:color w:val="auto"/>
              </w:rPr>
              <w:t>attract, retain and reward talented and skilled</w:t>
            </w:r>
          </w:p>
        </w:tc>
      </w:tr>
      <w:tr>
        <w:trPr>
          <w:trHeight w:val="216"/>
        </w:trPr>
        <w:tc>
          <w:tcPr>
            <w:tcW w:w="236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3900" w:type="dxa"/>
            <w:vAlign w:val="bottom"/>
          </w:tcPr>
          <w:p>
            <w:pPr>
              <w:ind w:left="180"/>
              <w:spacing w:after="0"/>
              <w:rPr>
                <w:sz w:val="20"/>
                <w:szCs w:val="20"/>
                <w:color w:val="auto"/>
              </w:rPr>
            </w:pPr>
            <w:r>
              <w:rPr>
                <w:rFonts w:ascii="Arial" w:cs="Arial" w:eastAsia="Arial" w:hAnsi="Arial"/>
                <w:sz w:val="18"/>
                <w:szCs w:val="18"/>
                <w:color w:val="auto"/>
              </w:rPr>
              <w:t>executive talent that is competitive for</w:t>
            </w:r>
          </w:p>
        </w:tc>
      </w:tr>
      <w:tr>
        <w:trPr>
          <w:trHeight w:val="239"/>
        </w:trPr>
        <w:tc>
          <w:tcPr>
            <w:tcW w:w="236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3900" w:type="dxa"/>
            <w:vAlign w:val="bottom"/>
          </w:tcPr>
          <w:p>
            <w:pPr>
              <w:ind w:left="180"/>
              <w:spacing w:after="0"/>
              <w:rPr>
                <w:sz w:val="20"/>
                <w:szCs w:val="20"/>
                <w:color w:val="auto"/>
              </w:rPr>
            </w:pPr>
            <w:r>
              <w:rPr>
                <w:rFonts w:ascii="Arial" w:cs="Arial" w:eastAsia="Arial" w:hAnsi="Arial"/>
                <w:sz w:val="18"/>
                <w:szCs w:val="18"/>
                <w:color w:val="auto"/>
              </w:rPr>
              <w:t>executive talent specific to our industry.</w:t>
            </w:r>
          </w:p>
        </w:tc>
      </w:tr>
      <w:tr>
        <w:trPr>
          <w:trHeight w:val="23"/>
        </w:trPr>
        <w:tc>
          <w:tcPr>
            <w:tcW w:w="2360" w:type="dxa"/>
            <w:vAlign w:val="bottom"/>
            <w:tcBorders>
              <w:bottom w:val="single" w:sz="8" w:color="auto"/>
            </w:tcBorders>
          </w:tcPr>
          <w:p>
            <w:pPr>
              <w:spacing w:after="0"/>
              <w:rPr>
                <w:sz w:val="2"/>
                <w:szCs w:val="2"/>
                <w:color w:val="auto"/>
              </w:rPr>
            </w:pPr>
          </w:p>
        </w:tc>
        <w:tc>
          <w:tcPr>
            <w:tcW w:w="4460" w:type="dxa"/>
            <w:vAlign w:val="bottom"/>
            <w:tcBorders>
              <w:bottom w:val="single" w:sz="8" w:color="auto"/>
            </w:tcBorders>
          </w:tcPr>
          <w:p>
            <w:pPr>
              <w:spacing w:after="0"/>
              <w:rPr>
                <w:sz w:val="2"/>
                <w:szCs w:val="2"/>
                <w:color w:val="auto"/>
              </w:rPr>
            </w:pPr>
          </w:p>
        </w:tc>
        <w:tc>
          <w:tcPr>
            <w:tcW w:w="3900" w:type="dxa"/>
            <w:vAlign w:val="bottom"/>
            <w:tcBorders>
              <w:bottom w:val="single" w:sz="8" w:color="auto"/>
            </w:tcBorders>
          </w:tcPr>
          <w:p>
            <w:pPr>
              <w:spacing w:after="0"/>
              <w:rPr>
                <w:sz w:val="2"/>
                <w:szCs w:val="2"/>
                <w:color w:val="auto"/>
              </w:rPr>
            </w:pPr>
          </w:p>
        </w:tc>
      </w:tr>
      <w:tr>
        <w:trPr>
          <w:trHeight w:val="218"/>
        </w:trPr>
        <w:tc>
          <w:tcPr>
            <w:tcW w:w="2360" w:type="dxa"/>
            <w:vAlign w:val="bottom"/>
          </w:tcPr>
          <w:p>
            <w:pPr>
              <w:ind w:left="20"/>
              <w:spacing w:after="0"/>
              <w:rPr>
                <w:sz w:val="20"/>
                <w:szCs w:val="20"/>
                <w:color w:val="auto"/>
              </w:rPr>
            </w:pPr>
            <w:r>
              <w:rPr>
                <w:rFonts w:ascii="Arial" w:cs="Arial" w:eastAsia="Arial" w:hAnsi="Arial"/>
                <w:sz w:val="18"/>
                <w:szCs w:val="18"/>
                <w:b w:val="1"/>
                <w:bCs w:val="1"/>
                <w:color w:val="EF3A35"/>
              </w:rPr>
              <w:t>Annual Bonuses</w:t>
            </w:r>
          </w:p>
        </w:tc>
        <w:tc>
          <w:tcPr>
            <w:tcW w:w="4460" w:type="dxa"/>
            <w:vAlign w:val="bottom"/>
          </w:tcPr>
          <w:p>
            <w:pPr>
              <w:ind w:left="320"/>
              <w:spacing w:after="0"/>
              <w:rPr>
                <w:sz w:val="20"/>
                <w:szCs w:val="20"/>
                <w:color w:val="auto"/>
              </w:rPr>
            </w:pPr>
            <w:r>
              <w:rPr>
                <w:rFonts w:ascii="Arial" w:cs="Arial" w:eastAsia="Arial" w:hAnsi="Arial"/>
                <w:sz w:val="18"/>
                <w:szCs w:val="18"/>
                <w:color w:val="auto"/>
              </w:rPr>
              <w:t>Annual variable, performance-based cash</w:t>
            </w:r>
          </w:p>
        </w:tc>
        <w:tc>
          <w:tcPr>
            <w:tcW w:w="3900" w:type="dxa"/>
            <w:vAlign w:val="bottom"/>
          </w:tcPr>
          <w:p>
            <w:pPr>
              <w:ind w:left="180"/>
              <w:spacing w:after="0"/>
              <w:rPr>
                <w:sz w:val="20"/>
                <w:szCs w:val="20"/>
                <w:color w:val="auto"/>
              </w:rPr>
            </w:pPr>
            <w:r>
              <w:rPr>
                <w:rFonts w:ascii="Arial" w:cs="Arial" w:eastAsia="Arial" w:hAnsi="Arial"/>
                <w:sz w:val="18"/>
                <w:szCs w:val="18"/>
                <w:color w:val="auto"/>
              </w:rPr>
              <w:t>Motivate and reward the achievement of</w:t>
            </w:r>
          </w:p>
        </w:tc>
      </w:tr>
      <w:tr>
        <w:trPr>
          <w:trHeight w:val="216"/>
        </w:trPr>
        <w:tc>
          <w:tcPr>
            <w:tcW w:w="2360" w:type="dxa"/>
            <w:vAlign w:val="bottom"/>
          </w:tcPr>
          <w:p>
            <w:pPr>
              <w:spacing w:after="0"/>
              <w:rPr>
                <w:sz w:val="18"/>
                <w:szCs w:val="18"/>
                <w:color w:val="auto"/>
              </w:rPr>
            </w:pPr>
          </w:p>
        </w:tc>
        <w:tc>
          <w:tcPr>
            <w:tcW w:w="4460" w:type="dxa"/>
            <w:vAlign w:val="bottom"/>
          </w:tcPr>
          <w:p>
            <w:pPr>
              <w:ind w:left="320"/>
              <w:spacing w:after="0"/>
              <w:rPr>
                <w:sz w:val="20"/>
                <w:szCs w:val="20"/>
                <w:color w:val="auto"/>
              </w:rPr>
            </w:pPr>
            <w:r>
              <w:rPr>
                <w:rFonts w:ascii="Arial" w:cs="Arial" w:eastAsia="Arial" w:hAnsi="Arial"/>
                <w:sz w:val="18"/>
                <w:szCs w:val="18"/>
                <w:color w:val="auto"/>
              </w:rPr>
              <w:t>compensation determined by achievement of pre-</w:t>
            </w:r>
          </w:p>
        </w:tc>
        <w:tc>
          <w:tcPr>
            <w:tcW w:w="3900" w:type="dxa"/>
            <w:vAlign w:val="bottom"/>
          </w:tcPr>
          <w:p>
            <w:pPr>
              <w:ind w:left="180"/>
              <w:spacing w:after="0"/>
              <w:rPr>
                <w:sz w:val="20"/>
                <w:szCs w:val="20"/>
                <w:color w:val="auto"/>
              </w:rPr>
            </w:pPr>
            <w:r>
              <w:rPr>
                <w:rFonts w:ascii="Arial" w:cs="Arial" w:eastAsia="Arial" w:hAnsi="Arial"/>
                <w:sz w:val="18"/>
                <w:szCs w:val="18"/>
                <w:color w:val="auto"/>
                <w:w w:val="99"/>
              </w:rPr>
              <w:t>annual financial and other operating objectives</w:t>
            </w:r>
          </w:p>
        </w:tc>
      </w:tr>
      <w:tr>
        <w:trPr>
          <w:trHeight w:val="216"/>
        </w:trPr>
        <w:tc>
          <w:tcPr>
            <w:tcW w:w="2360" w:type="dxa"/>
            <w:vAlign w:val="bottom"/>
          </w:tcPr>
          <w:p>
            <w:pPr>
              <w:spacing w:after="0"/>
              <w:rPr>
                <w:sz w:val="18"/>
                <w:szCs w:val="18"/>
                <w:color w:val="auto"/>
              </w:rPr>
            </w:pPr>
          </w:p>
        </w:tc>
        <w:tc>
          <w:tcPr>
            <w:tcW w:w="4460" w:type="dxa"/>
            <w:vAlign w:val="bottom"/>
          </w:tcPr>
          <w:p>
            <w:pPr>
              <w:ind w:left="320"/>
              <w:spacing w:after="0"/>
              <w:rPr>
                <w:sz w:val="20"/>
                <w:szCs w:val="20"/>
                <w:color w:val="auto"/>
              </w:rPr>
            </w:pPr>
            <w:r>
              <w:rPr>
                <w:rFonts w:ascii="Arial" w:cs="Arial" w:eastAsia="Arial" w:hAnsi="Arial"/>
                <w:sz w:val="18"/>
                <w:szCs w:val="18"/>
                <w:color w:val="auto"/>
              </w:rPr>
              <w:t>established annual corporate goals and individual</w:t>
            </w:r>
          </w:p>
        </w:tc>
        <w:tc>
          <w:tcPr>
            <w:tcW w:w="3900" w:type="dxa"/>
            <w:vAlign w:val="bottom"/>
          </w:tcPr>
          <w:p>
            <w:pPr>
              <w:ind w:left="180"/>
              <w:spacing w:after="0"/>
              <w:rPr>
                <w:sz w:val="20"/>
                <w:szCs w:val="20"/>
                <w:color w:val="auto"/>
              </w:rPr>
            </w:pPr>
            <w:r>
              <w:rPr>
                <w:rFonts w:ascii="Arial" w:cs="Arial" w:eastAsia="Arial" w:hAnsi="Arial"/>
                <w:sz w:val="18"/>
                <w:szCs w:val="18"/>
                <w:color w:val="auto"/>
              </w:rPr>
              <w:t>and individual performance to drive</w:t>
            </w:r>
          </w:p>
        </w:tc>
      </w:tr>
      <w:tr>
        <w:trPr>
          <w:trHeight w:val="239"/>
        </w:trPr>
        <w:tc>
          <w:tcPr>
            <w:tcW w:w="2360" w:type="dxa"/>
            <w:vAlign w:val="bottom"/>
          </w:tcPr>
          <w:p>
            <w:pPr>
              <w:spacing w:after="0"/>
              <w:rPr>
                <w:sz w:val="20"/>
                <w:szCs w:val="20"/>
                <w:color w:val="auto"/>
              </w:rPr>
            </w:pPr>
          </w:p>
        </w:tc>
        <w:tc>
          <w:tcPr>
            <w:tcW w:w="4460" w:type="dxa"/>
            <w:vAlign w:val="bottom"/>
          </w:tcPr>
          <w:p>
            <w:pPr>
              <w:ind w:left="320"/>
              <w:spacing w:after="0"/>
              <w:rPr>
                <w:sz w:val="20"/>
                <w:szCs w:val="20"/>
                <w:color w:val="auto"/>
              </w:rPr>
            </w:pPr>
            <w:r>
              <w:rPr>
                <w:rFonts w:ascii="Arial" w:cs="Arial" w:eastAsia="Arial" w:hAnsi="Arial"/>
                <w:sz w:val="18"/>
                <w:szCs w:val="18"/>
                <w:color w:val="auto"/>
              </w:rPr>
              <w:t>performance</w:t>
            </w:r>
          </w:p>
        </w:tc>
        <w:tc>
          <w:tcPr>
            <w:tcW w:w="3900" w:type="dxa"/>
            <w:vAlign w:val="bottom"/>
          </w:tcPr>
          <w:p>
            <w:pPr>
              <w:ind w:left="180"/>
              <w:spacing w:after="0"/>
              <w:rPr>
                <w:sz w:val="20"/>
                <w:szCs w:val="20"/>
                <w:color w:val="auto"/>
              </w:rPr>
            </w:pPr>
            <w:r>
              <w:rPr>
                <w:rFonts w:ascii="Arial" w:cs="Arial" w:eastAsia="Arial" w:hAnsi="Arial"/>
                <w:sz w:val="18"/>
                <w:szCs w:val="18"/>
                <w:color w:val="auto"/>
              </w:rPr>
              <w:t>stockholder value over time.</w:t>
            </w:r>
          </w:p>
        </w:tc>
      </w:tr>
      <w:tr>
        <w:trPr>
          <w:trHeight w:val="23"/>
        </w:trPr>
        <w:tc>
          <w:tcPr>
            <w:tcW w:w="2360" w:type="dxa"/>
            <w:vAlign w:val="bottom"/>
            <w:tcBorders>
              <w:bottom w:val="single" w:sz="8" w:color="auto"/>
            </w:tcBorders>
          </w:tcPr>
          <w:p>
            <w:pPr>
              <w:spacing w:after="0"/>
              <w:rPr>
                <w:sz w:val="2"/>
                <w:szCs w:val="2"/>
                <w:color w:val="auto"/>
              </w:rPr>
            </w:pPr>
          </w:p>
        </w:tc>
        <w:tc>
          <w:tcPr>
            <w:tcW w:w="4460" w:type="dxa"/>
            <w:vAlign w:val="bottom"/>
            <w:tcBorders>
              <w:bottom w:val="single" w:sz="8" w:color="auto"/>
            </w:tcBorders>
          </w:tcPr>
          <w:p>
            <w:pPr>
              <w:spacing w:after="0"/>
              <w:rPr>
                <w:sz w:val="2"/>
                <w:szCs w:val="2"/>
                <w:color w:val="auto"/>
              </w:rPr>
            </w:pPr>
          </w:p>
        </w:tc>
        <w:tc>
          <w:tcPr>
            <w:tcW w:w="3900" w:type="dxa"/>
            <w:vAlign w:val="bottom"/>
            <w:tcBorders>
              <w:bottom w:val="single" w:sz="8" w:color="auto"/>
            </w:tcBorders>
          </w:tcPr>
          <w:p>
            <w:pPr>
              <w:spacing w:after="0"/>
              <w:rPr>
                <w:sz w:val="2"/>
                <w:szCs w:val="2"/>
                <w:color w:val="auto"/>
              </w:rPr>
            </w:pPr>
          </w:p>
        </w:tc>
      </w:tr>
      <w:tr>
        <w:trPr>
          <w:trHeight w:val="218"/>
        </w:trPr>
        <w:tc>
          <w:tcPr>
            <w:tcW w:w="2360" w:type="dxa"/>
            <w:vAlign w:val="bottom"/>
          </w:tcPr>
          <w:p>
            <w:pPr>
              <w:ind w:left="20"/>
              <w:spacing w:after="0"/>
              <w:rPr>
                <w:sz w:val="20"/>
                <w:szCs w:val="20"/>
                <w:color w:val="auto"/>
              </w:rPr>
            </w:pPr>
            <w:r>
              <w:rPr>
                <w:rFonts w:ascii="Arial" w:cs="Arial" w:eastAsia="Arial" w:hAnsi="Arial"/>
                <w:sz w:val="18"/>
                <w:szCs w:val="18"/>
                <w:b w:val="1"/>
                <w:bCs w:val="1"/>
                <w:color w:val="EF3A35"/>
              </w:rPr>
              <w:t>Long-Term Incentive</w:t>
            </w:r>
          </w:p>
        </w:tc>
        <w:tc>
          <w:tcPr>
            <w:tcW w:w="4460" w:type="dxa"/>
            <w:vAlign w:val="bottom"/>
          </w:tcPr>
          <w:p>
            <w:pPr>
              <w:ind w:left="320"/>
              <w:spacing w:after="0"/>
              <w:rPr>
                <w:sz w:val="20"/>
                <w:szCs w:val="20"/>
                <w:color w:val="auto"/>
              </w:rPr>
            </w:pPr>
            <w:r>
              <w:rPr>
                <w:rFonts w:ascii="Arial" w:cs="Arial" w:eastAsia="Arial" w:hAnsi="Arial"/>
                <w:sz w:val="18"/>
                <w:szCs w:val="18"/>
                <w:color w:val="auto"/>
              </w:rPr>
              <w:t>Variable equity compensation in three forms: (a)</w:t>
            </w:r>
          </w:p>
        </w:tc>
        <w:tc>
          <w:tcPr>
            <w:tcW w:w="3900" w:type="dxa"/>
            <w:vAlign w:val="bottom"/>
          </w:tcPr>
          <w:p>
            <w:pPr>
              <w:ind w:left="180"/>
              <w:spacing w:after="0"/>
              <w:rPr>
                <w:sz w:val="20"/>
                <w:szCs w:val="20"/>
                <w:color w:val="auto"/>
              </w:rPr>
            </w:pPr>
            <w:r>
              <w:rPr>
                <w:rFonts w:ascii="Arial" w:cs="Arial" w:eastAsia="Arial" w:hAnsi="Arial"/>
                <w:sz w:val="18"/>
                <w:szCs w:val="18"/>
                <w:color w:val="auto"/>
              </w:rPr>
              <w:t>Align an executive’s interest with that of</w:t>
            </w:r>
          </w:p>
        </w:tc>
      </w:tr>
      <w:tr>
        <w:trPr>
          <w:trHeight w:val="216"/>
        </w:trPr>
        <w:tc>
          <w:tcPr>
            <w:tcW w:w="2360" w:type="dxa"/>
            <w:vAlign w:val="bottom"/>
          </w:tcPr>
          <w:p>
            <w:pPr>
              <w:ind w:left="20"/>
              <w:spacing w:after="0"/>
              <w:rPr>
                <w:sz w:val="20"/>
                <w:szCs w:val="20"/>
                <w:color w:val="auto"/>
              </w:rPr>
            </w:pPr>
            <w:r>
              <w:rPr>
                <w:rFonts w:ascii="Arial" w:cs="Arial" w:eastAsia="Arial" w:hAnsi="Arial"/>
                <w:sz w:val="18"/>
                <w:szCs w:val="18"/>
                <w:b w:val="1"/>
                <w:bCs w:val="1"/>
                <w:color w:val="EF3A35"/>
              </w:rPr>
              <w:t>Compensation</w:t>
            </w:r>
          </w:p>
        </w:tc>
        <w:tc>
          <w:tcPr>
            <w:tcW w:w="4460" w:type="dxa"/>
            <w:vAlign w:val="bottom"/>
          </w:tcPr>
          <w:p>
            <w:pPr>
              <w:ind w:left="320"/>
              <w:spacing w:after="0"/>
              <w:rPr>
                <w:sz w:val="20"/>
                <w:szCs w:val="20"/>
                <w:color w:val="auto"/>
              </w:rPr>
            </w:pPr>
            <w:r>
              <w:rPr>
                <w:rFonts w:ascii="Arial" w:cs="Arial" w:eastAsia="Arial" w:hAnsi="Arial"/>
                <w:sz w:val="18"/>
                <w:szCs w:val="18"/>
                <w:color w:val="auto"/>
              </w:rPr>
              <w:t>stock options, (b) restricted stock units, both of</w:t>
            </w:r>
          </w:p>
        </w:tc>
        <w:tc>
          <w:tcPr>
            <w:tcW w:w="3900" w:type="dxa"/>
            <w:vAlign w:val="bottom"/>
          </w:tcPr>
          <w:p>
            <w:pPr>
              <w:ind w:left="180"/>
              <w:spacing w:after="0"/>
              <w:rPr>
                <w:sz w:val="20"/>
                <w:szCs w:val="20"/>
                <w:color w:val="auto"/>
              </w:rPr>
            </w:pPr>
            <w:r>
              <w:rPr>
                <w:rFonts w:ascii="Arial" w:cs="Arial" w:eastAsia="Arial" w:hAnsi="Arial"/>
                <w:sz w:val="18"/>
                <w:szCs w:val="18"/>
                <w:color w:val="auto"/>
              </w:rPr>
              <w:t>stockholders and motivate and reward</w:t>
            </w:r>
          </w:p>
        </w:tc>
      </w:tr>
      <w:tr>
        <w:trPr>
          <w:trHeight w:val="216"/>
        </w:trPr>
        <w:tc>
          <w:tcPr>
            <w:tcW w:w="2360" w:type="dxa"/>
            <w:vAlign w:val="bottom"/>
          </w:tcPr>
          <w:p>
            <w:pPr>
              <w:spacing w:after="0"/>
              <w:rPr>
                <w:sz w:val="18"/>
                <w:szCs w:val="18"/>
                <w:color w:val="auto"/>
              </w:rPr>
            </w:pPr>
          </w:p>
        </w:tc>
        <w:tc>
          <w:tcPr>
            <w:tcW w:w="4460" w:type="dxa"/>
            <w:vAlign w:val="bottom"/>
          </w:tcPr>
          <w:p>
            <w:pPr>
              <w:ind w:left="320"/>
              <w:spacing w:after="0"/>
              <w:rPr>
                <w:sz w:val="20"/>
                <w:szCs w:val="20"/>
                <w:color w:val="auto"/>
              </w:rPr>
            </w:pPr>
            <w:r>
              <w:rPr>
                <w:rFonts w:ascii="Arial" w:cs="Arial" w:eastAsia="Arial" w:hAnsi="Arial"/>
                <w:sz w:val="18"/>
                <w:szCs w:val="18"/>
                <w:color w:val="auto"/>
              </w:rPr>
              <w:t>which vest in annual installments over a period of</w:t>
            </w:r>
          </w:p>
        </w:tc>
        <w:tc>
          <w:tcPr>
            <w:tcW w:w="3900" w:type="dxa"/>
            <w:vAlign w:val="bottom"/>
          </w:tcPr>
          <w:p>
            <w:pPr>
              <w:ind w:left="180"/>
              <w:spacing w:after="0"/>
              <w:rPr>
                <w:sz w:val="20"/>
                <w:szCs w:val="20"/>
                <w:color w:val="auto"/>
              </w:rPr>
            </w:pPr>
            <w:r>
              <w:rPr>
                <w:rFonts w:ascii="Arial" w:cs="Arial" w:eastAsia="Arial" w:hAnsi="Arial"/>
                <w:sz w:val="18"/>
                <w:szCs w:val="18"/>
                <w:color w:val="auto"/>
              </w:rPr>
              <w:t>profitable growth and increases in stock price</w:t>
            </w:r>
          </w:p>
        </w:tc>
      </w:tr>
      <w:tr>
        <w:trPr>
          <w:trHeight w:val="216"/>
        </w:trPr>
        <w:tc>
          <w:tcPr>
            <w:tcW w:w="2360" w:type="dxa"/>
            <w:vAlign w:val="bottom"/>
          </w:tcPr>
          <w:p>
            <w:pPr>
              <w:spacing w:after="0"/>
              <w:rPr>
                <w:sz w:val="18"/>
                <w:szCs w:val="18"/>
                <w:color w:val="auto"/>
              </w:rPr>
            </w:pPr>
          </w:p>
        </w:tc>
        <w:tc>
          <w:tcPr>
            <w:tcW w:w="4460" w:type="dxa"/>
            <w:vAlign w:val="bottom"/>
          </w:tcPr>
          <w:p>
            <w:pPr>
              <w:ind w:left="320"/>
              <w:spacing w:after="0"/>
              <w:rPr>
                <w:sz w:val="20"/>
                <w:szCs w:val="20"/>
                <w:color w:val="auto"/>
              </w:rPr>
            </w:pPr>
            <w:r>
              <w:rPr>
                <w:rFonts w:ascii="Arial" w:cs="Arial" w:eastAsia="Arial" w:hAnsi="Arial"/>
                <w:sz w:val="18"/>
                <w:szCs w:val="18"/>
                <w:color w:val="auto"/>
              </w:rPr>
              <w:t>years; and/or (c) performance stock units, which</w:t>
            </w:r>
          </w:p>
        </w:tc>
        <w:tc>
          <w:tcPr>
            <w:tcW w:w="3900" w:type="dxa"/>
            <w:vAlign w:val="bottom"/>
          </w:tcPr>
          <w:p>
            <w:pPr>
              <w:ind w:left="180"/>
              <w:spacing w:after="0"/>
              <w:rPr>
                <w:sz w:val="20"/>
                <w:szCs w:val="20"/>
                <w:color w:val="auto"/>
              </w:rPr>
            </w:pPr>
            <w:r>
              <w:rPr>
                <w:rFonts w:ascii="Arial" w:cs="Arial" w:eastAsia="Arial" w:hAnsi="Arial"/>
                <w:sz w:val="18"/>
                <w:szCs w:val="18"/>
                <w:color w:val="auto"/>
              </w:rPr>
              <w:t>over time. Aid in attraction and retention of</w:t>
            </w:r>
          </w:p>
        </w:tc>
      </w:tr>
      <w:tr>
        <w:trPr>
          <w:trHeight w:val="216"/>
        </w:trPr>
        <w:tc>
          <w:tcPr>
            <w:tcW w:w="2360" w:type="dxa"/>
            <w:vAlign w:val="bottom"/>
          </w:tcPr>
          <w:p>
            <w:pPr>
              <w:spacing w:after="0"/>
              <w:rPr>
                <w:sz w:val="18"/>
                <w:szCs w:val="18"/>
                <w:color w:val="auto"/>
              </w:rPr>
            </w:pPr>
          </w:p>
        </w:tc>
        <w:tc>
          <w:tcPr>
            <w:tcW w:w="4460" w:type="dxa"/>
            <w:vAlign w:val="bottom"/>
          </w:tcPr>
          <w:p>
            <w:pPr>
              <w:ind w:left="320"/>
              <w:spacing w:after="0"/>
              <w:rPr>
                <w:sz w:val="20"/>
                <w:szCs w:val="20"/>
                <w:color w:val="auto"/>
              </w:rPr>
            </w:pPr>
            <w:r>
              <w:rPr>
                <w:rFonts w:ascii="Arial" w:cs="Arial" w:eastAsia="Arial" w:hAnsi="Arial"/>
                <w:sz w:val="18"/>
                <w:szCs w:val="18"/>
                <w:color w:val="auto"/>
              </w:rPr>
              <w:t>vest based on achievement of company financial</w:t>
            </w:r>
          </w:p>
        </w:tc>
        <w:tc>
          <w:tcPr>
            <w:tcW w:w="3900" w:type="dxa"/>
            <w:vAlign w:val="bottom"/>
          </w:tcPr>
          <w:p>
            <w:pPr>
              <w:ind w:left="180"/>
              <w:spacing w:after="0"/>
              <w:rPr>
                <w:sz w:val="20"/>
                <w:szCs w:val="20"/>
                <w:color w:val="auto"/>
              </w:rPr>
            </w:pPr>
            <w:r>
              <w:rPr>
                <w:rFonts w:ascii="Arial" w:cs="Arial" w:eastAsia="Arial" w:hAnsi="Arial"/>
                <w:sz w:val="18"/>
                <w:szCs w:val="18"/>
                <w:color w:val="auto"/>
              </w:rPr>
              <w:t>executive talent.</w:t>
            </w:r>
          </w:p>
        </w:tc>
      </w:tr>
      <w:tr>
        <w:trPr>
          <w:trHeight w:val="239"/>
        </w:trPr>
        <w:tc>
          <w:tcPr>
            <w:tcW w:w="2360" w:type="dxa"/>
            <w:vAlign w:val="bottom"/>
          </w:tcPr>
          <w:p>
            <w:pPr>
              <w:spacing w:after="0"/>
              <w:rPr>
                <w:sz w:val="20"/>
                <w:szCs w:val="20"/>
                <w:color w:val="auto"/>
              </w:rPr>
            </w:pPr>
          </w:p>
        </w:tc>
        <w:tc>
          <w:tcPr>
            <w:tcW w:w="4460" w:type="dxa"/>
            <w:vAlign w:val="bottom"/>
          </w:tcPr>
          <w:p>
            <w:pPr>
              <w:ind w:left="320"/>
              <w:spacing w:after="0"/>
              <w:rPr>
                <w:sz w:val="20"/>
                <w:szCs w:val="20"/>
                <w:color w:val="auto"/>
              </w:rPr>
            </w:pPr>
            <w:r>
              <w:rPr>
                <w:rFonts w:ascii="Arial" w:cs="Arial" w:eastAsia="Arial" w:hAnsi="Arial"/>
                <w:sz w:val="18"/>
                <w:szCs w:val="18"/>
                <w:color w:val="auto"/>
              </w:rPr>
              <w:t>goals</w:t>
            </w:r>
          </w:p>
        </w:tc>
        <w:tc>
          <w:tcPr>
            <w:tcW w:w="39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680656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06565" cy="8890"/>
                    </a:xfrm>
                    <a:prstGeom prst="rect">
                      <a:avLst/>
                    </a:prstGeom>
                    <a:noFill/>
                  </pic:spPr>
                </pic:pic>
              </a:graphicData>
            </a:graphic>
          </wp:anchor>
        </w:drawing>
      </w:r>
    </w:p>
    <w:p>
      <w:pPr>
        <w:sectPr>
          <w:pgSz w:w="11900" w:h="16838" w:orient="portrait"/>
          <w:cols w:equalWidth="0" w:num="1">
            <w:col w:w="11140"/>
          </w:cols>
          <w:pgMar w:left="320" w:top="877" w:right="439" w:bottom="1440" w:gutter="0" w:footer="0" w:header="0"/>
        </w:sectPr>
      </w:pPr>
    </w:p>
    <w:p>
      <w:pPr>
        <w:spacing w:after="0" w:line="45" w:lineRule="exact"/>
        <w:rPr>
          <w:sz w:val="20"/>
          <w:szCs w:val="20"/>
          <w:color w:val="auto"/>
        </w:rPr>
      </w:pPr>
    </w:p>
    <w:p>
      <w:pPr>
        <w:ind w:left="20"/>
        <w:spacing w:after="0"/>
        <w:tabs>
          <w:tab w:leader="none" w:pos="2660" w:val="left"/>
        </w:tabs>
        <w:rPr>
          <w:sz w:val="20"/>
          <w:szCs w:val="20"/>
          <w:color w:val="auto"/>
        </w:rPr>
      </w:pPr>
      <w:r>
        <w:rPr>
          <w:rFonts w:ascii="Arial" w:cs="Arial" w:eastAsia="Arial" w:hAnsi="Arial"/>
          <w:sz w:val="18"/>
          <w:szCs w:val="18"/>
          <w:b w:val="1"/>
          <w:bCs w:val="1"/>
          <w:color w:val="EF3A35"/>
        </w:rPr>
        <w:t>Other Compensation</w:t>
      </w:r>
      <w:r>
        <w:rPr>
          <w:sz w:val="20"/>
          <w:szCs w:val="20"/>
          <w:color w:val="auto"/>
        </w:rPr>
        <w:tab/>
      </w:r>
      <w:r>
        <w:rPr>
          <w:rFonts w:ascii="Arial" w:cs="Arial" w:eastAsia="Arial" w:hAnsi="Arial"/>
          <w:sz w:val="18"/>
          <w:szCs w:val="18"/>
          <w:color w:val="auto"/>
        </w:rPr>
        <w:t>Indirect compensation elements consisting of</w:t>
      </w:r>
    </w:p>
    <w:p>
      <w:pPr>
        <w:spacing w:after="0" w:line="27" w:lineRule="exact"/>
        <w:rPr>
          <w:sz w:val="20"/>
          <w:szCs w:val="20"/>
          <w:color w:val="auto"/>
        </w:rPr>
      </w:pPr>
    </w:p>
    <w:p>
      <w:pPr>
        <w:ind w:left="2680"/>
        <w:spacing w:after="0" w:line="254" w:lineRule="auto"/>
        <w:rPr>
          <w:sz w:val="20"/>
          <w:szCs w:val="20"/>
          <w:color w:val="auto"/>
        </w:rPr>
      </w:pPr>
      <w:r>
        <w:rPr>
          <w:rFonts w:ascii="Arial" w:cs="Arial" w:eastAsia="Arial" w:hAnsi="Arial"/>
          <w:sz w:val="18"/>
          <w:szCs w:val="18"/>
          <w:color w:val="auto"/>
        </w:rPr>
        <w:t>programs such as medical, dental and vision insurance, a 401(k) plan, life and disability insurance, flexible spending accounts and other plans and programs made available to eligible employees</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ind w:right="680"/>
        <w:spacing w:after="0" w:line="278" w:lineRule="auto"/>
        <w:rPr>
          <w:sz w:val="20"/>
          <w:szCs w:val="20"/>
          <w:color w:val="auto"/>
        </w:rPr>
      </w:pPr>
      <w:r>
        <w:rPr>
          <w:rFonts w:ascii="Arial" w:cs="Arial" w:eastAsia="Arial" w:hAnsi="Arial"/>
          <w:sz w:val="17"/>
          <w:szCs w:val="17"/>
          <w:color w:val="auto"/>
        </w:rPr>
        <w:t>Provide benefits that promote employee health and welfare, wellness and retirement income and learning and development opportunities, which assist in attracting and retaining our executive officers.</w:t>
      </w:r>
    </w:p>
    <w:p>
      <w:pPr>
        <w:spacing w:after="0" w:line="393" w:lineRule="exact"/>
        <w:rPr>
          <w:sz w:val="20"/>
          <w:szCs w:val="20"/>
          <w:color w:val="auto"/>
        </w:rPr>
      </w:pPr>
    </w:p>
    <w:p>
      <w:pPr>
        <w:sectPr>
          <w:pgSz w:w="11900" w:h="16838" w:orient="portrait"/>
          <w:cols w:equalWidth="0" w:num="2">
            <w:col w:w="6480" w:space="520"/>
            <w:col w:w="4140"/>
          </w:cols>
          <w:pgMar w:left="320" w:top="877" w:right="439" w:bottom="1440" w:gutter="0" w:footer="0" w:header="0"/>
          <w:type w:val="continuous"/>
        </w:sectPr>
      </w:pPr>
    </w:p>
    <w:p>
      <w:pPr>
        <w:ind w:firstLine="324"/>
        <w:spacing w:after="0" w:line="268" w:lineRule="auto"/>
        <w:rPr>
          <w:sz w:val="20"/>
          <w:szCs w:val="20"/>
          <w:color w:val="auto"/>
        </w:rPr>
      </w:pPr>
      <w:r>
        <w:rPr>
          <w:rFonts w:ascii="Arial" w:cs="Arial" w:eastAsia="Arial" w:hAnsi="Arial"/>
          <w:sz w:val="18"/>
          <w:szCs w:val="18"/>
          <w:color w:val="auto"/>
        </w:rPr>
        <w:t>We arrive at total compensation levels by determining appropriate levels for each element. The relative weight of each element is determined by the Compensation Committee based on its assessment of the effectiveness of each element in supporting our short-term and long-term strategic objectives.</w:t>
      </w:r>
    </w:p>
    <w:p>
      <w:pPr>
        <w:spacing w:after="0" w:line="63" w:lineRule="exact"/>
        <w:rPr>
          <w:sz w:val="20"/>
          <w:szCs w:val="20"/>
          <w:color w:val="auto"/>
        </w:rPr>
      </w:pPr>
    </w:p>
    <w:p>
      <w:pPr>
        <w:jc w:val="both"/>
        <w:ind w:right="260" w:firstLine="324"/>
        <w:spacing w:after="0" w:line="268" w:lineRule="auto"/>
        <w:rPr>
          <w:sz w:val="20"/>
          <w:szCs w:val="20"/>
          <w:color w:val="auto"/>
        </w:rPr>
      </w:pPr>
      <w:r>
        <w:rPr>
          <w:rFonts w:ascii="Arial" w:cs="Arial" w:eastAsia="Arial" w:hAnsi="Arial"/>
          <w:sz w:val="18"/>
          <w:szCs w:val="18"/>
          <w:color w:val="auto"/>
        </w:rPr>
        <w:t>In determining compensation for our NEOs, our Compensation Committee, with recommendations from our management, considers many variables, including each executive’s respective experience. While not formulaic or exhaustive, the variables considered in the past include:</w:t>
      </w:r>
    </w:p>
    <w:p>
      <w:pPr>
        <w:sectPr>
          <w:pgSz w:w="11900" w:h="16838" w:orient="portrait"/>
          <w:cols w:equalWidth="0" w:num="1">
            <w:col w:w="11140"/>
          </w:cols>
          <w:pgMar w:left="320" w:top="877"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140"/>
          </w:cols>
          <w:pgMar w:left="320" w:top="877" w:right="439" w:bottom="1440" w:gutter="0" w:footer="0" w:header="0"/>
          <w:type w:val="continuous"/>
        </w:sectPr>
      </w:pPr>
    </w:p>
    <w:bookmarkStart w:id="27" w:name="page28"/>
    <w:bookmarkEnd w:id="27"/>
    <w:p>
      <w:pPr>
        <w:ind w:left="680" w:hanging="294"/>
        <w:spacing w:after="0"/>
        <w:tabs>
          <w:tab w:leader="none" w:pos="6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experience, knowledge, and performance of the executive officer in question;</w:t>
      </w:r>
    </w:p>
    <w:p>
      <w:pPr>
        <w:spacing w:after="0" w:line="63" w:lineRule="exact"/>
        <w:rPr>
          <w:rFonts w:ascii="Arial" w:cs="Arial" w:eastAsia="Arial" w:hAnsi="Arial"/>
          <w:sz w:val="18"/>
          <w:szCs w:val="18"/>
          <w:color w:val="auto"/>
        </w:rPr>
      </w:pPr>
    </w:p>
    <w:p>
      <w:pPr>
        <w:ind w:left="680" w:hanging="294"/>
        <w:spacing w:after="0"/>
        <w:tabs>
          <w:tab w:leader="none" w:pos="6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competitive market for similar executive talent;</w:t>
      </w:r>
    </w:p>
    <w:p>
      <w:pPr>
        <w:spacing w:after="0" w:line="63" w:lineRule="exact"/>
        <w:rPr>
          <w:rFonts w:ascii="Arial" w:cs="Arial" w:eastAsia="Arial" w:hAnsi="Arial"/>
          <w:sz w:val="18"/>
          <w:szCs w:val="18"/>
          <w:color w:val="auto"/>
        </w:rPr>
      </w:pPr>
    </w:p>
    <w:p>
      <w:pPr>
        <w:ind w:left="680" w:hanging="294"/>
        <w:spacing w:after="0"/>
        <w:tabs>
          <w:tab w:leader="none" w:pos="6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how critical the retention of any particular executive is to achieving the Company’s strategic goals;</w:t>
      </w:r>
    </w:p>
    <w:p>
      <w:pPr>
        <w:spacing w:after="0" w:line="63" w:lineRule="exact"/>
        <w:rPr>
          <w:rFonts w:ascii="Arial" w:cs="Arial" w:eastAsia="Arial" w:hAnsi="Arial"/>
          <w:sz w:val="18"/>
          <w:szCs w:val="18"/>
          <w:color w:val="auto"/>
        </w:rPr>
      </w:pPr>
    </w:p>
    <w:p>
      <w:pPr>
        <w:ind w:left="680" w:hanging="294"/>
        <w:spacing w:after="0"/>
        <w:tabs>
          <w:tab w:leader="none" w:pos="6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performance of the Company against internal performance targets;</w:t>
      </w:r>
    </w:p>
    <w:p>
      <w:pPr>
        <w:spacing w:after="0" w:line="63" w:lineRule="exact"/>
        <w:rPr>
          <w:rFonts w:ascii="Arial" w:cs="Arial" w:eastAsia="Arial" w:hAnsi="Arial"/>
          <w:sz w:val="18"/>
          <w:szCs w:val="18"/>
          <w:color w:val="auto"/>
        </w:rPr>
      </w:pPr>
    </w:p>
    <w:p>
      <w:pPr>
        <w:ind w:left="680" w:hanging="294"/>
        <w:spacing w:after="0"/>
        <w:tabs>
          <w:tab w:leader="none" w:pos="6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how well an executive works across business teams to promote overall corporate goals;</w:t>
      </w:r>
    </w:p>
    <w:p>
      <w:pPr>
        <w:spacing w:after="0" w:line="63" w:lineRule="exact"/>
        <w:rPr>
          <w:rFonts w:ascii="Arial" w:cs="Arial" w:eastAsia="Arial" w:hAnsi="Arial"/>
          <w:sz w:val="18"/>
          <w:szCs w:val="18"/>
          <w:color w:val="auto"/>
        </w:rPr>
      </w:pPr>
    </w:p>
    <w:p>
      <w:pPr>
        <w:ind w:left="680" w:hanging="294"/>
        <w:spacing w:after="0"/>
        <w:tabs>
          <w:tab w:leader="none" w:pos="6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future potential contributions of the executive; and</w:t>
      </w:r>
    </w:p>
    <w:p>
      <w:pPr>
        <w:spacing w:after="0" w:line="63" w:lineRule="exact"/>
        <w:rPr>
          <w:rFonts w:ascii="Arial" w:cs="Arial" w:eastAsia="Arial" w:hAnsi="Arial"/>
          <w:sz w:val="18"/>
          <w:szCs w:val="18"/>
          <w:color w:val="auto"/>
        </w:rPr>
      </w:pPr>
    </w:p>
    <w:p>
      <w:pPr>
        <w:ind w:left="680" w:hanging="294"/>
        <w:spacing w:after="0"/>
        <w:tabs>
          <w:tab w:leader="none" w:pos="6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pre-existing employment agreements between the Company and an executive officer.</w:t>
      </w:r>
    </w:p>
    <w:p>
      <w:pPr>
        <w:spacing w:after="0" w:line="239" w:lineRule="exact"/>
        <w:rPr>
          <w:sz w:val="20"/>
          <w:szCs w:val="20"/>
          <w:color w:val="auto"/>
        </w:rPr>
      </w:pPr>
    </w:p>
    <w:p>
      <w:pPr>
        <w:ind w:right="40" w:firstLine="324"/>
        <w:spacing w:after="0" w:line="287" w:lineRule="auto"/>
        <w:rPr>
          <w:sz w:val="20"/>
          <w:szCs w:val="20"/>
          <w:color w:val="auto"/>
        </w:rPr>
      </w:pPr>
      <w:r>
        <w:rPr>
          <w:rFonts w:ascii="Arial" w:cs="Arial" w:eastAsia="Arial" w:hAnsi="Arial"/>
          <w:sz w:val="18"/>
          <w:szCs w:val="18"/>
          <w:color w:val="auto"/>
        </w:rPr>
        <w:t>Based on this analysis, the Compensation Committee makes determinations as to each element of the compensation package, weighing each component in its discretion based on the facts and circumstances surrounding each NEO’s employment agreement or annual review.</w:t>
      </w:r>
    </w:p>
    <w:p>
      <w:pPr>
        <w:spacing w:after="0" w:line="45" w:lineRule="exact"/>
        <w:rPr>
          <w:sz w:val="20"/>
          <w:szCs w:val="20"/>
          <w:color w:val="auto"/>
        </w:rPr>
      </w:pPr>
    </w:p>
    <w:p>
      <w:pPr>
        <w:ind w:right="440" w:firstLine="324"/>
        <w:spacing w:after="0" w:line="287" w:lineRule="auto"/>
        <w:rPr>
          <w:sz w:val="20"/>
          <w:szCs w:val="20"/>
          <w:color w:val="auto"/>
        </w:rPr>
      </w:pPr>
      <w:r>
        <w:rPr>
          <w:rFonts w:ascii="Arial" w:cs="Arial" w:eastAsia="Arial" w:hAnsi="Arial"/>
          <w:sz w:val="18"/>
          <w:szCs w:val="18"/>
          <w:color w:val="auto"/>
        </w:rPr>
        <w:t>We believe that our compensation mix supports our objective of focusing on at-risk compensation having significant financial upside based on company and individual performance.</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Base Salary</w:t>
      </w:r>
    </w:p>
    <w:p>
      <w:pPr>
        <w:spacing w:after="0" w:line="117" w:lineRule="exact"/>
        <w:rPr>
          <w:sz w:val="20"/>
          <w:szCs w:val="20"/>
          <w:color w:val="auto"/>
        </w:rPr>
      </w:pPr>
    </w:p>
    <w:p>
      <w:pPr>
        <w:ind w:right="60" w:firstLine="324"/>
        <w:spacing w:after="0" w:line="262" w:lineRule="auto"/>
        <w:rPr>
          <w:sz w:val="20"/>
          <w:szCs w:val="20"/>
          <w:color w:val="auto"/>
        </w:rPr>
      </w:pPr>
      <w:r>
        <w:rPr>
          <w:rFonts w:ascii="Arial" w:cs="Arial" w:eastAsia="Arial" w:hAnsi="Arial"/>
          <w:sz w:val="18"/>
          <w:szCs w:val="18"/>
          <w:color w:val="auto"/>
        </w:rPr>
        <w:t>We provide a base salary to our NEOs, other than Mr. Oringer, to compensate them in cash at a fixed amount for services rendered on a day-to-day basis during the year. We strive to set base salaries at levels that are competitive based on our review of market data. The base salaries of all NEOs are reviewed annually and adjusted from time to time to reflect individual roles and performance as well as market conditions.</w:t>
      </w:r>
    </w:p>
    <w:p>
      <w:pPr>
        <w:spacing w:after="0" w:line="6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table below sets forth the base salaries for our named executive officers during fiscal year 2024.</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482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Named Executive Officer</w:t>
            </w:r>
          </w:p>
        </w:tc>
        <w:tc>
          <w:tcPr>
            <w:tcW w:w="6420" w:type="dxa"/>
            <w:vAlign w:val="bottom"/>
            <w:tcBorders>
              <w:bottom w:val="single" w:sz="8" w:color="auto"/>
            </w:tcBorders>
          </w:tcPr>
          <w:p>
            <w:pPr>
              <w:ind w:left="2660"/>
              <w:spacing w:after="0"/>
              <w:rPr>
                <w:sz w:val="20"/>
                <w:szCs w:val="20"/>
                <w:color w:val="auto"/>
              </w:rPr>
            </w:pPr>
            <w:r>
              <w:rPr>
                <w:rFonts w:ascii="Arial" w:cs="Arial" w:eastAsia="Arial" w:hAnsi="Arial"/>
                <w:sz w:val="18"/>
                <w:szCs w:val="18"/>
                <w:b w:val="1"/>
                <w:bCs w:val="1"/>
                <w:color w:val="auto"/>
              </w:rPr>
              <w:t>Fiscal 2024 Base Salary</w:t>
            </w:r>
          </w:p>
        </w:tc>
      </w:tr>
      <w:tr>
        <w:trPr>
          <w:trHeight w:val="247"/>
        </w:trPr>
        <w:tc>
          <w:tcPr>
            <w:tcW w:w="4820" w:type="dxa"/>
            <w:vAlign w:val="bottom"/>
          </w:tcPr>
          <w:p>
            <w:pPr>
              <w:ind w:left="20"/>
              <w:spacing w:after="0"/>
              <w:rPr>
                <w:sz w:val="20"/>
                <w:szCs w:val="20"/>
                <w:color w:val="auto"/>
              </w:rPr>
            </w:pPr>
            <w:r>
              <w:rPr>
                <w:rFonts w:ascii="Arial" w:cs="Arial" w:eastAsia="Arial" w:hAnsi="Arial"/>
                <w:sz w:val="18"/>
                <w:szCs w:val="18"/>
                <w:color w:val="auto"/>
              </w:rPr>
              <w:t>Jonathan Oringer</w:t>
            </w:r>
          </w:p>
        </w:tc>
        <w:tc>
          <w:tcPr>
            <w:tcW w:w="6420" w:type="dxa"/>
            <w:vAlign w:val="bottom"/>
          </w:tcPr>
          <w:p>
            <w:pPr>
              <w:jc w:val="center"/>
              <w:ind w:left="810"/>
              <w:spacing w:after="0"/>
              <w:rPr>
                <w:sz w:val="20"/>
                <w:szCs w:val="20"/>
                <w:color w:val="auto"/>
              </w:rPr>
            </w:pPr>
            <w:r>
              <w:rPr>
                <w:rFonts w:ascii="Arial" w:cs="Arial" w:eastAsia="Arial" w:hAnsi="Arial"/>
                <w:sz w:val="18"/>
                <w:szCs w:val="18"/>
                <w:color w:val="auto"/>
                <w:w w:val="99"/>
              </w:rPr>
              <w:t>$1</w:t>
            </w:r>
          </w:p>
        </w:tc>
      </w:tr>
      <w:tr>
        <w:trPr>
          <w:trHeight w:val="270"/>
        </w:trPr>
        <w:tc>
          <w:tcPr>
            <w:tcW w:w="4820" w:type="dxa"/>
            <w:vAlign w:val="bottom"/>
          </w:tcPr>
          <w:p>
            <w:pPr>
              <w:ind w:left="20"/>
              <w:spacing w:after="0"/>
              <w:rPr>
                <w:sz w:val="20"/>
                <w:szCs w:val="20"/>
                <w:color w:val="auto"/>
              </w:rPr>
            </w:pPr>
            <w:r>
              <w:rPr>
                <w:rFonts w:ascii="Arial" w:cs="Arial" w:eastAsia="Arial" w:hAnsi="Arial"/>
                <w:sz w:val="18"/>
                <w:szCs w:val="18"/>
                <w:color w:val="auto"/>
              </w:rPr>
              <w:t>Paul Hennessy</w:t>
            </w:r>
          </w:p>
        </w:tc>
        <w:tc>
          <w:tcPr>
            <w:tcW w:w="6420" w:type="dxa"/>
            <w:vAlign w:val="bottom"/>
          </w:tcPr>
          <w:p>
            <w:pPr>
              <w:jc w:val="center"/>
              <w:ind w:left="830"/>
              <w:spacing w:after="0"/>
              <w:rPr>
                <w:sz w:val="20"/>
                <w:szCs w:val="20"/>
                <w:color w:val="auto"/>
              </w:rPr>
            </w:pPr>
            <w:r>
              <w:rPr>
                <w:rFonts w:ascii="Arial" w:cs="Arial" w:eastAsia="Arial" w:hAnsi="Arial"/>
                <w:sz w:val="18"/>
                <w:szCs w:val="18"/>
                <w:color w:val="auto"/>
                <w:w w:val="98"/>
              </w:rPr>
              <w:t>$700,000</w:t>
            </w:r>
          </w:p>
        </w:tc>
      </w:tr>
      <w:tr>
        <w:trPr>
          <w:trHeight w:val="299"/>
        </w:trPr>
        <w:tc>
          <w:tcPr>
            <w:tcW w:w="4820" w:type="dxa"/>
            <w:vAlign w:val="bottom"/>
          </w:tcPr>
          <w:p>
            <w:pPr>
              <w:ind w:left="20"/>
              <w:spacing w:after="0"/>
              <w:rPr>
                <w:sz w:val="20"/>
                <w:szCs w:val="20"/>
                <w:color w:val="auto"/>
              </w:rPr>
            </w:pPr>
            <w:r>
              <w:rPr>
                <w:rFonts w:ascii="Arial" w:cs="Arial" w:eastAsia="Arial" w:hAnsi="Arial"/>
                <w:sz w:val="18"/>
                <w:szCs w:val="18"/>
                <w:color w:val="auto"/>
              </w:rPr>
              <w:t>Rik Powell</w:t>
            </w:r>
            <w:r>
              <w:rPr>
                <w:rFonts w:ascii="Arial" w:cs="Arial" w:eastAsia="Arial" w:hAnsi="Arial"/>
                <w:sz w:val="23"/>
                <w:szCs w:val="23"/>
                <w:color w:val="auto"/>
                <w:vertAlign w:val="superscript"/>
              </w:rPr>
              <w:t>(1)</w:t>
            </w:r>
          </w:p>
        </w:tc>
        <w:tc>
          <w:tcPr>
            <w:tcW w:w="6420" w:type="dxa"/>
            <w:vAlign w:val="bottom"/>
          </w:tcPr>
          <w:p>
            <w:pPr>
              <w:jc w:val="center"/>
              <w:ind w:left="830"/>
              <w:spacing w:after="0"/>
              <w:rPr>
                <w:sz w:val="20"/>
                <w:szCs w:val="20"/>
                <w:color w:val="auto"/>
              </w:rPr>
            </w:pPr>
            <w:r>
              <w:rPr>
                <w:rFonts w:ascii="Arial" w:cs="Arial" w:eastAsia="Arial" w:hAnsi="Arial"/>
                <w:sz w:val="18"/>
                <w:szCs w:val="18"/>
                <w:color w:val="auto"/>
                <w:w w:val="98"/>
              </w:rPr>
              <w:t>$450,000</w:t>
            </w:r>
          </w:p>
        </w:tc>
      </w:tr>
      <w:tr>
        <w:trPr>
          <w:trHeight w:val="270"/>
        </w:trPr>
        <w:tc>
          <w:tcPr>
            <w:tcW w:w="4820" w:type="dxa"/>
            <w:vAlign w:val="bottom"/>
          </w:tcPr>
          <w:p>
            <w:pPr>
              <w:ind w:left="20"/>
              <w:spacing w:after="0"/>
              <w:rPr>
                <w:sz w:val="20"/>
                <w:szCs w:val="20"/>
                <w:color w:val="auto"/>
              </w:rPr>
            </w:pPr>
            <w:r>
              <w:rPr>
                <w:rFonts w:ascii="Arial" w:cs="Arial" w:eastAsia="Arial" w:hAnsi="Arial"/>
                <w:sz w:val="18"/>
                <w:szCs w:val="18"/>
                <w:color w:val="auto"/>
              </w:rPr>
              <w:t>Jarrod Yahes</w:t>
            </w:r>
            <w:r>
              <w:rPr>
                <w:rFonts w:ascii="Arial" w:cs="Arial" w:eastAsia="Arial" w:hAnsi="Arial"/>
                <w:sz w:val="23"/>
                <w:szCs w:val="23"/>
                <w:color w:val="auto"/>
                <w:vertAlign w:val="superscript"/>
              </w:rPr>
              <w:t>(1)</w:t>
            </w:r>
          </w:p>
        </w:tc>
        <w:tc>
          <w:tcPr>
            <w:tcW w:w="6420" w:type="dxa"/>
            <w:vAlign w:val="bottom"/>
          </w:tcPr>
          <w:p>
            <w:pPr>
              <w:jc w:val="center"/>
              <w:ind w:left="830"/>
              <w:spacing w:after="0"/>
              <w:rPr>
                <w:sz w:val="20"/>
                <w:szCs w:val="20"/>
                <w:color w:val="auto"/>
              </w:rPr>
            </w:pPr>
            <w:r>
              <w:rPr>
                <w:rFonts w:ascii="Arial" w:cs="Arial" w:eastAsia="Arial" w:hAnsi="Arial"/>
                <w:sz w:val="18"/>
                <w:szCs w:val="18"/>
                <w:color w:val="auto"/>
                <w:w w:val="98"/>
              </w:rPr>
              <w:t>$550,000</w:t>
            </w:r>
          </w:p>
        </w:tc>
      </w:tr>
      <w:tr>
        <w:trPr>
          <w:trHeight w:val="311"/>
        </w:trPr>
        <w:tc>
          <w:tcPr>
            <w:tcW w:w="4820" w:type="dxa"/>
            <w:vAlign w:val="bottom"/>
          </w:tcPr>
          <w:p>
            <w:pPr>
              <w:ind w:left="20"/>
              <w:spacing w:after="0"/>
              <w:rPr>
                <w:sz w:val="20"/>
                <w:szCs w:val="20"/>
                <w:color w:val="auto"/>
              </w:rPr>
            </w:pPr>
            <w:r>
              <w:rPr>
                <w:rFonts w:ascii="Arial" w:cs="Arial" w:eastAsia="Arial" w:hAnsi="Arial"/>
                <w:sz w:val="18"/>
                <w:szCs w:val="18"/>
                <w:color w:val="auto"/>
              </w:rPr>
              <w:t>John Caine</w:t>
            </w:r>
            <w:r>
              <w:rPr>
                <w:rFonts w:ascii="Arial" w:cs="Arial" w:eastAsia="Arial" w:hAnsi="Arial"/>
                <w:sz w:val="23"/>
                <w:szCs w:val="23"/>
                <w:color w:val="auto"/>
                <w:vertAlign w:val="superscript"/>
              </w:rPr>
              <w:t>(1)</w:t>
            </w:r>
          </w:p>
        </w:tc>
        <w:tc>
          <w:tcPr>
            <w:tcW w:w="6420" w:type="dxa"/>
            <w:vAlign w:val="bottom"/>
          </w:tcPr>
          <w:p>
            <w:pPr>
              <w:jc w:val="center"/>
              <w:ind w:left="830"/>
              <w:spacing w:after="0"/>
              <w:rPr>
                <w:sz w:val="20"/>
                <w:szCs w:val="20"/>
                <w:color w:val="auto"/>
              </w:rPr>
            </w:pPr>
            <w:r>
              <w:rPr>
                <w:rFonts w:ascii="Arial" w:cs="Arial" w:eastAsia="Arial" w:hAnsi="Arial"/>
                <w:sz w:val="18"/>
                <w:szCs w:val="18"/>
                <w:color w:val="auto"/>
                <w:w w:val="98"/>
              </w:rPr>
              <w:t>$500,000</w:t>
            </w:r>
          </w:p>
        </w:tc>
      </w:tr>
    </w:tbl>
    <w:p>
      <w:pPr>
        <w:spacing w:after="0" w:line="66" w:lineRule="exact"/>
        <w:rPr>
          <w:sz w:val="20"/>
          <w:szCs w:val="20"/>
          <w:color w:val="auto"/>
        </w:rPr>
      </w:pPr>
    </w:p>
    <w:p>
      <w:pPr>
        <w:ind w:left="440" w:right="300" w:hanging="414"/>
        <w:spacing w:after="0" w:line="264" w:lineRule="auto"/>
        <w:tabs>
          <w:tab w:leader="none" w:pos="4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Each of Mr. Powell and Mr. Caine received a prorated portion of this base salary reflecting their respective terms of service during fiscal 2024. Mr. Yahes continued to earn his annual base salary following his resignation pursuant to his Transition Agreement.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Incentives</w:t>
      </w:r>
    </w:p>
    <w:p>
      <w:pPr>
        <w:spacing w:after="0" w:line="117" w:lineRule="exact"/>
        <w:rPr>
          <w:sz w:val="20"/>
          <w:szCs w:val="20"/>
          <w:color w:val="auto"/>
        </w:rPr>
      </w:pPr>
    </w:p>
    <w:p>
      <w:pPr>
        <w:ind w:right="220" w:firstLine="324"/>
        <w:spacing w:after="0" w:line="268" w:lineRule="auto"/>
        <w:rPr>
          <w:sz w:val="20"/>
          <w:szCs w:val="20"/>
          <w:color w:val="auto"/>
        </w:rPr>
      </w:pPr>
      <w:r>
        <w:rPr>
          <w:rFonts w:ascii="Arial" w:cs="Arial" w:eastAsia="Arial" w:hAnsi="Arial"/>
          <w:sz w:val="18"/>
          <w:szCs w:val="18"/>
          <w:color w:val="auto"/>
        </w:rPr>
        <w:t>In general, annual cash bonuses for our NEOs, other than Mr. Oringer, and other key employees are determined by our Compensation Committee on an annual basis. The annual cash incentive is an “at risk” bonus compensation program designed to foster a performance-oriented culture, where individual performance is aligned with the Company’s financial and business objectives.</w:t>
      </w:r>
    </w:p>
    <w:p>
      <w:pPr>
        <w:spacing w:after="0" w:line="63" w:lineRule="exact"/>
        <w:rPr>
          <w:sz w:val="20"/>
          <w:szCs w:val="20"/>
          <w:color w:val="auto"/>
        </w:rPr>
      </w:pPr>
    </w:p>
    <w:p>
      <w:pPr>
        <w:ind w:right="240" w:firstLine="324"/>
        <w:spacing w:after="0" w:line="287" w:lineRule="auto"/>
        <w:rPr>
          <w:sz w:val="20"/>
          <w:szCs w:val="20"/>
          <w:color w:val="auto"/>
        </w:rPr>
      </w:pPr>
      <w:r>
        <w:rPr>
          <w:rFonts w:ascii="Arial" w:cs="Arial" w:eastAsia="Arial" w:hAnsi="Arial"/>
          <w:sz w:val="18"/>
          <w:szCs w:val="18"/>
          <w:color w:val="auto"/>
        </w:rPr>
        <w:t>The Compensation Committee set the target incentive compensation for fiscal 2024 for each of our NEOs, other than Mr. Oringer, as a percentage of the NEO’s base salary as set forth below:</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24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Executive Officer</w:t>
            </w:r>
          </w:p>
        </w:tc>
        <w:tc>
          <w:tcPr>
            <w:tcW w:w="4320" w:type="dxa"/>
            <w:vAlign w:val="bottom"/>
            <w:tcBorders>
              <w:bottom w:val="single" w:sz="8" w:color="auto"/>
            </w:tcBorders>
          </w:tcPr>
          <w:p>
            <w:pPr>
              <w:ind w:left="960"/>
              <w:spacing w:after="0"/>
              <w:rPr>
                <w:sz w:val="20"/>
                <w:szCs w:val="20"/>
                <w:color w:val="auto"/>
              </w:rPr>
            </w:pPr>
            <w:r>
              <w:rPr>
                <w:rFonts w:ascii="Arial" w:cs="Arial" w:eastAsia="Arial" w:hAnsi="Arial"/>
                <w:sz w:val="18"/>
                <w:szCs w:val="18"/>
                <w:b w:val="1"/>
                <w:bCs w:val="1"/>
                <w:color w:val="auto"/>
              </w:rPr>
              <w:t>% of Base Salary Fiscal 2024</w:t>
            </w:r>
          </w:p>
        </w:tc>
        <w:tc>
          <w:tcPr>
            <w:tcW w:w="4460" w:type="dxa"/>
            <w:vAlign w:val="bottom"/>
            <w:tcBorders>
              <w:bottom w:val="single" w:sz="8" w:color="auto"/>
            </w:tcBorders>
          </w:tcPr>
          <w:p>
            <w:pPr>
              <w:ind w:left="880"/>
              <w:spacing w:after="0"/>
              <w:rPr>
                <w:sz w:val="20"/>
                <w:szCs w:val="20"/>
                <w:color w:val="auto"/>
              </w:rPr>
            </w:pPr>
            <w:r>
              <w:rPr>
                <w:rFonts w:ascii="Arial" w:cs="Arial" w:eastAsia="Arial" w:hAnsi="Arial"/>
                <w:sz w:val="18"/>
                <w:szCs w:val="18"/>
                <w:b w:val="1"/>
                <w:bCs w:val="1"/>
                <w:color w:val="auto"/>
              </w:rPr>
              <w:t>Target Incentive Compensation</w:t>
            </w:r>
          </w:p>
        </w:tc>
      </w:tr>
      <w:tr>
        <w:trPr>
          <w:trHeight w:val="247"/>
        </w:trPr>
        <w:tc>
          <w:tcPr>
            <w:tcW w:w="2460" w:type="dxa"/>
            <w:vAlign w:val="bottom"/>
          </w:tcPr>
          <w:p>
            <w:pPr>
              <w:ind w:left="20"/>
              <w:spacing w:after="0"/>
              <w:rPr>
                <w:sz w:val="20"/>
                <w:szCs w:val="20"/>
                <w:color w:val="auto"/>
              </w:rPr>
            </w:pPr>
            <w:r>
              <w:rPr>
                <w:rFonts w:ascii="Arial" w:cs="Arial" w:eastAsia="Arial" w:hAnsi="Arial"/>
                <w:sz w:val="18"/>
                <w:szCs w:val="18"/>
                <w:color w:val="auto"/>
              </w:rPr>
              <w:t>Paul Hennessy</w:t>
            </w:r>
          </w:p>
        </w:tc>
        <w:tc>
          <w:tcPr>
            <w:tcW w:w="4320" w:type="dxa"/>
            <w:vAlign w:val="bottom"/>
          </w:tcPr>
          <w:p>
            <w:pPr>
              <w:jc w:val="center"/>
              <w:spacing w:after="0"/>
              <w:rPr>
                <w:sz w:val="20"/>
                <w:szCs w:val="20"/>
                <w:color w:val="auto"/>
              </w:rPr>
            </w:pPr>
            <w:r>
              <w:rPr>
                <w:rFonts w:ascii="Arial" w:cs="Arial" w:eastAsia="Arial" w:hAnsi="Arial"/>
                <w:sz w:val="18"/>
                <w:szCs w:val="18"/>
                <w:color w:val="auto"/>
                <w:w w:val="99"/>
              </w:rPr>
              <w:t>100%</w:t>
            </w:r>
          </w:p>
        </w:tc>
        <w:tc>
          <w:tcPr>
            <w:tcW w:w="4460" w:type="dxa"/>
            <w:vAlign w:val="bottom"/>
          </w:tcPr>
          <w:p>
            <w:pPr>
              <w:jc w:val="center"/>
              <w:spacing w:after="0"/>
              <w:rPr>
                <w:sz w:val="20"/>
                <w:szCs w:val="20"/>
                <w:color w:val="auto"/>
              </w:rPr>
            </w:pPr>
            <w:r>
              <w:rPr>
                <w:rFonts w:ascii="Arial" w:cs="Arial" w:eastAsia="Arial" w:hAnsi="Arial"/>
                <w:sz w:val="18"/>
                <w:szCs w:val="18"/>
                <w:color w:val="auto"/>
                <w:w w:val="98"/>
              </w:rPr>
              <w:t>$700,000</w:t>
            </w:r>
          </w:p>
        </w:tc>
      </w:tr>
      <w:tr>
        <w:trPr>
          <w:trHeight w:val="299"/>
        </w:trPr>
        <w:tc>
          <w:tcPr>
            <w:tcW w:w="2460" w:type="dxa"/>
            <w:vAlign w:val="bottom"/>
          </w:tcPr>
          <w:p>
            <w:pPr>
              <w:ind w:left="20"/>
              <w:spacing w:after="0"/>
              <w:rPr>
                <w:sz w:val="20"/>
                <w:szCs w:val="20"/>
                <w:color w:val="auto"/>
              </w:rPr>
            </w:pPr>
            <w:r>
              <w:rPr>
                <w:rFonts w:ascii="Arial" w:cs="Arial" w:eastAsia="Arial" w:hAnsi="Arial"/>
                <w:sz w:val="18"/>
                <w:szCs w:val="18"/>
                <w:color w:val="auto"/>
              </w:rPr>
              <w:t>Rik Powell</w:t>
            </w:r>
            <w:r>
              <w:rPr>
                <w:rFonts w:ascii="Arial" w:cs="Arial" w:eastAsia="Arial" w:hAnsi="Arial"/>
                <w:sz w:val="23"/>
                <w:szCs w:val="23"/>
                <w:color w:val="auto"/>
                <w:vertAlign w:val="superscript"/>
              </w:rPr>
              <w:t>(1)</w:t>
            </w:r>
          </w:p>
        </w:tc>
        <w:tc>
          <w:tcPr>
            <w:tcW w:w="4320" w:type="dxa"/>
            <w:vAlign w:val="bottom"/>
          </w:tcPr>
          <w:p>
            <w:pPr>
              <w:jc w:val="center"/>
              <w:spacing w:after="0"/>
              <w:rPr>
                <w:sz w:val="20"/>
                <w:szCs w:val="20"/>
                <w:color w:val="auto"/>
              </w:rPr>
            </w:pPr>
            <w:r>
              <w:rPr>
                <w:rFonts w:ascii="Arial" w:cs="Arial" w:eastAsia="Arial" w:hAnsi="Arial"/>
                <w:sz w:val="18"/>
                <w:szCs w:val="18"/>
                <w:color w:val="auto"/>
                <w:w w:val="99"/>
              </w:rPr>
              <w:t>60%</w:t>
            </w:r>
          </w:p>
        </w:tc>
        <w:tc>
          <w:tcPr>
            <w:tcW w:w="4460" w:type="dxa"/>
            <w:vAlign w:val="bottom"/>
          </w:tcPr>
          <w:p>
            <w:pPr>
              <w:jc w:val="center"/>
              <w:spacing w:after="0"/>
              <w:rPr>
                <w:sz w:val="20"/>
                <w:szCs w:val="20"/>
                <w:color w:val="auto"/>
              </w:rPr>
            </w:pPr>
            <w:r>
              <w:rPr>
                <w:rFonts w:ascii="Arial" w:cs="Arial" w:eastAsia="Arial" w:hAnsi="Arial"/>
                <w:sz w:val="18"/>
                <w:szCs w:val="18"/>
                <w:color w:val="auto"/>
                <w:w w:val="95"/>
              </w:rPr>
              <w:t>$270,000</w:t>
            </w:r>
            <w:r>
              <w:rPr>
                <w:rFonts w:ascii="Arial" w:cs="Arial" w:eastAsia="Arial" w:hAnsi="Arial"/>
                <w:sz w:val="23"/>
                <w:szCs w:val="23"/>
                <w:color w:val="auto"/>
                <w:w w:val="95"/>
                <w:vertAlign w:val="superscript"/>
              </w:rPr>
              <w:t>(1)</w:t>
            </w:r>
          </w:p>
        </w:tc>
      </w:tr>
      <w:tr>
        <w:trPr>
          <w:trHeight w:val="270"/>
        </w:trPr>
        <w:tc>
          <w:tcPr>
            <w:tcW w:w="2460" w:type="dxa"/>
            <w:vAlign w:val="bottom"/>
          </w:tcPr>
          <w:p>
            <w:pPr>
              <w:ind w:left="20"/>
              <w:spacing w:after="0"/>
              <w:rPr>
                <w:sz w:val="20"/>
                <w:szCs w:val="20"/>
                <w:color w:val="auto"/>
              </w:rPr>
            </w:pPr>
            <w:r>
              <w:rPr>
                <w:rFonts w:ascii="Arial" w:cs="Arial" w:eastAsia="Arial" w:hAnsi="Arial"/>
                <w:sz w:val="18"/>
                <w:szCs w:val="18"/>
                <w:color w:val="auto"/>
              </w:rPr>
              <w:t>Jarrod Yahes</w:t>
            </w:r>
            <w:r>
              <w:rPr>
                <w:rFonts w:ascii="Arial" w:cs="Arial" w:eastAsia="Arial" w:hAnsi="Arial"/>
                <w:sz w:val="23"/>
                <w:szCs w:val="23"/>
                <w:color w:val="auto"/>
                <w:vertAlign w:val="superscript"/>
              </w:rPr>
              <w:t>(2)</w:t>
            </w:r>
          </w:p>
        </w:tc>
        <w:tc>
          <w:tcPr>
            <w:tcW w:w="4320" w:type="dxa"/>
            <w:vAlign w:val="bottom"/>
          </w:tcPr>
          <w:p>
            <w:pPr>
              <w:jc w:val="center"/>
              <w:spacing w:after="0"/>
              <w:rPr>
                <w:sz w:val="20"/>
                <w:szCs w:val="20"/>
                <w:color w:val="auto"/>
              </w:rPr>
            </w:pPr>
            <w:r>
              <w:rPr>
                <w:rFonts w:ascii="Arial" w:cs="Arial" w:eastAsia="Arial" w:hAnsi="Arial"/>
                <w:sz w:val="18"/>
                <w:szCs w:val="18"/>
                <w:color w:val="auto"/>
                <w:w w:val="99"/>
              </w:rPr>
              <w:t>80%</w:t>
            </w:r>
          </w:p>
        </w:tc>
        <w:tc>
          <w:tcPr>
            <w:tcW w:w="4460" w:type="dxa"/>
            <w:vAlign w:val="bottom"/>
          </w:tcPr>
          <w:p>
            <w:pPr>
              <w:jc w:val="center"/>
              <w:spacing w:after="0"/>
              <w:rPr>
                <w:sz w:val="20"/>
                <w:szCs w:val="20"/>
                <w:color w:val="auto"/>
              </w:rPr>
            </w:pPr>
            <w:r>
              <w:rPr>
                <w:rFonts w:ascii="Arial" w:cs="Arial" w:eastAsia="Arial" w:hAnsi="Arial"/>
                <w:sz w:val="18"/>
                <w:szCs w:val="18"/>
                <w:color w:val="auto"/>
                <w:w w:val="98"/>
              </w:rPr>
              <w:t>$440,000</w:t>
            </w:r>
          </w:p>
        </w:tc>
      </w:tr>
      <w:tr>
        <w:trPr>
          <w:trHeight w:val="311"/>
        </w:trPr>
        <w:tc>
          <w:tcPr>
            <w:tcW w:w="2460" w:type="dxa"/>
            <w:vAlign w:val="bottom"/>
          </w:tcPr>
          <w:p>
            <w:pPr>
              <w:ind w:left="20"/>
              <w:spacing w:after="0"/>
              <w:rPr>
                <w:sz w:val="20"/>
                <w:szCs w:val="20"/>
                <w:color w:val="auto"/>
              </w:rPr>
            </w:pPr>
            <w:r>
              <w:rPr>
                <w:rFonts w:ascii="Arial" w:cs="Arial" w:eastAsia="Arial" w:hAnsi="Arial"/>
                <w:sz w:val="18"/>
                <w:szCs w:val="18"/>
                <w:color w:val="auto"/>
              </w:rPr>
              <w:t>John Caine</w:t>
            </w:r>
            <w:r>
              <w:rPr>
                <w:rFonts w:ascii="Arial" w:cs="Arial" w:eastAsia="Arial" w:hAnsi="Arial"/>
                <w:sz w:val="23"/>
                <w:szCs w:val="23"/>
                <w:color w:val="auto"/>
                <w:vertAlign w:val="superscript"/>
              </w:rPr>
              <w:t>(3)</w:t>
            </w:r>
          </w:p>
        </w:tc>
        <w:tc>
          <w:tcPr>
            <w:tcW w:w="4320" w:type="dxa"/>
            <w:vAlign w:val="bottom"/>
          </w:tcPr>
          <w:p>
            <w:pPr>
              <w:jc w:val="center"/>
              <w:spacing w:after="0"/>
              <w:rPr>
                <w:sz w:val="20"/>
                <w:szCs w:val="20"/>
                <w:color w:val="auto"/>
              </w:rPr>
            </w:pPr>
            <w:r>
              <w:rPr>
                <w:rFonts w:ascii="Arial" w:cs="Arial" w:eastAsia="Arial" w:hAnsi="Arial"/>
                <w:sz w:val="18"/>
                <w:szCs w:val="18"/>
                <w:color w:val="auto"/>
                <w:w w:val="99"/>
              </w:rPr>
              <w:t>60%</w:t>
            </w:r>
          </w:p>
        </w:tc>
        <w:tc>
          <w:tcPr>
            <w:tcW w:w="4460" w:type="dxa"/>
            <w:vAlign w:val="bottom"/>
          </w:tcPr>
          <w:p>
            <w:pPr>
              <w:jc w:val="center"/>
              <w:spacing w:after="0"/>
              <w:rPr>
                <w:sz w:val="20"/>
                <w:szCs w:val="20"/>
                <w:color w:val="auto"/>
              </w:rPr>
            </w:pPr>
            <w:r>
              <w:rPr>
                <w:rFonts w:ascii="Arial" w:cs="Arial" w:eastAsia="Arial" w:hAnsi="Arial"/>
                <w:sz w:val="18"/>
                <w:szCs w:val="18"/>
                <w:color w:val="auto"/>
                <w:w w:val="98"/>
              </w:rPr>
              <w:t>$300,000</w:t>
            </w:r>
          </w:p>
        </w:tc>
      </w:tr>
    </w:tbl>
    <w:p>
      <w:pPr>
        <w:spacing w:after="0" w:line="309" w:lineRule="exact"/>
        <w:rPr>
          <w:sz w:val="20"/>
          <w:szCs w:val="20"/>
          <w:color w:val="auto"/>
        </w:rPr>
      </w:pPr>
    </w:p>
    <w:p>
      <w:pPr>
        <w:ind w:left="340" w:hanging="332"/>
        <w:spacing w:after="0"/>
        <w:tabs>
          <w:tab w:leader="none" w:pos="3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Mr. Powell’s prorated target for his service during 2024 was $156,393.</w:t>
      </w:r>
    </w:p>
    <w:p>
      <w:pPr>
        <w:spacing w:after="0" w:line="55" w:lineRule="exact"/>
        <w:rPr>
          <w:rFonts w:ascii="Arial" w:cs="Arial" w:eastAsia="Arial" w:hAnsi="Arial"/>
          <w:sz w:val="14"/>
          <w:szCs w:val="14"/>
          <w:color w:val="auto"/>
        </w:rPr>
      </w:pPr>
    </w:p>
    <w:p>
      <w:pPr>
        <w:ind w:left="260" w:right="40" w:hanging="252"/>
        <w:spacing w:after="0" w:line="301" w:lineRule="auto"/>
        <w:tabs>
          <w:tab w:leader="none" w:pos="345" w:val="left"/>
        </w:tabs>
        <w:numPr>
          <w:ilvl w:val="0"/>
          <w:numId w:val="23"/>
        </w:numPr>
        <w:rPr>
          <w:rFonts w:ascii="Arial" w:cs="Arial" w:eastAsia="Arial" w:hAnsi="Arial"/>
          <w:sz w:val="14"/>
          <w:szCs w:val="14"/>
          <w:color w:val="auto"/>
        </w:rPr>
      </w:pPr>
      <w:r>
        <w:rPr>
          <w:rFonts w:ascii="Arial" w:cs="Arial" w:eastAsia="Arial" w:hAnsi="Arial"/>
          <w:sz w:val="14"/>
          <w:szCs w:val="14"/>
          <w:color w:val="auto"/>
        </w:rPr>
        <w:t>As described above, Jarrod Yahes resigned as CFO of the Company, effective November 1, 2024. Pursuant to the Transition Agreement entered into on October 31, 2024, Mr. Yahes remained eligible to earn an annual cash bonus for the full 2024 fiscal year.</w:t>
      </w:r>
    </w:p>
    <w:p>
      <w:pPr>
        <w:spacing w:after="0" w:line="1" w:lineRule="exact"/>
        <w:rPr>
          <w:rFonts w:ascii="Arial" w:cs="Arial" w:eastAsia="Arial" w:hAnsi="Arial"/>
          <w:sz w:val="14"/>
          <w:szCs w:val="14"/>
          <w:color w:val="auto"/>
        </w:rPr>
      </w:pPr>
    </w:p>
    <w:p>
      <w:pPr>
        <w:ind w:left="260" w:right="520" w:hanging="252"/>
        <w:spacing w:after="0" w:line="305" w:lineRule="auto"/>
        <w:tabs>
          <w:tab w:leader="none" w:pos="345" w:val="left"/>
        </w:tabs>
        <w:numPr>
          <w:ilvl w:val="0"/>
          <w:numId w:val="23"/>
        </w:numPr>
        <w:rPr>
          <w:rFonts w:ascii="Arial" w:cs="Arial" w:eastAsia="Arial" w:hAnsi="Arial"/>
          <w:sz w:val="14"/>
          <w:szCs w:val="14"/>
          <w:color w:val="auto"/>
        </w:rPr>
      </w:pPr>
      <w:r>
        <w:rPr>
          <w:rFonts w:ascii="Arial" w:cs="Arial" w:eastAsia="Arial" w:hAnsi="Arial"/>
          <w:sz w:val="14"/>
          <w:szCs w:val="14"/>
          <w:color w:val="auto"/>
        </w:rPr>
        <w:t>As described above, John Caine’s employment ended August 23, 2024. Pursuant to Section 7(a) of the Employment Agreement dated January 12, 2023, Mr. Caine received a pro-rated annual bonus for the portion of fiscal 2024 that he served in his role.</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Goals</w:t>
      </w:r>
    </w:p>
    <w:p>
      <w:pPr>
        <w:spacing w:after="0" w:line="115" w:lineRule="exact"/>
        <w:rPr>
          <w:sz w:val="20"/>
          <w:szCs w:val="20"/>
          <w:color w:val="auto"/>
        </w:rPr>
      </w:pPr>
    </w:p>
    <w:p>
      <w:pPr>
        <w:ind w:right="100" w:firstLine="324"/>
        <w:spacing w:after="0" w:line="287" w:lineRule="auto"/>
        <w:rPr>
          <w:sz w:val="20"/>
          <w:szCs w:val="20"/>
          <w:color w:val="auto"/>
        </w:rPr>
      </w:pPr>
      <w:r>
        <w:rPr>
          <w:rFonts w:ascii="Arial" w:cs="Arial" w:eastAsia="Arial" w:hAnsi="Arial"/>
          <w:sz w:val="18"/>
          <w:szCs w:val="18"/>
          <w:color w:val="auto"/>
        </w:rPr>
        <w:t>Our annual cash incentive is designed to reward our executive officers based on achievement of pre-established Company performance goals and the individual contribution of each executive to that performance. Specifically, in 2024,</w:t>
      </w:r>
    </w:p>
    <w:p>
      <w:pPr>
        <w:sectPr>
          <w:pgSz w:w="11900" w:h="16838" w:orient="portrait"/>
          <w:cols w:equalWidth="0" w:num="1">
            <w:col w:w="11240"/>
          </w:cols>
          <w:pgMar w:left="320" w:top="93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240"/>
          </w:cols>
          <w:pgMar w:left="320" w:top="931" w:right="339" w:bottom="1440" w:gutter="0" w:footer="0" w:header="0"/>
          <w:type w:val="continuous"/>
        </w:sectPr>
      </w:pPr>
    </w:p>
    <w:bookmarkStart w:id="28" w:name="page29"/>
    <w:bookmarkEnd w:id="28"/>
    <w:p>
      <w:pPr>
        <w:ind w:right="60"/>
        <w:spacing w:after="0" w:line="268" w:lineRule="auto"/>
        <w:rPr>
          <w:sz w:val="20"/>
          <w:szCs w:val="20"/>
          <w:color w:val="auto"/>
        </w:rPr>
      </w:pPr>
      <w:r>
        <w:rPr>
          <w:rFonts w:ascii="Arial" w:cs="Arial" w:eastAsia="Arial" w:hAnsi="Arial"/>
          <w:sz w:val="18"/>
          <w:szCs w:val="18"/>
          <w:color w:val="auto"/>
        </w:rPr>
        <w:t>the Company performance metrics were based on achievement of (i) revenue and (ii) adjusted EBITDA, with a relative weighting of 50% and 50% for each metric. In addition, the Compensation Committee has discretion to increase or decrease the bonuses that otherwise would be paid as annual cash incentive based on an individual executive officer’s actual performance versus the Company’s specified goals.</w:t>
      </w:r>
    </w:p>
    <w:p>
      <w:pPr>
        <w:spacing w:after="0" w:line="63"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The Compensation Committee chose the revenue and adjusted EBITDA measures with the belief that they motivate our executives to drive Company growth and profitability. To reflect performance above or below targets, achievement of the revenue and adjusted EBITDA goals are measured against sliding scales that provide for annual incentive bonus payouts greater than the target bonus if results are greater than target or less than the target bonus if results are lower than the target. For 2024, our specific financial targets are shown in the table below:</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2280" w:type="dxa"/>
            <w:vAlign w:val="bottom"/>
            <w:tcBorders>
              <w:bottom w:val="single" w:sz="8" w:color="auto"/>
            </w:tcBorders>
          </w:tcPr>
          <w:p>
            <w:pPr>
              <w:spacing w:after="0"/>
              <w:rPr>
                <w:sz w:val="22"/>
                <w:szCs w:val="22"/>
                <w:color w:val="auto"/>
              </w:rPr>
            </w:pPr>
          </w:p>
        </w:tc>
        <w:tc>
          <w:tcPr>
            <w:tcW w:w="8960" w:type="dxa"/>
            <w:vAlign w:val="bottom"/>
            <w:tcBorders>
              <w:bottom w:val="single" w:sz="8" w:color="auto"/>
            </w:tcBorders>
          </w:tcPr>
          <w:p>
            <w:pPr>
              <w:ind w:left="820"/>
              <w:spacing w:after="0"/>
              <w:rPr>
                <w:sz w:val="20"/>
                <w:szCs w:val="20"/>
                <w:color w:val="auto"/>
              </w:rPr>
            </w:pPr>
            <w:r>
              <w:rPr>
                <w:rFonts w:ascii="Arial" w:cs="Arial" w:eastAsia="Arial" w:hAnsi="Arial"/>
                <w:sz w:val="18"/>
                <w:szCs w:val="18"/>
                <w:b w:val="1"/>
                <w:bCs w:val="1"/>
                <w:color w:val="auto"/>
              </w:rPr>
              <w:t>Financial Targets for 2024 Annual Incentive Bonus Payouts</w:t>
            </w:r>
          </w:p>
        </w:tc>
      </w:tr>
      <w:tr>
        <w:trPr>
          <w:trHeight w:val="247"/>
        </w:trPr>
        <w:tc>
          <w:tcPr>
            <w:tcW w:w="2280" w:type="dxa"/>
            <w:vAlign w:val="bottom"/>
          </w:tcPr>
          <w:p>
            <w:pPr>
              <w:ind w:left="60"/>
              <w:spacing w:after="0"/>
              <w:rPr>
                <w:sz w:val="20"/>
                <w:szCs w:val="20"/>
                <w:color w:val="auto"/>
              </w:rPr>
            </w:pPr>
            <w:r>
              <w:rPr>
                <w:rFonts w:ascii="Arial" w:cs="Arial" w:eastAsia="Arial" w:hAnsi="Arial"/>
                <w:sz w:val="18"/>
                <w:szCs w:val="18"/>
                <w:color w:val="auto"/>
              </w:rPr>
              <w:t>Revenue</w:t>
            </w:r>
          </w:p>
        </w:tc>
        <w:tc>
          <w:tcPr>
            <w:tcW w:w="8960" w:type="dxa"/>
            <w:vAlign w:val="bottom"/>
          </w:tcPr>
          <w:p>
            <w:pPr>
              <w:ind w:left="3380"/>
              <w:spacing w:after="0"/>
              <w:rPr>
                <w:sz w:val="20"/>
                <w:szCs w:val="20"/>
                <w:color w:val="auto"/>
              </w:rPr>
            </w:pPr>
            <w:r>
              <w:rPr>
                <w:rFonts w:ascii="Arial" w:cs="Arial" w:eastAsia="Arial" w:hAnsi="Arial"/>
                <w:sz w:val="18"/>
                <w:szCs w:val="18"/>
                <w:color w:val="auto"/>
              </w:rPr>
              <w:t>$904.6 million</w:t>
            </w:r>
          </w:p>
        </w:tc>
      </w:tr>
      <w:tr>
        <w:trPr>
          <w:trHeight w:val="270"/>
        </w:trPr>
        <w:tc>
          <w:tcPr>
            <w:tcW w:w="2280" w:type="dxa"/>
            <w:vAlign w:val="bottom"/>
          </w:tcPr>
          <w:p>
            <w:pPr>
              <w:ind w:left="60"/>
              <w:spacing w:after="0"/>
              <w:rPr>
                <w:sz w:val="20"/>
                <w:szCs w:val="20"/>
                <w:color w:val="auto"/>
              </w:rPr>
            </w:pPr>
            <w:r>
              <w:rPr>
                <w:rFonts w:ascii="Arial" w:cs="Arial" w:eastAsia="Arial" w:hAnsi="Arial"/>
                <w:sz w:val="18"/>
                <w:szCs w:val="18"/>
                <w:color w:val="auto"/>
              </w:rPr>
              <w:t>Adjusted EBITDA</w:t>
            </w:r>
          </w:p>
        </w:tc>
        <w:tc>
          <w:tcPr>
            <w:tcW w:w="8960" w:type="dxa"/>
            <w:vAlign w:val="bottom"/>
          </w:tcPr>
          <w:p>
            <w:pPr>
              <w:ind w:left="3380"/>
              <w:spacing w:after="0"/>
              <w:rPr>
                <w:sz w:val="20"/>
                <w:szCs w:val="20"/>
                <w:color w:val="auto"/>
              </w:rPr>
            </w:pPr>
            <w:r>
              <w:rPr>
                <w:rFonts w:ascii="Arial" w:cs="Arial" w:eastAsia="Arial" w:hAnsi="Arial"/>
                <w:sz w:val="18"/>
                <w:szCs w:val="18"/>
                <w:color w:val="auto"/>
              </w:rPr>
              <w:t>$247.1 million</w:t>
            </w:r>
          </w:p>
        </w:tc>
      </w:tr>
    </w:tbl>
    <w:p>
      <w:pPr>
        <w:spacing w:after="0" w:line="207"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Payout percentages resulting from achievement of revenue relative to the established target range from no payout for achievement under 93% of the established target to 140% payout for achievement at 110% or more of the target level, with 100% payout occurring at achievement at 100% of target. Similarly, the payout percentages resulting from achievement of Adjusted EBITDA relative to the established target range from no payout for achievement under 88% of the established target to 120% for achievement at 110% or more of the target level, with 100% payout occurring at achievement of 100% of target.</w:t>
      </w:r>
    </w:p>
    <w:p>
      <w:pPr>
        <w:spacing w:after="0" w:line="71" w:lineRule="exact"/>
        <w:rPr>
          <w:sz w:val="20"/>
          <w:szCs w:val="20"/>
          <w:color w:val="auto"/>
        </w:rPr>
      </w:pPr>
    </w:p>
    <w:p>
      <w:pPr>
        <w:ind w:right="240" w:firstLine="324"/>
        <w:spacing w:after="0" w:line="262" w:lineRule="auto"/>
        <w:rPr>
          <w:sz w:val="20"/>
          <w:szCs w:val="20"/>
          <w:color w:val="auto"/>
        </w:rPr>
      </w:pPr>
      <w:r>
        <w:rPr>
          <w:rFonts w:ascii="Arial" w:cs="Arial" w:eastAsia="Arial" w:hAnsi="Arial"/>
          <w:sz w:val="18"/>
          <w:szCs w:val="18"/>
          <w:color w:val="auto"/>
        </w:rPr>
        <w:t>In January 2025, the Compensation Committee reviewed actual results for 2024 with respect to revenue and adjusted EBITDA, which may be adjusted for extraordinary and/or non-recurring circumstances as deemed necessary by the Compensation Committee for payout percentage purposes, and the Compensation Committee determined that the Company achieved the following financial results and payout percentages:</w:t>
      </w:r>
    </w:p>
    <w:p>
      <w:pPr>
        <w:spacing w:after="0" w:line="119"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4900" w:type="dxa"/>
            <w:vAlign w:val="bottom"/>
          </w:tcPr>
          <w:p>
            <w:pPr>
              <w:spacing w:after="0"/>
              <w:rPr>
                <w:sz w:val="20"/>
                <w:szCs w:val="20"/>
                <w:color w:val="auto"/>
              </w:rPr>
            </w:pPr>
          </w:p>
        </w:tc>
        <w:tc>
          <w:tcPr>
            <w:tcW w:w="236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960" w:type="dxa"/>
            <w:vAlign w:val="bottom"/>
          </w:tcPr>
          <w:p>
            <w:pPr>
              <w:ind w:left="1020"/>
              <w:spacing w:after="0"/>
              <w:rPr>
                <w:sz w:val="20"/>
                <w:szCs w:val="20"/>
                <w:color w:val="auto"/>
              </w:rPr>
            </w:pPr>
            <w:r>
              <w:rPr>
                <w:rFonts w:ascii="Times New Roman" w:cs="Times New Roman" w:eastAsia="Times New Roman" w:hAnsi="Times New Roman"/>
                <w:sz w:val="18"/>
                <w:szCs w:val="18"/>
                <w:b w:val="1"/>
                <w:bCs w:val="1"/>
                <w:color w:val="auto"/>
              </w:rPr>
              <w:t>Adjusted EBITDA</w:t>
            </w:r>
            <w:r>
              <w:rPr>
                <w:rFonts w:ascii="Times New Roman" w:cs="Times New Roman" w:eastAsia="Times New Roman" w:hAnsi="Times New Roman"/>
                <w:sz w:val="11"/>
                <w:szCs w:val="11"/>
                <w:b w:val="1"/>
                <w:bCs w:val="1"/>
                <w:color w:val="auto"/>
              </w:rPr>
              <w:t>(1)</w:t>
            </w:r>
          </w:p>
        </w:tc>
        <w:tc>
          <w:tcPr>
            <w:tcW w:w="0" w:type="dxa"/>
            <w:vAlign w:val="bottom"/>
          </w:tcPr>
          <w:p>
            <w:pPr>
              <w:spacing w:after="0"/>
              <w:rPr>
                <w:sz w:val="1"/>
                <w:szCs w:val="1"/>
                <w:color w:val="auto"/>
              </w:rPr>
            </w:pPr>
          </w:p>
        </w:tc>
      </w:tr>
      <w:tr>
        <w:trPr>
          <w:trHeight w:val="27"/>
        </w:trPr>
        <w:tc>
          <w:tcPr>
            <w:tcW w:w="49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Target (millions)</w:t>
            </w:r>
          </w:p>
        </w:tc>
        <w:tc>
          <w:tcPr>
            <w:tcW w:w="2360" w:type="dxa"/>
            <w:vAlign w:val="bottom"/>
            <w:tcBorders>
              <w:bottom w:val="single" w:sz="8" w:color="auto"/>
            </w:tcBorders>
          </w:tcPr>
          <w:p>
            <w:pPr>
              <w:spacing w:after="0"/>
              <w:rPr>
                <w:sz w:val="2"/>
                <w:szCs w:val="2"/>
                <w:color w:val="auto"/>
              </w:rPr>
            </w:pPr>
          </w:p>
        </w:tc>
        <w:tc>
          <w:tcPr>
            <w:tcW w:w="3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900" w:type="dxa"/>
            <w:vAlign w:val="bottom"/>
            <w:vMerge w:val="continue"/>
          </w:tcPr>
          <w:p>
            <w:pPr>
              <w:spacing w:after="0"/>
              <w:rPr>
                <w:sz w:val="20"/>
                <w:szCs w:val="20"/>
                <w:color w:val="auto"/>
              </w:rPr>
            </w:pPr>
          </w:p>
        </w:tc>
        <w:tc>
          <w:tcPr>
            <w:tcW w:w="236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rPr>
              <w:t>$904.6</w:t>
            </w:r>
          </w:p>
        </w:tc>
        <w:tc>
          <w:tcPr>
            <w:tcW w:w="396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rPr>
              <w:t>$247.1</w:t>
            </w:r>
          </w:p>
        </w:tc>
        <w:tc>
          <w:tcPr>
            <w:tcW w:w="0" w:type="dxa"/>
            <w:vAlign w:val="bottom"/>
          </w:tcPr>
          <w:p>
            <w:pPr>
              <w:spacing w:after="0"/>
              <w:rPr>
                <w:sz w:val="1"/>
                <w:szCs w:val="1"/>
                <w:color w:val="auto"/>
              </w:rPr>
            </w:pPr>
          </w:p>
        </w:tc>
      </w:tr>
      <w:tr>
        <w:trPr>
          <w:trHeight w:val="270"/>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2024 Results (millions)</w:t>
            </w:r>
            <w:r>
              <w:rPr>
                <w:rFonts w:ascii="Times New Roman" w:cs="Times New Roman" w:eastAsia="Times New Roman" w:hAnsi="Times New Roman"/>
                <w:sz w:val="11"/>
                <w:szCs w:val="11"/>
                <w:color w:val="auto"/>
              </w:rPr>
              <w:t>(1)</w:t>
            </w:r>
          </w:p>
        </w:tc>
        <w:tc>
          <w:tcPr>
            <w:tcW w:w="236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rPr>
              <w:t>$846.9</w:t>
            </w:r>
          </w:p>
        </w:tc>
        <w:tc>
          <w:tcPr>
            <w:tcW w:w="396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rPr>
              <w:t>$237.6</w:t>
            </w:r>
          </w:p>
        </w:tc>
        <w:tc>
          <w:tcPr>
            <w:tcW w:w="0" w:type="dxa"/>
            <w:vAlign w:val="bottom"/>
          </w:tcPr>
          <w:p>
            <w:pPr>
              <w:spacing w:after="0"/>
              <w:rPr>
                <w:sz w:val="1"/>
                <w:szCs w:val="1"/>
                <w:color w:val="auto"/>
              </w:rPr>
            </w:pPr>
          </w:p>
        </w:tc>
      </w:tr>
      <w:tr>
        <w:trPr>
          <w:trHeight w:val="270"/>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Target Achieved</w:t>
            </w:r>
          </w:p>
        </w:tc>
        <w:tc>
          <w:tcPr>
            <w:tcW w:w="236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8"/>
              </w:rPr>
              <w:t>93.6%</w:t>
            </w:r>
          </w:p>
        </w:tc>
        <w:tc>
          <w:tcPr>
            <w:tcW w:w="396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8"/>
              </w:rPr>
              <w:t>96.2%</w:t>
            </w:r>
          </w:p>
        </w:tc>
        <w:tc>
          <w:tcPr>
            <w:tcW w:w="0" w:type="dxa"/>
            <w:vAlign w:val="bottom"/>
          </w:tcPr>
          <w:p>
            <w:pPr>
              <w:spacing w:after="0"/>
              <w:rPr>
                <w:sz w:val="1"/>
                <w:szCs w:val="1"/>
                <w:color w:val="auto"/>
              </w:rPr>
            </w:pPr>
          </w:p>
        </w:tc>
      </w:tr>
      <w:tr>
        <w:trPr>
          <w:trHeight w:val="270"/>
        </w:trPr>
        <w:tc>
          <w:tcPr>
            <w:tcW w:w="4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Payout Percentage</w:t>
            </w:r>
          </w:p>
        </w:tc>
        <w:tc>
          <w:tcPr>
            <w:tcW w:w="236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rPr>
              <w:t>74.5%</w:t>
            </w:r>
          </w:p>
        </w:tc>
        <w:tc>
          <w:tcPr>
            <w:tcW w:w="396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rPr>
              <w:t>92.3%</w:t>
            </w:r>
          </w:p>
        </w:tc>
        <w:tc>
          <w:tcPr>
            <w:tcW w:w="0" w:type="dxa"/>
            <w:vAlign w:val="bottom"/>
          </w:tcPr>
          <w:p>
            <w:pPr>
              <w:spacing w:after="0"/>
              <w:rPr>
                <w:sz w:val="1"/>
                <w:szCs w:val="1"/>
                <w:color w:val="auto"/>
              </w:rPr>
            </w:pPr>
          </w:p>
        </w:tc>
      </w:tr>
    </w:tbl>
    <w:p>
      <w:pPr>
        <w:spacing w:after="0" w:line="247" w:lineRule="exact"/>
        <w:rPr>
          <w:sz w:val="20"/>
          <w:szCs w:val="20"/>
          <w:color w:val="auto"/>
        </w:rPr>
      </w:pPr>
    </w:p>
    <w:p>
      <w:pPr>
        <w:ind w:left="440" w:right="280" w:hanging="414"/>
        <w:spacing w:after="0" w:line="264" w:lineRule="auto"/>
        <w:tabs>
          <w:tab w:leader="none" w:pos="4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See Annex A for a reconciliation of our non-GAAP to GAAP financial measures. As shown on Annex A, these results for purposes of our annual cash incentive award calculation were adjusted to remove the impact of acquisition activity and are presented on a constant currency basis.</w:t>
      </w:r>
    </w:p>
    <w:p>
      <w:pPr>
        <w:spacing w:after="0" w:line="163" w:lineRule="exact"/>
        <w:rPr>
          <w:sz w:val="20"/>
          <w:szCs w:val="20"/>
          <w:color w:val="auto"/>
        </w:rPr>
      </w:pPr>
    </w:p>
    <w:p>
      <w:pPr>
        <w:ind w:right="280" w:firstLine="324"/>
        <w:spacing w:after="0" w:line="259" w:lineRule="auto"/>
        <w:rPr>
          <w:sz w:val="20"/>
          <w:szCs w:val="20"/>
          <w:color w:val="auto"/>
        </w:rPr>
      </w:pPr>
      <w:r>
        <w:rPr>
          <w:rFonts w:ascii="Arial" w:cs="Arial" w:eastAsia="Arial" w:hAnsi="Arial"/>
          <w:sz w:val="18"/>
          <w:szCs w:val="18"/>
          <w:color w:val="auto"/>
        </w:rPr>
        <w:t>Individual bonus payments are based on a formula determined by taking each person’s base annual compensation, multiplied by the individual’s target bonus percentage, multiplied by the Company achievement score expressed as a percentage. Bonus amounts paid can then be increased or decreased, regardless of that person’s target bonus or specific corporate performance metrics, based on individual performance or other considerations, in the discretion of the Compensation Committee. Based on the level of performance achievement described above, the payout percentage was 83.4%.</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900" w:type="dxa"/>
            <w:vAlign w:val="bottom"/>
          </w:tcPr>
          <w:p>
            <w:pPr>
              <w:jc w:val="center"/>
              <w:spacing w:after="0"/>
              <w:rPr>
                <w:sz w:val="20"/>
                <w:szCs w:val="20"/>
                <w:color w:val="auto"/>
              </w:rPr>
            </w:pPr>
            <w:r>
              <w:rPr>
                <w:rFonts w:ascii="Arial" w:cs="Arial" w:eastAsia="Arial" w:hAnsi="Arial"/>
                <w:sz w:val="18"/>
                <w:szCs w:val="18"/>
                <w:b w:val="1"/>
                <w:bCs w:val="1"/>
                <w:color w:val="auto"/>
              </w:rPr>
              <w:t>Payout based on Company</w:t>
            </w:r>
          </w:p>
        </w:tc>
        <w:tc>
          <w:tcPr>
            <w:tcW w:w="3020" w:type="dxa"/>
            <w:vAlign w:val="bottom"/>
          </w:tcPr>
          <w:p>
            <w:pPr>
              <w:spacing w:after="0"/>
              <w:rPr>
                <w:sz w:val="18"/>
                <w:szCs w:val="18"/>
                <w:color w:val="auto"/>
              </w:rPr>
            </w:pPr>
          </w:p>
        </w:tc>
        <w:tc>
          <w:tcPr>
            <w:tcW w:w="1840" w:type="dxa"/>
            <w:vAlign w:val="bottom"/>
          </w:tcPr>
          <w:p>
            <w:pPr>
              <w:spacing w:after="0"/>
              <w:rPr>
                <w:sz w:val="18"/>
                <w:szCs w:val="18"/>
                <w:color w:val="auto"/>
              </w:rPr>
            </w:pPr>
          </w:p>
        </w:tc>
      </w:tr>
      <w:tr>
        <w:trPr>
          <w:trHeight w:val="216"/>
        </w:trPr>
        <w:tc>
          <w:tcPr>
            <w:tcW w:w="1860" w:type="dxa"/>
            <w:vAlign w:val="bottom"/>
          </w:tcPr>
          <w:p>
            <w:pPr>
              <w:ind w:left="240"/>
              <w:spacing w:after="0"/>
              <w:rPr>
                <w:sz w:val="20"/>
                <w:szCs w:val="20"/>
                <w:color w:val="auto"/>
              </w:rPr>
            </w:pPr>
            <w:r>
              <w:rPr>
                <w:rFonts w:ascii="Arial" w:cs="Arial" w:eastAsia="Arial" w:hAnsi="Arial"/>
                <w:sz w:val="18"/>
                <w:szCs w:val="18"/>
                <w:b w:val="1"/>
                <w:bCs w:val="1"/>
                <w:color w:val="auto"/>
              </w:rPr>
              <w:t>Named Executive</w:t>
            </w:r>
          </w:p>
        </w:tc>
        <w:tc>
          <w:tcPr>
            <w:tcW w:w="1620" w:type="dxa"/>
            <w:vAlign w:val="bottom"/>
          </w:tcPr>
          <w:p>
            <w:pPr>
              <w:ind w:left="120"/>
              <w:spacing w:after="0"/>
              <w:rPr>
                <w:sz w:val="20"/>
                <w:szCs w:val="20"/>
                <w:color w:val="auto"/>
              </w:rPr>
            </w:pPr>
            <w:r>
              <w:rPr>
                <w:rFonts w:ascii="Arial" w:cs="Arial" w:eastAsia="Arial" w:hAnsi="Arial"/>
                <w:sz w:val="18"/>
                <w:szCs w:val="18"/>
                <w:b w:val="1"/>
                <w:bCs w:val="1"/>
                <w:color w:val="auto"/>
              </w:rPr>
              <w:t>Target Payout</w:t>
            </w:r>
          </w:p>
        </w:tc>
        <w:tc>
          <w:tcPr>
            <w:tcW w:w="2900" w:type="dxa"/>
            <w:vAlign w:val="bottom"/>
          </w:tcPr>
          <w:p>
            <w:pPr>
              <w:jc w:val="center"/>
              <w:spacing w:after="0"/>
              <w:rPr>
                <w:sz w:val="20"/>
                <w:szCs w:val="20"/>
                <w:color w:val="auto"/>
              </w:rPr>
            </w:pPr>
            <w:r>
              <w:rPr>
                <w:rFonts w:ascii="Arial" w:cs="Arial" w:eastAsia="Arial" w:hAnsi="Arial"/>
                <w:sz w:val="18"/>
                <w:szCs w:val="18"/>
                <w:b w:val="1"/>
                <w:bCs w:val="1"/>
                <w:color w:val="auto"/>
              </w:rPr>
              <w:t>Achievement Score</w:t>
            </w:r>
          </w:p>
        </w:tc>
        <w:tc>
          <w:tcPr>
            <w:tcW w:w="4860" w:type="dxa"/>
            <w:vAlign w:val="bottom"/>
            <w:gridSpan w:val="2"/>
          </w:tcPr>
          <w:p>
            <w:pPr>
              <w:ind w:left="260"/>
              <w:spacing w:after="0"/>
              <w:rPr>
                <w:sz w:val="20"/>
                <w:szCs w:val="20"/>
                <w:color w:val="auto"/>
              </w:rPr>
            </w:pPr>
            <w:r>
              <w:rPr>
                <w:rFonts w:ascii="Arial" w:cs="Arial" w:eastAsia="Arial" w:hAnsi="Arial"/>
                <w:sz w:val="18"/>
                <w:szCs w:val="18"/>
                <w:b w:val="1"/>
                <w:bCs w:val="1"/>
                <w:color w:val="auto"/>
              </w:rPr>
              <w:t>Discretionary % Increase/ (Decrease)in Actual Payout</w:t>
            </w:r>
          </w:p>
        </w:tc>
      </w:tr>
      <w:tr>
        <w:trPr>
          <w:trHeight w:val="255"/>
        </w:trPr>
        <w:tc>
          <w:tcPr>
            <w:tcW w:w="1860" w:type="dxa"/>
            <w:vAlign w:val="bottom"/>
            <w:tcBorders>
              <w:bottom w:val="single" w:sz="8" w:color="auto"/>
            </w:tcBorders>
          </w:tcPr>
          <w:p>
            <w:pPr>
              <w:ind w:left="700"/>
              <w:spacing w:after="0"/>
              <w:rPr>
                <w:sz w:val="20"/>
                <w:szCs w:val="20"/>
                <w:color w:val="auto"/>
              </w:rPr>
            </w:pPr>
            <w:r>
              <w:rPr>
                <w:rFonts w:ascii="Arial" w:cs="Arial" w:eastAsia="Arial" w:hAnsi="Arial"/>
                <w:sz w:val="18"/>
                <w:szCs w:val="18"/>
                <w:b w:val="1"/>
                <w:bCs w:val="1"/>
                <w:color w:val="auto"/>
              </w:rPr>
              <w:t>Officer</w:t>
            </w:r>
          </w:p>
        </w:tc>
        <w:tc>
          <w:tcPr>
            <w:tcW w:w="162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9"/>
              </w:rPr>
              <w:t>($)</w:t>
            </w:r>
          </w:p>
        </w:tc>
        <w:tc>
          <w:tcPr>
            <w:tcW w:w="2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3020" w:type="dxa"/>
            <w:vAlign w:val="bottom"/>
            <w:tcBorders>
              <w:bottom w:val="single" w:sz="8" w:color="auto"/>
            </w:tcBorders>
          </w:tcPr>
          <w:p>
            <w:pPr>
              <w:jc w:val="center"/>
              <w:ind w:left="730"/>
              <w:spacing w:after="0"/>
              <w:rPr>
                <w:sz w:val="20"/>
                <w:szCs w:val="20"/>
                <w:color w:val="auto"/>
              </w:rPr>
            </w:pPr>
            <w:r>
              <w:rPr>
                <w:rFonts w:ascii="Arial" w:cs="Arial" w:eastAsia="Arial" w:hAnsi="Arial"/>
                <w:sz w:val="18"/>
                <w:szCs w:val="18"/>
                <w:b w:val="1"/>
                <w:bCs w:val="1"/>
                <w:color w:val="auto"/>
                <w:w w:val="99"/>
              </w:rPr>
              <w:t>Payout</w:t>
            </w:r>
          </w:p>
        </w:tc>
        <w:tc>
          <w:tcPr>
            <w:tcW w:w="1840" w:type="dxa"/>
            <w:vAlign w:val="bottom"/>
            <w:tcBorders>
              <w:bottom w:val="single" w:sz="8" w:color="auto"/>
            </w:tcBorders>
          </w:tcPr>
          <w:p>
            <w:pPr>
              <w:jc w:val="center"/>
              <w:ind w:left="490"/>
              <w:spacing w:after="0"/>
              <w:rPr>
                <w:sz w:val="20"/>
                <w:szCs w:val="20"/>
                <w:color w:val="auto"/>
              </w:rPr>
            </w:pPr>
            <w:r>
              <w:rPr>
                <w:rFonts w:ascii="Arial" w:cs="Arial" w:eastAsia="Arial" w:hAnsi="Arial"/>
                <w:sz w:val="18"/>
                <w:szCs w:val="18"/>
                <w:b w:val="1"/>
                <w:bCs w:val="1"/>
                <w:color w:val="auto"/>
                <w:w w:val="99"/>
              </w:rPr>
              <w:t>($)</w:t>
            </w:r>
          </w:p>
        </w:tc>
      </w:tr>
      <w:tr>
        <w:trPr>
          <w:trHeight w:val="247"/>
        </w:trPr>
        <w:tc>
          <w:tcPr>
            <w:tcW w:w="1860" w:type="dxa"/>
            <w:vAlign w:val="bottom"/>
          </w:tcPr>
          <w:p>
            <w:pPr>
              <w:ind w:left="20"/>
              <w:spacing w:after="0"/>
              <w:rPr>
                <w:sz w:val="20"/>
                <w:szCs w:val="20"/>
                <w:color w:val="auto"/>
              </w:rPr>
            </w:pPr>
            <w:r>
              <w:rPr>
                <w:rFonts w:ascii="Arial" w:cs="Arial" w:eastAsia="Arial" w:hAnsi="Arial"/>
                <w:sz w:val="18"/>
                <w:szCs w:val="18"/>
                <w:color w:val="auto"/>
              </w:rPr>
              <w:t>Paul Hennessy</w:t>
            </w:r>
          </w:p>
        </w:tc>
        <w:tc>
          <w:tcPr>
            <w:tcW w:w="1620" w:type="dxa"/>
            <w:vAlign w:val="bottom"/>
          </w:tcPr>
          <w:p>
            <w:pPr>
              <w:jc w:val="center"/>
              <w:ind w:right="90"/>
              <w:spacing w:after="0"/>
              <w:rPr>
                <w:sz w:val="20"/>
                <w:szCs w:val="20"/>
                <w:color w:val="auto"/>
              </w:rPr>
            </w:pPr>
            <w:r>
              <w:rPr>
                <w:rFonts w:ascii="Arial" w:cs="Arial" w:eastAsia="Arial" w:hAnsi="Arial"/>
                <w:sz w:val="18"/>
                <w:szCs w:val="18"/>
                <w:color w:val="auto"/>
                <w:w w:val="98"/>
              </w:rPr>
              <w:t>700,000</w:t>
            </w:r>
          </w:p>
        </w:tc>
        <w:tc>
          <w:tcPr>
            <w:tcW w:w="2900" w:type="dxa"/>
            <w:vAlign w:val="bottom"/>
          </w:tcPr>
          <w:p>
            <w:pPr>
              <w:jc w:val="center"/>
              <w:spacing w:after="0"/>
              <w:rPr>
                <w:sz w:val="20"/>
                <w:szCs w:val="20"/>
                <w:color w:val="auto"/>
              </w:rPr>
            </w:pPr>
            <w:r>
              <w:rPr>
                <w:rFonts w:ascii="Arial" w:cs="Arial" w:eastAsia="Arial" w:hAnsi="Arial"/>
                <w:sz w:val="18"/>
                <w:szCs w:val="18"/>
                <w:color w:val="auto"/>
                <w:w w:val="98"/>
              </w:rPr>
              <w:t>583,800</w:t>
            </w:r>
          </w:p>
        </w:tc>
        <w:tc>
          <w:tcPr>
            <w:tcW w:w="3020" w:type="dxa"/>
            <w:vAlign w:val="bottom"/>
          </w:tcPr>
          <w:p>
            <w:pPr>
              <w:jc w:val="center"/>
              <w:ind w:left="730"/>
              <w:spacing w:after="0"/>
              <w:rPr>
                <w:sz w:val="20"/>
                <w:szCs w:val="20"/>
                <w:color w:val="auto"/>
              </w:rPr>
            </w:pPr>
            <w:r>
              <w:rPr>
                <w:rFonts w:ascii="Arial" w:cs="Arial" w:eastAsia="Arial" w:hAnsi="Arial"/>
                <w:sz w:val="18"/>
                <w:szCs w:val="18"/>
                <w:color w:val="auto"/>
              </w:rPr>
              <w:t>0.00%</w:t>
            </w:r>
          </w:p>
        </w:tc>
        <w:tc>
          <w:tcPr>
            <w:tcW w:w="1840" w:type="dxa"/>
            <w:vAlign w:val="bottom"/>
          </w:tcPr>
          <w:p>
            <w:pPr>
              <w:jc w:val="center"/>
              <w:ind w:left="490"/>
              <w:spacing w:after="0"/>
              <w:rPr>
                <w:sz w:val="20"/>
                <w:szCs w:val="20"/>
                <w:color w:val="auto"/>
              </w:rPr>
            </w:pPr>
            <w:r>
              <w:rPr>
                <w:rFonts w:ascii="Arial" w:cs="Arial" w:eastAsia="Arial" w:hAnsi="Arial"/>
                <w:sz w:val="18"/>
                <w:szCs w:val="18"/>
                <w:color w:val="auto"/>
              </w:rPr>
              <w:t>583,800</w:t>
            </w:r>
          </w:p>
        </w:tc>
      </w:tr>
      <w:tr>
        <w:trPr>
          <w:trHeight w:val="299"/>
        </w:trPr>
        <w:tc>
          <w:tcPr>
            <w:tcW w:w="1860" w:type="dxa"/>
            <w:vAlign w:val="bottom"/>
          </w:tcPr>
          <w:p>
            <w:pPr>
              <w:ind w:left="20"/>
              <w:spacing w:after="0"/>
              <w:rPr>
                <w:sz w:val="20"/>
                <w:szCs w:val="20"/>
                <w:color w:val="auto"/>
              </w:rPr>
            </w:pPr>
            <w:r>
              <w:rPr>
                <w:rFonts w:ascii="Arial" w:cs="Arial" w:eastAsia="Arial" w:hAnsi="Arial"/>
                <w:sz w:val="18"/>
                <w:szCs w:val="18"/>
                <w:color w:val="auto"/>
              </w:rPr>
              <w:t>Rik Powell</w:t>
            </w:r>
          </w:p>
        </w:tc>
        <w:tc>
          <w:tcPr>
            <w:tcW w:w="1620" w:type="dxa"/>
            <w:vAlign w:val="bottom"/>
          </w:tcPr>
          <w:p>
            <w:pPr>
              <w:jc w:val="center"/>
              <w:ind w:right="90"/>
              <w:spacing w:after="0"/>
              <w:rPr>
                <w:sz w:val="20"/>
                <w:szCs w:val="20"/>
                <w:color w:val="auto"/>
              </w:rPr>
            </w:pPr>
            <w:r>
              <w:rPr>
                <w:rFonts w:ascii="Arial" w:cs="Arial" w:eastAsia="Arial" w:hAnsi="Arial"/>
                <w:sz w:val="18"/>
                <w:szCs w:val="18"/>
                <w:color w:val="auto"/>
                <w:w w:val="95"/>
              </w:rPr>
              <w:t>156,393</w:t>
            </w:r>
            <w:r>
              <w:rPr>
                <w:rFonts w:ascii="Arial" w:cs="Arial" w:eastAsia="Arial" w:hAnsi="Arial"/>
                <w:sz w:val="23"/>
                <w:szCs w:val="23"/>
                <w:color w:val="auto"/>
                <w:w w:val="95"/>
                <w:vertAlign w:val="superscript"/>
              </w:rPr>
              <w:t>(1)</w:t>
            </w:r>
          </w:p>
        </w:tc>
        <w:tc>
          <w:tcPr>
            <w:tcW w:w="2900" w:type="dxa"/>
            <w:vAlign w:val="bottom"/>
          </w:tcPr>
          <w:p>
            <w:pPr>
              <w:jc w:val="center"/>
              <w:spacing w:after="0"/>
              <w:rPr>
                <w:sz w:val="20"/>
                <w:szCs w:val="20"/>
                <w:color w:val="auto"/>
              </w:rPr>
            </w:pPr>
            <w:r>
              <w:rPr>
                <w:rFonts w:ascii="Arial" w:cs="Arial" w:eastAsia="Arial" w:hAnsi="Arial"/>
                <w:sz w:val="18"/>
                <w:szCs w:val="18"/>
                <w:color w:val="auto"/>
                <w:w w:val="98"/>
              </w:rPr>
              <w:t>130,450</w:t>
            </w:r>
          </w:p>
        </w:tc>
        <w:tc>
          <w:tcPr>
            <w:tcW w:w="3020" w:type="dxa"/>
            <w:vAlign w:val="bottom"/>
          </w:tcPr>
          <w:p>
            <w:pPr>
              <w:jc w:val="center"/>
              <w:ind w:left="730"/>
              <w:spacing w:after="0"/>
              <w:rPr>
                <w:sz w:val="20"/>
                <w:szCs w:val="20"/>
                <w:color w:val="auto"/>
              </w:rPr>
            </w:pPr>
            <w:r>
              <w:rPr>
                <w:rFonts w:ascii="Arial" w:cs="Arial" w:eastAsia="Arial" w:hAnsi="Arial"/>
                <w:sz w:val="18"/>
                <w:szCs w:val="18"/>
                <w:color w:val="auto"/>
              </w:rPr>
              <w:t>0.00%</w:t>
            </w:r>
          </w:p>
        </w:tc>
        <w:tc>
          <w:tcPr>
            <w:tcW w:w="1840" w:type="dxa"/>
            <w:vAlign w:val="bottom"/>
          </w:tcPr>
          <w:p>
            <w:pPr>
              <w:jc w:val="center"/>
              <w:ind w:left="490"/>
              <w:spacing w:after="0"/>
              <w:rPr>
                <w:sz w:val="20"/>
                <w:szCs w:val="20"/>
                <w:color w:val="auto"/>
              </w:rPr>
            </w:pPr>
            <w:r>
              <w:rPr>
                <w:rFonts w:ascii="Arial" w:cs="Arial" w:eastAsia="Arial" w:hAnsi="Arial"/>
                <w:sz w:val="18"/>
                <w:szCs w:val="18"/>
                <w:color w:val="auto"/>
              </w:rPr>
              <w:t>130,450</w:t>
            </w:r>
          </w:p>
        </w:tc>
      </w:tr>
      <w:tr>
        <w:trPr>
          <w:trHeight w:val="270"/>
        </w:trPr>
        <w:tc>
          <w:tcPr>
            <w:tcW w:w="1860" w:type="dxa"/>
            <w:vAlign w:val="bottom"/>
          </w:tcPr>
          <w:p>
            <w:pPr>
              <w:ind w:left="20"/>
              <w:spacing w:after="0"/>
              <w:rPr>
                <w:sz w:val="20"/>
                <w:szCs w:val="20"/>
                <w:color w:val="auto"/>
              </w:rPr>
            </w:pPr>
            <w:r>
              <w:rPr>
                <w:rFonts w:ascii="Arial" w:cs="Arial" w:eastAsia="Arial" w:hAnsi="Arial"/>
                <w:sz w:val="18"/>
                <w:szCs w:val="18"/>
                <w:color w:val="auto"/>
              </w:rPr>
              <w:t>Jarrod Yahes</w:t>
            </w:r>
          </w:p>
        </w:tc>
        <w:tc>
          <w:tcPr>
            <w:tcW w:w="1620" w:type="dxa"/>
            <w:vAlign w:val="bottom"/>
          </w:tcPr>
          <w:p>
            <w:pPr>
              <w:jc w:val="center"/>
              <w:ind w:right="90"/>
              <w:spacing w:after="0"/>
              <w:rPr>
                <w:sz w:val="20"/>
                <w:szCs w:val="20"/>
                <w:color w:val="auto"/>
              </w:rPr>
            </w:pPr>
            <w:r>
              <w:rPr>
                <w:rFonts w:ascii="Arial" w:cs="Arial" w:eastAsia="Arial" w:hAnsi="Arial"/>
                <w:sz w:val="18"/>
                <w:szCs w:val="18"/>
                <w:color w:val="auto"/>
                <w:w w:val="98"/>
              </w:rPr>
              <w:t>440,000</w:t>
            </w:r>
          </w:p>
        </w:tc>
        <w:tc>
          <w:tcPr>
            <w:tcW w:w="2900" w:type="dxa"/>
            <w:vAlign w:val="bottom"/>
          </w:tcPr>
          <w:p>
            <w:pPr>
              <w:jc w:val="center"/>
              <w:spacing w:after="0"/>
              <w:rPr>
                <w:sz w:val="20"/>
                <w:szCs w:val="20"/>
                <w:color w:val="auto"/>
              </w:rPr>
            </w:pPr>
            <w:r>
              <w:rPr>
                <w:rFonts w:ascii="Arial" w:cs="Arial" w:eastAsia="Arial" w:hAnsi="Arial"/>
                <w:sz w:val="18"/>
                <w:szCs w:val="18"/>
                <w:color w:val="auto"/>
                <w:w w:val="98"/>
              </w:rPr>
              <w:t>366,950</w:t>
            </w:r>
          </w:p>
        </w:tc>
        <w:tc>
          <w:tcPr>
            <w:tcW w:w="3020" w:type="dxa"/>
            <w:vAlign w:val="bottom"/>
          </w:tcPr>
          <w:p>
            <w:pPr>
              <w:jc w:val="center"/>
              <w:ind w:left="730"/>
              <w:spacing w:after="0"/>
              <w:rPr>
                <w:sz w:val="20"/>
                <w:szCs w:val="20"/>
                <w:color w:val="auto"/>
              </w:rPr>
            </w:pPr>
            <w:r>
              <w:rPr>
                <w:rFonts w:ascii="Arial" w:cs="Arial" w:eastAsia="Arial" w:hAnsi="Arial"/>
                <w:sz w:val="18"/>
                <w:szCs w:val="18"/>
                <w:color w:val="auto"/>
              </w:rPr>
              <w:t>0.00%</w:t>
            </w:r>
          </w:p>
        </w:tc>
        <w:tc>
          <w:tcPr>
            <w:tcW w:w="1840" w:type="dxa"/>
            <w:vAlign w:val="bottom"/>
          </w:tcPr>
          <w:p>
            <w:pPr>
              <w:jc w:val="center"/>
              <w:ind w:left="490"/>
              <w:spacing w:after="0"/>
              <w:rPr>
                <w:sz w:val="20"/>
                <w:szCs w:val="20"/>
                <w:color w:val="auto"/>
              </w:rPr>
            </w:pPr>
            <w:r>
              <w:rPr>
                <w:rFonts w:ascii="Arial" w:cs="Arial" w:eastAsia="Arial" w:hAnsi="Arial"/>
                <w:sz w:val="18"/>
                <w:szCs w:val="18"/>
                <w:color w:val="auto"/>
                <w:w w:val="93"/>
              </w:rPr>
              <w:t>366,950</w:t>
            </w:r>
            <w:r>
              <w:rPr>
                <w:rFonts w:ascii="Arial" w:cs="Arial" w:eastAsia="Arial" w:hAnsi="Arial"/>
                <w:sz w:val="23"/>
                <w:szCs w:val="23"/>
                <w:color w:val="auto"/>
                <w:w w:val="93"/>
                <w:vertAlign w:val="superscript"/>
              </w:rPr>
              <w:t>(2)</w:t>
            </w:r>
          </w:p>
        </w:tc>
      </w:tr>
      <w:tr>
        <w:trPr>
          <w:trHeight w:val="311"/>
        </w:trPr>
        <w:tc>
          <w:tcPr>
            <w:tcW w:w="1860" w:type="dxa"/>
            <w:vAlign w:val="bottom"/>
          </w:tcPr>
          <w:p>
            <w:pPr>
              <w:ind w:left="20"/>
              <w:spacing w:after="0"/>
              <w:rPr>
                <w:sz w:val="20"/>
                <w:szCs w:val="20"/>
                <w:color w:val="auto"/>
              </w:rPr>
            </w:pPr>
            <w:r>
              <w:rPr>
                <w:rFonts w:ascii="Arial" w:cs="Arial" w:eastAsia="Arial" w:hAnsi="Arial"/>
                <w:sz w:val="18"/>
                <w:szCs w:val="18"/>
                <w:color w:val="auto"/>
              </w:rPr>
              <w:t>John Caine</w:t>
            </w:r>
          </w:p>
        </w:tc>
        <w:tc>
          <w:tcPr>
            <w:tcW w:w="1620" w:type="dxa"/>
            <w:vAlign w:val="bottom"/>
          </w:tcPr>
          <w:p>
            <w:pPr>
              <w:jc w:val="center"/>
              <w:ind w:right="90"/>
              <w:spacing w:after="0"/>
              <w:rPr>
                <w:sz w:val="20"/>
                <w:szCs w:val="20"/>
                <w:color w:val="auto"/>
              </w:rPr>
            </w:pPr>
            <w:r>
              <w:rPr>
                <w:rFonts w:ascii="Arial" w:cs="Arial" w:eastAsia="Arial" w:hAnsi="Arial"/>
                <w:sz w:val="18"/>
                <w:szCs w:val="18"/>
                <w:color w:val="auto"/>
                <w:w w:val="98"/>
              </w:rPr>
              <w:t>193,443</w:t>
            </w:r>
          </w:p>
        </w:tc>
        <w:tc>
          <w:tcPr>
            <w:tcW w:w="2900" w:type="dxa"/>
            <w:vAlign w:val="bottom"/>
          </w:tcPr>
          <w:p>
            <w:pPr>
              <w:jc w:val="center"/>
              <w:spacing w:after="0"/>
              <w:rPr>
                <w:sz w:val="20"/>
                <w:szCs w:val="20"/>
                <w:color w:val="auto"/>
              </w:rPr>
            </w:pPr>
            <w:r>
              <w:rPr>
                <w:rFonts w:ascii="Arial" w:cs="Arial" w:eastAsia="Arial" w:hAnsi="Arial"/>
                <w:sz w:val="18"/>
                <w:szCs w:val="18"/>
                <w:color w:val="auto"/>
                <w:w w:val="98"/>
              </w:rPr>
              <w:t>161,350</w:t>
            </w:r>
          </w:p>
        </w:tc>
        <w:tc>
          <w:tcPr>
            <w:tcW w:w="3020" w:type="dxa"/>
            <w:vAlign w:val="bottom"/>
          </w:tcPr>
          <w:p>
            <w:pPr>
              <w:jc w:val="center"/>
              <w:ind w:left="730"/>
              <w:spacing w:after="0"/>
              <w:rPr>
                <w:sz w:val="20"/>
                <w:szCs w:val="20"/>
                <w:color w:val="auto"/>
              </w:rPr>
            </w:pPr>
            <w:r>
              <w:rPr>
                <w:rFonts w:ascii="Arial" w:cs="Arial" w:eastAsia="Arial" w:hAnsi="Arial"/>
                <w:sz w:val="18"/>
                <w:szCs w:val="18"/>
                <w:color w:val="auto"/>
              </w:rPr>
              <w:t>0.00%</w:t>
            </w:r>
          </w:p>
        </w:tc>
        <w:tc>
          <w:tcPr>
            <w:tcW w:w="1840" w:type="dxa"/>
            <w:vAlign w:val="bottom"/>
          </w:tcPr>
          <w:p>
            <w:pPr>
              <w:jc w:val="center"/>
              <w:ind w:left="490"/>
              <w:spacing w:after="0"/>
              <w:rPr>
                <w:sz w:val="20"/>
                <w:szCs w:val="20"/>
                <w:color w:val="auto"/>
              </w:rPr>
            </w:pPr>
            <w:r>
              <w:rPr>
                <w:rFonts w:ascii="Arial" w:cs="Arial" w:eastAsia="Arial" w:hAnsi="Arial"/>
                <w:sz w:val="18"/>
                <w:szCs w:val="18"/>
                <w:color w:val="auto"/>
                <w:w w:val="93"/>
              </w:rPr>
              <w:t>161,350</w:t>
            </w:r>
            <w:r>
              <w:rPr>
                <w:rFonts w:ascii="Arial" w:cs="Arial" w:eastAsia="Arial" w:hAnsi="Arial"/>
                <w:sz w:val="23"/>
                <w:szCs w:val="23"/>
                <w:color w:val="auto"/>
                <w:w w:val="93"/>
                <w:vertAlign w:val="superscript"/>
              </w:rPr>
              <w:t>(3)</w:t>
            </w:r>
          </w:p>
        </w:tc>
      </w:tr>
    </w:tbl>
    <w:p>
      <w:pPr>
        <w:spacing w:after="0" w:line="147" w:lineRule="exact"/>
        <w:rPr>
          <w:sz w:val="20"/>
          <w:szCs w:val="20"/>
          <w:color w:val="auto"/>
        </w:rPr>
      </w:pPr>
    </w:p>
    <w:p>
      <w:pPr>
        <w:ind w:left="340" w:hanging="332"/>
        <w:spacing w:after="0"/>
        <w:tabs>
          <w:tab w:leader="none" w:pos="3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Represents a pro-rated target for the period he served in 2024.</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Represents the amount of annual bonus earned for the full 2024 fiscal year pursuant to the Transition Agreement.</w:t>
      </w:r>
    </w:p>
    <w:p>
      <w:pPr>
        <w:spacing w:after="0" w:line="68" w:lineRule="exact"/>
        <w:rPr>
          <w:rFonts w:ascii="Arial" w:cs="Arial" w:eastAsia="Arial" w:hAnsi="Arial"/>
          <w:sz w:val="14"/>
          <w:szCs w:val="14"/>
          <w:color w:val="auto"/>
        </w:rPr>
      </w:pPr>
    </w:p>
    <w:p>
      <w:pPr>
        <w:ind w:left="340" w:hanging="332"/>
        <w:spacing w:after="0"/>
        <w:tabs>
          <w:tab w:leader="none" w:pos="3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Represents pro-rated annual bonus earned pursuant to Section 7(a) of his Employment Agreement following his departure from the Company.</w:t>
      </w:r>
    </w:p>
    <w:p>
      <w:pPr>
        <w:sectPr>
          <w:pgSz w:w="11900" w:h="16838" w:orient="portrait"/>
          <w:cols w:equalWidth="0" w:num="1">
            <w:col w:w="11240"/>
          </w:cols>
          <w:pgMar w:left="320" w:top="87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240"/>
          </w:cols>
          <w:pgMar w:left="320" w:top="877" w:right="339" w:bottom="1440" w:gutter="0" w:footer="0" w:header="0"/>
          <w:type w:val="continuous"/>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Long-term Incentive Compensation</w:t>
      </w:r>
    </w:p>
    <w:p>
      <w:pPr>
        <w:spacing w:after="0" w:line="117"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Long-term incentives represent the primary component of compensation at the Company and are designed to reward participants the way stockholders are rewarded, through growth in the value of our Common Stock. Our NEOs receive either stock options, RSUs or PSUs, or a combination of any of the three. Regardless of the form of award, the overarching purpose of our long-term incentive grants is to align executives’ interests with those of our stockholders, reward employees for enhancing stockholder value and attract and retain our executive officers.</w:t>
      </w:r>
    </w:p>
    <w:p>
      <w:pPr>
        <w:spacing w:after="0" w:line="71"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In determining the size of equity-based awards for existing executive officers, the Compensation Committee, upon recommendations of management, as applicable, considers various subjective factors primarily relating to the responsibilities of the individual executive officer, past performance, and the executive officer’s expected future contributions and value to the Company. In making a recommendation to the Compensation Committee, management also considers the executive officer’s historic total compensation, including prior equity grants and exercise history, as well as the number and value of shares owned by the executive officer or which continue to be subject to vesting under outstanding equity grants previously made to such executive officer.</w:t>
      </w:r>
    </w:p>
    <w:p>
      <w:pPr>
        <w:spacing w:after="0" w:line="74"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In determining the size of equity-based awards for new hires, the Compensation Committee and, in certain instances the Chief Executive Officer, consider a variety of factors, including the compensation of similarly situated executive officers at the Company, the executive officer’s expected level of responsibility and expected contributions to the Company’s future success, and the compensation of similarly situated executive officers at selected peer companies. As the purpose of equity awards is to tie total compensation to long-term stockholder value, executive officers receive sizeable stock-based awards at the time of hire to align their interests to reward long-term performance.</w:t>
      </w:r>
    </w:p>
    <w:p>
      <w:pPr>
        <w:spacing w:after="0" w:line="71" w:lineRule="exact"/>
        <w:rPr>
          <w:sz w:val="20"/>
          <w:szCs w:val="20"/>
          <w:color w:val="auto"/>
        </w:rPr>
      </w:pPr>
    </w:p>
    <w:p>
      <w:pPr>
        <w:ind w:right="380" w:firstLine="324"/>
        <w:spacing w:after="0" w:line="257" w:lineRule="auto"/>
        <w:rPr>
          <w:sz w:val="20"/>
          <w:szCs w:val="20"/>
          <w:color w:val="auto"/>
        </w:rPr>
      </w:pPr>
      <w:r>
        <w:rPr>
          <w:rFonts w:ascii="Arial" w:cs="Arial" w:eastAsia="Arial" w:hAnsi="Arial"/>
          <w:sz w:val="18"/>
          <w:szCs w:val="18"/>
          <w:color w:val="auto"/>
        </w:rPr>
        <w:t>Long-term incentive awards are typically granted annually or upon hire, but the Compensation Committee may award equity at other times during the year to further reward or to encourage retention of our executive officers, including our NEOs. For both new hire and periodic equity grants, management develops grant recommendations for the Compensation Committee by subjectively evaluating the factors above, as applicable, to set a total compensation target for each executive officer and then designing equity awards to help meet those total compensation targets based on stock price appreciation assumptions, taking into account the executive officer’s cash compensation and the estimated value of pre-existing stock-based compensation vesting in subsequent years, if any.</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Total Compensation Target</w:t>
      </w:r>
    </w:p>
    <w:p>
      <w:pPr>
        <w:spacing w:after="0" w:line="115" w:lineRule="exact"/>
        <w:rPr>
          <w:sz w:val="20"/>
          <w:szCs w:val="20"/>
          <w:color w:val="auto"/>
        </w:rPr>
      </w:pPr>
    </w:p>
    <w:p>
      <w:pPr>
        <w:jc w:val="both"/>
        <w:ind w:right="100" w:firstLine="324"/>
        <w:spacing w:after="0" w:line="257" w:lineRule="auto"/>
        <w:rPr>
          <w:sz w:val="20"/>
          <w:szCs w:val="20"/>
          <w:color w:val="auto"/>
        </w:rPr>
      </w:pPr>
      <w:r>
        <w:rPr>
          <w:rFonts w:ascii="Arial" w:cs="Arial" w:eastAsia="Arial" w:hAnsi="Arial"/>
          <w:sz w:val="18"/>
          <w:szCs w:val="18"/>
          <w:color w:val="auto"/>
        </w:rPr>
        <w:t>In this process, we view projected total compensation for a given year as cash compensation expected to be earned in that year plus an assumed value of stock-based compensation vesting in that year. Because we focus on total compensation over time and take into account existing compensation, equity awards for a smaller number of shares do not necessarily reflect lower total compensation and equity awards for a larger number of shares do not necessarily reflect higher total compensation. For fiscal 2024, the total compensation target for each of the NEOs, other than Mr. Oringer, was: Paul Hennessy - $6,400,000, Rik Powell - $1,420,000, Jarrod Yahes - $4,240,000 and John Caine - $1,800,000.</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15" w:lineRule="exact"/>
        <w:rPr>
          <w:sz w:val="20"/>
          <w:szCs w:val="20"/>
          <w:color w:val="auto"/>
        </w:rPr>
      </w:pPr>
    </w:p>
    <w:p>
      <w:pPr>
        <w:ind w:right="260" w:firstLine="324"/>
        <w:spacing w:after="0" w:line="262" w:lineRule="auto"/>
        <w:rPr>
          <w:sz w:val="20"/>
          <w:szCs w:val="20"/>
          <w:color w:val="auto"/>
        </w:rPr>
      </w:pPr>
      <w:r>
        <w:rPr>
          <w:rFonts w:ascii="Arial" w:cs="Arial" w:eastAsia="Arial" w:hAnsi="Arial"/>
          <w:sz w:val="18"/>
          <w:szCs w:val="18"/>
          <w:color w:val="auto"/>
        </w:rPr>
        <w:t>Stock options are granted under the Shutterstock, Inc. 2022 Omnibus Equity Incentive Plan, as amended and restated (the “Amended and Restated 2022 Plan”) at an exercise price equal to the closing price of our Common Stock on the grant date. The number of options granted to an executive is determined based upon the Black-Scholes valuation on the grant date. We do not issue stock options with accelerated vesting features, except as specified in certain employment agreements.</w:t>
      </w:r>
    </w:p>
    <w:p>
      <w:pPr>
        <w:spacing w:after="0" w:line="68" w:lineRule="exact"/>
        <w:rPr>
          <w:sz w:val="20"/>
          <w:szCs w:val="20"/>
          <w:color w:val="auto"/>
        </w:rPr>
      </w:pPr>
    </w:p>
    <w:p>
      <w:pPr>
        <w:ind w:right="140" w:firstLine="324"/>
        <w:spacing w:after="0" w:line="291" w:lineRule="auto"/>
        <w:rPr>
          <w:sz w:val="20"/>
          <w:szCs w:val="20"/>
          <w:color w:val="auto"/>
        </w:rPr>
      </w:pPr>
      <w:r>
        <w:rPr>
          <w:rFonts w:ascii="Arial" w:cs="Arial" w:eastAsia="Arial" w:hAnsi="Arial"/>
          <w:sz w:val="17"/>
          <w:szCs w:val="17"/>
          <w:color w:val="auto"/>
        </w:rPr>
        <w:t>Although we are required to recognize a charge for the value of an option when granted that might be disproportionate to the value received by the recipient upon exercise, we believe the granting of options is performance-based compensation and aligns the interests of recipients with those of stockholders because the recipient only realizes value if our Common Stock appreciates above the grant date price.</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w:t>
      </w:r>
    </w:p>
    <w:p>
      <w:pPr>
        <w:spacing w:after="0" w:line="11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Under the Amended and Restated 2022 Plan, and for certain grants made in 2024 and in prior years under the Shutterstock, Inc. 2012 Omnibus Equity Incentive Plan (the “2012 Plan”), we grant RSUs, which are the right to receive shares of our Common Stock, that are subject to continued employment through the applicable vesting date. The number of RSUs granted to an executive is determined by dividing the fair market value of the RSU grant by the average of the Company’s closing price for a share of Common Stock on each trading day during the 30 trading days period ending on the date immediately prior to the grant date. RSUs are granted to executive officers, including our NEOs, to serve primarily as a retention mechanism and to reward individual performance.</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220"/>
          </w:cols>
          <w:pgMar w:left="320" w:top="877" w:right="359" w:bottom="1440" w:gutter="0" w:footer="0" w:header="0"/>
        </w:sectPr>
      </w:pPr>
    </w:p>
    <w:bookmarkStart w:id="30" w:name="page31"/>
    <w:bookmarkEnd w:id="30"/>
    <w:p>
      <w:pPr>
        <w:ind w:right="20" w:firstLine="324"/>
        <w:spacing w:after="0" w:line="268" w:lineRule="auto"/>
        <w:rPr>
          <w:sz w:val="20"/>
          <w:szCs w:val="20"/>
          <w:color w:val="auto"/>
        </w:rPr>
      </w:pPr>
      <w:r>
        <w:rPr>
          <w:rFonts w:ascii="Arial" w:cs="Arial" w:eastAsia="Arial" w:hAnsi="Arial"/>
          <w:sz w:val="18"/>
          <w:szCs w:val="18"/>
          <w:color w:val="auto"/>
        </w:rPr>
        <w:t>Stock option and RSU grants to our executive officers, including our NEOs, are currently structured to vest in equal installments over three years to balance the objective of retaining and incentivizing our executive officers, achieving key short-term deliverables with respect to our financial performance, and the long-term stability of the organization.</w:t>
      </w:r>
    </w:p>
    <w:p>
      <w:pPr>
        <w:spacing w:after="0" w:line="63"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During 2024 we granted Mr. Yahes 16,199 RSUs and Mr. Caine 4,964 RSUs, which vest in approximately equal increments on the first, second and third anniversaries of the grant date subject to continued employment through the applicable vesting date. In connection with Mr. Yahes’s resignation, such RSUs were forfeited as of November 1, 2024, and in connection with Mr. Caine’s termination, two-thirds of such RSUs were forfeited and one-third of such RSUs accelerated and vested as September 11th, 2024, at the expiration of the revocation period of his separation agreement.</w:t>
      </w:r>
    </w:p>
    <w:p>
      <w:pPr>
        <w:spacing w:after="0" w:line="71"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During 2024, Mr. Powell was granted 8,924 RSUs, which vest over 4 years, 25% vesting annually on the first and second anniversary of the grant date, and 6.25% vesting quarterly after the second anniversary of the grant date, in each case subject to continued employment through the applicable vesting date. Mr. Powell was also granted 10,906 RSUs upon designation as Chief Financial Officer, and those shares vest over a three-year period in approximately equal one-third increments on each anniversary of the grant date, subject to continued service with the Company through each vesting date.</w:t>
      </w:r>
    </w:p>
    <w:p>
      <w:pPr>
        <w:spacing w:after="0" w:line="71"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Mr. Hennessy was also granted 54,181 RSUs that will vest in full on July 1, 2026, subject to his continued service through the vesting date. The Compensation Committee and Board determined to approve Mr. Hennessy’s award in fiscal 2024 in order to incentivize Mr. Hennessy’s continued service and performance for the Company and to promote his retention for an additional period of service through July 1, 2026, following the July 1, 2025 vesting date of his other outstanding equity awards. Mr. Hennessy’s award in fiscal 2024 was also designed to recognize his significant contributions to the Company and the importance of his continued service for the Company, while aligning his pay with Company performance and stockholder value.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Stock Units</w:t>
      </w:r>
    </w:p>
    <w:p>
      <w:pPr>
        <w:spacing w:after="0" w:line="115" w:lineRule="exact"/>
        <w:rPr>
          <w:sz w:val="20"/>
          <w:szCs w:val="20"/>
          <w:color w:val="auto"/>
        </w:rPr>
      </w:pPr>
    </w:p>
    <w:p>
      <w:pPr>
        <w:jc w:val="both"/>
        <w:ind w:right="120" w:firstLine="324"/>
        <w:spacing w:after="0" w:line="268" w:lineRule="auto"/>
        <w:rPr>
          <w:sz w:val="20"/>
          <w:szCs w:val="20"/>
          <w:color w:val="auto"/>
        </w:rPr>
      </w:pPr>
      <w:r>
        <w:rPr>
          <w:rFonts w:ascii="Arial" w:cs="Arial" w:eastAsia="Arial" w:hAnsi="Arial"/>
          <w:sz w:val="18"/>
          <w:szCs w:val="18"/>
          <w:color w:val="auto"/>
        </w:rPr>
        <w:t>During fiscal 2024, the Compensation Committee determined it was in the best interest of the Company, as part of the overall long-term incentive compensation program, to grant our executive officers PSUs designed to focus our executive officers on achieving important long-term financial objectives over a three-year period.</w:t>
      </w:r>
    </w:p>
    <w:p>
      <w:pPr>
        <w:spacing w:after="0" w:line="63" w:lineRule="exact"/>
        <w:rPr>
          <w:sz w:val="20"/>
          <w:szCs w:val="20"/>
          <w:color w:val="auto"/>
        </w:rPr>
      </w:pPr>
    </w:p>
    <w:p>
      <w:pPr>
        <w:ind w:firstLine="324"/>
        <w:spacing w:after="0" w:line="268" w:lineRule="auto"/>
        <w:rPr>
          <w:sz w:val="20"/>
          <w:szCs w:val="20"/>
          <w:color w:val="auto"/>
        </w:rPr>
      </w:pPr>
      <w:r>
        <w:rPr>
          <w:rFonts w:ascii="Arial" w:cs="Arial" w:eastAsia="Arial" w:hAnsi="Arial"/>
          <w:sz w:val="18"/>
          <w:szCs w:val="18"/>
          <w:color w:val="auto"/>
        </w:rPr>
        <w:t>As a result of his resignation, the PSUs granted in 2024 to Mr. Yahes were forfeited. With respect to Mr. Caine, his PSUs earned and pro-rated based on 2024 performance vested in early 2025, but his PSUs vesting based on future performance (after fiscal 2024) were forfeited. The PSUs granted in 2024 to Mr. Oringer and Mr. Hennessy vested or remain outstanding, as further described below.</w:t>
      </w:r>
    </w:p>
    <w:p>
      <w:pPr>
        <w:spacing w:after="0" w:line="63"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color w:val="auto"/>
        </w:rPr>
        <w:t>With respect to the PSUs granted to Mr. Oringer, a portion of the PSUs remain eligible to vest annually, contingent on continued service and the achievement of the specified performance goals in the specific years. The annual targets for each of the PSU grants are set by the Compensation Committee over a three-year period based on the Company’s strategic objectives and goals. The Compensation Committee seeks to make target goals ambitious, requiring meaningful growth over the three-year performance period, while threshold goals are expected to be achievable. Information about the performance targets and payout results as a percentage of target as well as the resulting payout for the applicable fiscal year PSUs are described below. For each tranche of the PSU award, PSUs are earned based on the achievement of at least a threshold level of the performance goal with respect to the fiscal year prior to the year in which the vesting date occurs, under the following schedule:</w:t>
      </w:r>
    </w:p>
    <w:p>
      <w:pPr>
        <w:spacing w:after="0" w:line="131" w:lineRule="exact"/>
        <w:rPr>
          <w:sz w:val="20"/>
          <w:szCs w:val="20"/>
          <w:color w:val="auto"/>
        </w:rPr>
      </w:pPr>
    </w:p>
    <w:tbl>
      <w:tblPr>
        <w:tblLayout w:type="fixed"/>
        <w:tblInd w:w="340" w:type="dxa"/>
        <w:tblCellMar>
          <w:top w:w="0" w:type="dxa"/>
          <w:left w:w="0" w:type="dxa"/>
          <w:bottom w:w="0" w:type="dxa"/>
          <w:right w:w="0" w:type="dxa"/>
        </w:tblCellMar>
      </w:tblPr>
      <w:tr>
        <w:trPr>
          <w:trHeight w:val="255"/>
        </w:trPr>
        <w:tc>
          <w:tcPr>
            <w:tcW w:w="29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Achievement Level</w:t>
            </w:r>
          </w:p>
        </w:tc>
        <w:tc>
          <w:tcPr>
            <w:tcW w:w="2700" w:type="dxa"/>
            <w:vAlign w:val="bottom"/>
            <w:tcBorders>
              <w:bottom w:val="single" w:sz="8" w:color="auto"/>
            </w:tcBorders>
          </w:tcPr>
          <w:p>
            <w:pPr>
              <w:ind w:left="520"/>
              <w:spacing w:after="0"/>
              <w:rPr>
                <w:sz w:val="20"/>
                <w:szCs w:val="20"/>
                <w:color w:val="auto"/>
              </w:rPr>
            </w:pPr>
            <w:r>
              <w:rPr>
                <w:rFonts w:ascii="Arial" w:cs="Arial" w:eastAsia="Arial" w:hAnsi="Arial"/>
                <w:sz w:val="18"/>
                <w:szCs w:val="18"/>
                <w:b w:val="1"/>
                <w:bCs w:val="1"/>
                <w:color w:val="auto"/>
              </w:rPr>
              <w:t>Percentage Vesting</w:t>
            </w:r>
          </w:p>
        </w:tc>
      </w:tr>
      <w:tr>
        <w:trPr>
          <w:trHeight w:val="224"/>
        </w:trPr>
        <w:tc>
          <w:tcPr>
            <w:tcW w:w="2900" w:type="dxa"/>
            <w:vAlign w:val="bottom"/>
            <w:gridSpan w:val="2"/>
          </w:tcPr>
          <w:p>
            <w:pPr>
              <w:ind w:left="20"/>
              <w:spacing w:after="0"/>
              <w:rPr>
                <w:sz w:val="20"/>
                <w:szCs w:val="20"/>
                <w:color w:val="auto"/>
              </w:rPr>
            </w:pPr>
            <w:r>
              <w:rPr>
                <w:rFonts w:ascii="Arial" w:cs="Arial" w:eastAsia="Arial" w:hAnsi="Arial"/>
                <w:sz w:val="18"/>
                <w:szCs w:val="18"/>
                <w:color w:val="auto"/>
              </w:rPr>
              <w:t>Outstanding</w:t>
            </w:r>
          </w:p>
        </w:tc>
        <w:tc>
          <w:tcPr>
            <w:tcW w:w="2700" w:type="dxa"/>
            <w:vAlign w:val="bottom"/>
          </w:tcPr>
          <w:p>
            <w:pPr>
              <w:jc w:val="center"/>
              <w:spacing w:after="0"/>
              <w:rPr>
                <w:sz w:val="20"/>
                <w:szCs w:val="20"/>
                <w:color w:val="auto"/>
              </w:rPr>
            </w:pPr>
            <w:r>
              <w:rPr>
                <w:rFonts w:ascii="Arial" w:cs="Arial" w:eastAsia="Arial" w:hAnsi="Arial"/>
                <w:sz w:val="18"/>
                <w:szCs w:val="18"/>
                <w:color w:val="auto"/>
                <w:w w:val="99"/>
              </w:rPr>
              <w:t>150%</w:t>
            </w:r>
          </w:p>
        </w:tc>
      </w:tr>
      <w:tr>
        <w:trPr>
          <w:trHeight w:val="230"/>
        </w:trPr>
        <w:tc>
          <w:tcPr>
            <w:tcW w:w="2900" w:type="dxa"/>
            <w:vAlign w:val="bottom"/>
            <w:gridSpan w:val="2"/>
          </w:tcPr>
          <w:p>
            <w:pPr>
              <w:ind w:left="20"/>
              <w:spacing w:after="0"/>
              <w:rPr>
                <w:sz w:val="20"/>
                <w:szCs w:val="20"/>
                <w:color w:val="auto"/>
              </w:rPr>
            </w:pPr>
            <w:r>
              <w:rPr>
                <w:rFonts w:ascii="Arial" w:cs="Arial" w:eastAsia="Arial" w:hAnsi="Arial"/>
                <w:sz w:val="18"/>
                <w:szCs w:val="18"/>
                <w:color w:val="auto"/>
              </w:rPr>
              <w:t>Target</w:t>
            </w:r>
          </w:p>
        </w:tc>
        <w:tc>
          <w:tcPr>
            <w:tcW w:w="2700" w:type="dxa"/>
            <w:vAlign w:val="bottom"/>
          </w:tcPr>
          <w:p>
            <w:pPr>
              <w:jc w:val="center"/>
              <w:spacing w:after="0"/>
              <w:rPr>
                <w:sz w:val="20"/>
                <w:szCs w:val="20"/>
                <w:color w:val="auto"/>
              </w:rPr>
            </w:pPr>
            <w:r>
              <w:rPr>
                <w:rFonts w:ascii="Arial" w:cs="Arial" w:eastAsia="Arial" w:hAnsi="Arial"/>
                <w:sz w:val="18"/>
                <w:szCs w:val="18"/>
                <w:color w:val="auto"/>
                <w:w w:val="99"/>
              </w:rPr>
              <w:t>100%</w:t>
            </w:r>
          </w:p>
        </w:tc>
      </w:tr>
      <w:tr>
        <w:trPr>
          <w:trHeight w:val="235"/>
        </w:trPr>
        <w:tc>
          <w:tcPr>
            <w:tcW w:w="27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Threshold</w:t>
            </w:r>
          </w:p>
        </w:tc>
        <w:tc>
          <w:tcPr>
            <w:tcW w:w="200" w:type="dxa"/>
            <w:vAlign w:val="bottom"/>
          </w:tcPr>
          <w:p>
            <w:pPr>
              <w:spacing w:after="0"/>
              <w:rPr>
                <w:sz w:val="20"/>
                <w:szCs w:val="20"/>
                <w:color w:val="auto"/>
              </w:rPr>
            </w:pPr>
          </w:p>
        </w:tc>
        <w:tc>
          <w:tcPr>
            <w:tcW w:w="2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75%</w:t>
            </w:r>
          </w:p>
        </w:tc>
      </w:tr>
    </w:tbl>
    <w:p>
      <w:pPr>
        <w:spacing w:after="0" w:line="184" w:lineRule="exact"/>
        <w:rPr>
          <w:sz w:val="20"/>
          <w:szCs w:val="20"/>
          <w:color w:val="auto"/>
        </w:rPr>
      </w:pPr>
    </w:p>
    <w:p>
      <w:pPr>
        <w:ind w:right="180" w:firstLine="324"/>
        <w:spacing w:after="0" w:line="255" w:lineRule="auto"/>
        <w:rPr>
          <w:sz w:val="20"/>
          <w:szCs w:val="20"/>
          <w:color w:val="auto"/>
        </w:rPr>
      </w:pPr>
      <w:r>
        <w:rPr>
          <w:rFonts w:ascii="Arial" w:cs="Arial" w:eastAsia="Arial" w:hAnsi="Arial"/>
          <w:sz w:val="18"/>
          <w:szCs w:val="18"/>
          <w:color w:val="auto"/>
        </w:rPr>
        <w:t>The PSU goals and payout opportunity are intended to reflect the same key metrics we use to manage our business and drive stockholder returns over time, including adjusted EBITDA margins and revenue growth. In February 2024, the Compensation Committee approved a grant of PSUs (the “2024 PSUs”) with vesting based on the achievement of revenue and adjusted EBITDA goals established in advance by the Compensation Committee for three annual tranches over the full performance period. In each case, the PSUs in each tranche are eligible to vest annually based upon achievement of the prior year performance goals. Similarly, in February 2023 and March 2022, the Compensation Committee had approved two grants of PSUs (the “2023 PSUs” and “2022 PSUs”, respectively) and at the time of such grants, had established revenue and adjusted EBITDA margin targets for the three annual tranches of each award over the full performance period.</w:t>
      </w:r>
    </w:p>
    <w:p>
      <w:pPr>
        <w:spacing w:after="0" w:line="7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performance goals established at the time of each grant with respect to fiscal 2024 performance are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220"/>
          </w:cols>
          <w:pgMar w:left="320" w:top="877" w:right="35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47"/>
        </w:trPr>
        <w:tc>
          <w:tcPr>
            <w:tcW w:w="460" w:type="dxa"/>
            <w:vAlign w:val="bottom"/>
          </w:tcPr>
          <w:p>
            <w:pPr>
              <w:spacing w:after="0"/>
              <w:rPr>
                <w:sz w:val="21"/>
                <w:szCs w:val="21"/>
                <w:color w:val="auto"/>
              </w:rPr>
            </w:pPr>
          </w:p>
        </w:tc>
        <w:tc>
          <w:tcPr>
            <w:tcW w:w="29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2900" w:type="dxa"/>
            <w:vAlign w:val="bottom"/>
          </w:tcPr>
          <w:p>
            <w:pPr>
              <w:jc w:val="center"/>
              <w:ind w:left="350"/>
              <w:spacing w:after="0"/>
              <w:rPr>
                <w:sz w:val="20"/>
                <w:szCs w:val="20"/>
                <w:color w:val="auto"/>
              </w:rPr>
            </w:pPr>
            <w:r>
              <w:rPr>
                <w:rFonts w:ascii="Arial" w:cs="Arial" w:eastAsia="Arial" w:hAnsi="Arial"/>
                <w:sz w:val="18"/>
                <w:szCs w:val="18"/>
                <w:b w:val="1"/>
                <w:bCs w:val="1"/>
                <w:color w:val="auto"/>
              </w:rPr>
              <w:t>Adjusted EBITDA</w:t>
            </w:r>
          </w:p>
        </w:tc>
        <w:tc>
          <w:tcPr>
            <w:tcW w:w="1560" w:type="dxa"/>
            <w:vAlign w:val="bottom"/>
          </w:tcPr>
          <w:p>
            <w:pPr>
              <w:jc w:val="right"/>
              <w:ind w:right="250"/>
              <w:spacing w:after="0"/>
              <w:rPr>
                <w:sz w:val="20"/>
                <w:szCs w:val="20"/>
                <w:color w:val="auto"/>
              </w:rPr>
            </w:pPr>
            <w:r>
              <w:rPr>
                <w:rFonts w:ascii="Arial" w:cs="Arial" w:eastAsia="Arial" w:hAnsi="Arial"/>
                <w:sz w:val="18"/>
                <w:szCs w:val="18"/>
                <w:b w:val="1"/>
                <w:bCs w:val="1"/>
                <w:color w:val="auto"/>
              </w:rPr>
              <w:t>Revenue</w:t>
            </w:r>
          </w:p>
        </w:tc>
      </w:tr>
      <w:tr>
        <w:trPr>
          <w:trHeight w:val="279"/>
        </w:trPr>
        <w:tc>
          <w:tcPr>
            <w:tcW w:w="46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tcPr>
          <w:p>
            <w:pPr>
              <w:jc w:val="center"/>
              <w:ind w:left="350"/>
              <w:spacing w:after="0"/>
              <w:rPr>
                <w:sz w:val="20"/>
                <w:szCs w:val="20"/>
                <w:color w:val="auto"/>
              </w:rPr>
            </w:pPr>
            <w:r>
              <w:rPr>
                <w:rFonts w:ascii="Arial" w:cs="Arial" w:eastAsia="Arial" w:hAnsi="Arial"/>
                <w:sz w:val="18"/>
                <w:szCs w:val="18"/>
                <w:b w:val="1"/>
                <w:bCs w:val="1"/>
                <w:color w:val="auto"/>
                <w:w w:val="98"/>
              </w:rPr>
              <w:t>Margin</w:t>
            </w:r>
          </w:p>
        </w:tc>
        <w:tc>
          <w:tcPr>
            <w:tcW w:w="15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Growth</w:t>
            </w:r>
          </w:p>
        </w:tc>
      </w:tr>
      <w:tr>
        <w:trPr>
          <w:trHeight w:val="247"/>
        </w:trPr>
        <w:tc>
          <w:tcPr>
            <w:tcW w:w="460" w:type="dxa"/>
            <w:vAlign w:val="bottom"/>
          </w:tcPr>
          <w:p>
            <w:pPr>
              <w:jc w:val="right"/>
              <w:spacing w:after="0"/>
              <w:rPr>
                <w:sz w:val="20"/>
                <w:szCs w:val="20"/>
                <w:color w:val="auto"/>
              </w:rPr>
            </w:pPr>
            <w:r>
              <w:rPr>
                <w:rFonts w:ascii="Arial" w:cs="Arial" w:eastAsia="Arial" w:hAnsi="Arial"/>
                <w:sz w:val="18"/>
                <w:szCs w:val="18"/>
                <w:color w:val="auto"/>
                <w:w w:val="99"/>
              </w:rPr>
              <w:t>2022</w:t>
            </w:r>
          </w:p>
        </w:tc>
        <w:tc>
          <w:tcPr>
            <w:tcW w:w="2920" w:type="dxa"/>
            <w:vAlign w:val="bottom"/>
          </w:tcPr>
          <w:p>
            <w:pPr>
              <w:ind w:left="20"/>
              <w:spacing w:after="0"/>
              <w:rPr>
                <w:sz w:val="20"/>
                <w:szCs w:val="20"/>
                <w:color w:val="auto"/>
              </w:rPr>
            </w:pPr>
            <w:r>
              <w:rPr>
                <w:rFonts w:ascii="Arial" w:cs="Arial" w:eastAsia="Arial" w:hAnsi="Arial"/>
                <w:sz w:val="18"/>
                <w:szCs w:val="18"/>
                <w:color w:val="auto"/>
              </w:rPr>
              <w:t>PSUs (Third Tranche)</w:t>
            </w:r>
          </w:p>
        </w:tc>
        <w:tc>
          <w:tcPr>
            <w:tcW w:w="3400" w:type="dxa"/>
            <w:vAlign w:val="bottom"/>
            <w:gridSpan w:val="2"/>
          </w:tcPr>
          <w:p>
            <w:pPr>
              <w:ind w:left="980"/>
              <w:spacing w:after="0"/>
              <w:rPr>
                <w:sz w:val="20"/>
                <w:szCs w:val="20"/>
                <w:color w:val="auto"/>
              </w:rPr>
            </w:pPr>
            <w:r>
              <w:rPr>
                <w:rFonts w:ascii="Arial" w:cs="Arial" w:eastAsia="Arial" w:hAnsi="Arial"/>
                <w:sz w:val="18"/>
                <w:szCs w:val="18"/>
                <w:color w:val="auto"/>
              </w:rPr>
              <w:t>Targets</w:t>
            </w:r>
          </w:p>
        </w:tc>
        <w:tc>
          <w:tcPr>
            <w:tcW w:w="2900" w:type="dxa"/>
            <w:vAlign w:val="bottom"/>
          </w:tcPr>
          <w:p>
            <w:pPr>
              <w:jc w:val="center"/>
              <w:ind w:left="350"/>
              <w:spacing w:after="0"/>
              <w:rPr>
                <w:sz w:val="20"/>
                <w:szCs w:val="20"/>
                <w:color w:val="auto"/>
              </w:rPr>
            </w:pPr>
            <w:r>
              <w:rPr>
                <w:rFonts w:ascii="Arial" w:cs="Arial" w:eastAsia="Arial" w:hAnsi="Arial"/>
                <w:sz w:val="18"/>
                <w:szCs w:val="18"/>
                <w:color w:val="auto"/>
                <w:w w:val="97"/>
              </w:rPr>
              <w:t>25.9%</w:t>
            </w:r>
          </w:p>
        </w:tc>
        <w:tc>
          <w:tcPr>
            <w:tcW w:w="1560" w:type="dxa"/>
            <w:vAlign w:val="bottom"/>
          </w:tcPr>
          <w:p>
            <w:pPr>
              <w:jc w:val="right"/>
              <w:ind w:right="410"/>
              <w:spacing w:after="0"/>
              <w:rPr>
                <w:sz w:val="20"/>
                <w:szCs w:val="20"/>
                <w:color w:val="auto"/>
              </w:rPr>
            </w:pPr>
            <w:r>
              <w:rPr>
                <w:rFonts w:ascii="Arial" w:cs="Arial" w:eastAsia="Arial" w:hAnsi="Arial"/>
                <w:sz w:val="18"/>
                <w:szCs w:val="18"/>
                <w:color w:val="auto"/>
              </w:rPr>
              <w:t>9.0%</w:t>
            </w:r>
          </w:p>
        </w:tc>
      </w:tr>
      <w:tr>
        <w:trPr>
          <w:trHeight w:val="270"/>
        </w:trPr>
        <w:tc>
          <w:tcPr>
            <w:tcW w:w="460" w:type="dxa"/>
            <w:vAlign w:val="bottom"/>
          </w:tcPr>
          <w:p>
            <w:pPr>
              <w:jc w:val="right"/>
              <w:spacing w:after="0"/>
              <w:rPr>
                <w:sz w:val="20"/>
                <w:szCs w:val="20"/>
                <w:color w:val="auto"/>
              </w:rPr>
            </w:pPr>
            <w:r>
              <w:rPr>
                <w:rFonts w:ascii="Arial" w:cs="Arial" w:eastAsia="Arial" w:hAnsi="Arial"/>
                <w:sz w:val="18"/>
                <w:szCs w:val="18"/>
                <w:color w:val="auto"/>
                <w:w w:val="99"/>
              </w:rPr>
              <w:t>2022</w:t>
            </w:r>
          </w:p>
        </w:tc>
        <w:tc>
          <w:tcPr>
            <w:tcW w:w="2920" w:type="dxa"/>
            <w:vAlign w:val="bottom"/>
          </w:tcPr>
          <w:p>
            <w:pPr>
              <w:ind w:left="20"/>
              <w:spacing w:after="0"/>
              <w:rPr>
                <w:sz w:val="20"/>
                <w:szCs w:val="20"/>
                <w:color w:val="auto"/>
              </w:rPr>
            </w:pPr>
            <w:r>
              <w:rPr>
                <w:rFonts w:ascii="Arial" w:cs="Arial" w:eastAsia="Arial" w:hAnsi="Arial"/>
                <w:sz w:val="18"/>
                <w:szCs w:val="18"/>
                <w:color w:val="auto"/>
              </w:rPr>
              <w:t>PSUs (Third Tranche)</w:t>
            </w:r>
          </w:p>
        </w:tc>
        <w:tc>
          <w:tcPr>
            <w:tcW w:w="1400" w:type="dxa"/>
            <w:vAlign w:val="bottom"/>
          </w:tcPr>
          <w:p>
            <w:pPr>
              <w:ind w:left="980"/>
              <w:spacing w:after="0"/>
              <w:rPr>
                <w:sz w:val="20"/>
                <w:szCs w:val="20"/>
                <w:color w:val="auto"/>
              </w:rPr>
            </w:pPr>
            <w:r>
              <w:rPr>
                <w:rFonts w:ascii="Arial" w:cs="Arial" w:eastAsia="Arial" w:hAnsi="Arial"/>
                <w:sz w:val="18"/>
                <w:szCs w:val="18"/>
                <w:color w:val="auto"/>
                <w:w w:val="99"/>
              </w:rPr>
              <w:t>2024</w:t>
            </w:r>
          </w:p>
        </w:tc>
        <w:tc>
          <w:tcPr>
            <w:tcW w:w="2000" w:type="dxa"/>
            <w:vAlign w:val="bottom"/>
          </w:tcPr>
          <w:p>
            <w:pPr>
              <w:ind w:left="20"/>
              <w:spacing w:after="0"/>
              <w:rPr>
                <w:sz w:val="20"/>
                <w:szCs w:val="20"/>
                <w:color w:val="auto"/>
              </w:rPr>
            </w:pPr>
            <w:r>
              <w:rPr>
                <w:rFonts w:ascii="Arial" w:cs="Arial" w:eastAsia="Arial" w:hAnsi="Arial"/>
                <w:sz w:val="18"/>
                <w:szCs w:val="18"/>
                <w:color w:val="auto"/>
              </w:rPr>
              <w:t>Achievement</w:t>
            </w:r>
          </w:p>
        </w:tc>
        <w:tc>
          <w:tcPr>
            <w:tcW w:w="2900" w:type="dxa"/>
            <w:vAlign w:val="bottom"/>
          </w:tcPr>
          <w:p>
            <w:pPr>
              <w:jc w:val="center"/>
              <w:ind w:left="350"/>
              <w:spacing w:after="0"/>
              <w:rPr>
                <w:sz w:val="20"/>
                <w:szCs w:val="20"/>
                <w:color w:val="auto"/>
              </w:rPr>
            </w:pPr>
            <w:r>
              <w:rPr>
                <w:rFonts w:ascii="Arial" w:cs="Arial" w:eastAsia="Arial" w:hAnsi="Arial"/>
                <w:sz w:val="18"/>
                <w:szCs w:val="18"/>
                <w:color w:val="auto"/>
                <w:w w:val="97"/>
              </w:rPr>
              <w:t>30.0%</w:t>
            </w:r>
          </w:p>
        </w:tc>
        <w:tc>
          <w:tcPr>
            <w:tcW w:w="1560" w:type="dxa"/>
            <w:vAlign w:val="bottom"/>
          </w:tcPr>
          <w:p>
            <w:pPr>
              <w:jc w:val="right"/>
              <w:ind w:right="350"/>
              <w:spacing w:after="0"/>
              <w:rPr>
                <w:sz w:val="20"/>
                <w:szCs w:val="20"/>
                <w:color w:val="auto"/>
              </w:rPr>
            </w:pPr>
            <w:r>
              <w:rPr>
                <w:rFonts w:ascii="Arial" w:cs="Arial" w:eastAsia="Arial" w:hAnsi="Arial"/>
                <w:sz w:val="18"/>
                <w:szCs w:val="18"/>
                <w:color w:val="auto"/>
              </w:rPr>
              <w:t>(4.8)%</w:t>
            </w:r>
          </w:p>
        </w:tc>
      </w:tr>
      <w:tr>
        <w:trPr>
          <w:trHeight w:val="270"/>
        </w:trPr>
        <w:tc>
          <w:tcPr>
            <w:tcW w:w="460" w:type="dxa"/>
            <w:vAlign w:val="bottom"/>
          </w:tcPr>
          <w:p>
            <w:pPr>
              <w:jc w:val="right"/>
              <w:spacing w:after="0"/>
              <w:rPr>
                <w:sz w:val="20"/>
                <w:szCs w:val="20"/>
                <w:color w:val="auto"/>
              </w:rPr>
            </w:pPr>
            <w:r>
              <w:rPr>
                <w:rFonts w:ascii="Arial" w:cs="Arial" w:eastAsia="Arial" w:hAnsi="Arial"/>
                <w:sz w:val="18"/>
                <w:szCs w:val="18"/>
                <w:color w:val="auto"/>
                <w:w w:val="99"/>
              </w:rPr>
              <w:t>2023</w:t>
            </w:r>
          </w:p>
        </w:tc>
        <w:tc>
          <w:tcPr>
            <w:tcW w:w="2920" w:type="dxa"/>
            <w:vAlign w:val="bottom"/>
          </w:tcPr>
          <w:p>
            <w:pPr>
              <w:ind w:left="20"/>
              <w:spacing w:after="0"/>
              <w:rPr>
                <w:sz w:val="20"/>
                <w:szCs w:val="20"/>
                <w:color w:val="auto"/>
              </w:rPr>
            </w:pPr>
            <w:r>
              <w:rPr>
                <w:rFonts w:ascii="Arial" w:cs="Arial" w:eastAsia="Arial" w:hAnsi="Arial"/>
                <w:sz w:val="18"/>
                <w:szCs w:val="18"/>
                <w:color w:val="auto"/>
              </w:rPr>
              <w:t>PSUs (Second Tranche)</w:t>
            </w:r>
          </w:p>
        </w:tc>
        <w:tc>
          <w:tcPr>
            <w:tcW w:w="3400" w:type="dxa"/>
            <w:vAlign w:val="bottom"/>
            <w:gridSpan w:val="2"/>
          </w:tcPr>
          <w:p>
            <w:pPr>
              <w:ind w:left="980"/>
              <w:spacing w:after="0"/>
              <w:rPr>
                <w:sz w:val="20"/>
                <w:szCs w:val="20"/>
                <w:color w:val="auto"/>
              </w:rPr>
            </w:pPr>
            <w:r>
              <w:rPr>
                <w:rFonts w:ascii="Arial" w:cs="Arial" w:eastAsia="Arial" w:hAnsi="Arial"/>
                <w:sz w:val="18"/>
                <w:szCs w:val="18"/>
                <w:color w:val="auto"/>
              </w:rPr>
              <w:t>Targets</w:t>
            </w:r>
          </w:p>
        </w:tc>
        <w:tc>
          <w:tcPr>
            <w:tcW w:w="2900" w:type="dxa"/>
            <w:vAlign w:val="bottom"/>
          </w:tcPr>
          <w:p>
            <w:pPr>
              <w:jc w:val="center"/>
              <w:ind w:left="350"/>
              <w:spacing w:after="0"/>
              <w:rPr>
                <w:sz w:val="20"/>
                <w:szCs w:val="20"/>
                <w:color w:val="auto"/>
              </w:rPr>
            </w:pPr>
            <w:r>
              <w:rPr>
                <w:rFonts w:ascii="Arial" w:cs="Arial" w:eastAsia="Arial" w:hAnsi="Arial"/>
                <w:sz w:val="18"/>
                <w:szCs w:val="18"/>
                <w:color w:val="auto"/>
                <w:w w:val="97"/>
              </w:rPr>
              <w:t>27.0%</w:t>
            </w:r>
          </w:p>
        </w:tc>
        <w:tc>
          <w:tcPr>
            <w:tcW w:w="1560" w:type="dxa"/>
            <w:vAlign w:val="bottom"/>
          </w:tcPr>
          <w:p>
            <w:pPr>
              <w:jc w:val="right"/>
              <w:ind w:right="410"/>
              <w:spacing w:after="0"/>
              <w:rPr>
                <w:sz w:val="20"/>
                <w:szCs w:val="20"/>
                <w:color w:val="auto"/>
              </w:rPr>
            </w:pPr>
            <w:r>
              <w:rPr>
                <w:rFonts w:ascii="Arial" w:cs="Arial" w:eastAsia="Arial" w:hAnsi="Arial"/>
                <w:sz w:val="18"/>
                <w:szCs w:val="18"/>
                <w:color w:val="auto"/>
              </w:rPr>
              <w:t>5.0%</w:t>
            </w:r>
          </w:p>
        </w:tc>
      </w:tr>
      <w:tr>
        <w:trPr>
          <w:trHeight w:val="270"/>
        </w:trPr>
        <w:tc>
          <w:tcPr>
            <w:tcW w:w="460" w:type="dxa"/>
            <w:vAlign w:val="bottom"/>
          </w:tcPr>
          <w:p>
            <w:pPr>
              <w:jc w:val="right"/>
              <w:spacing w:after="0"/>
              <w:rPr>
                <w:sz w:val="20"/>
                <w:szCs w:val="20"/>
                <w:color w:val="auto"/>
              </w:rPr>
            </w:pPr>
            <w:r>
              <w:rPr>
                <w:rFonts w:ascii="Arial" w:cs="Arial" w:eastAsia="Arial" w:hAnsi="Arial"/>
                <w:sz w:val="18"/>
                <w:szCs w:val="18"/>
                <w:color w:val="auto"/>
                <w:w w:val="99"/>
              </w:rPr>
              <w:t>2023</w:t>
            </w:r>
          </w:p>
        </w:tc>
        <w:tc>
          <w:tcPr>
            <w:tcW w:w="2920" w:type="dxa"/>
            <w:vAlign w:val="bottom"/>
          </w:tcPr>
          <w:p>
            <w:pPr>
              <w:ind w:left="20"/>
              <w:spacing w:after="0"/>
              <w:rPr>
                <w:sz w:val="20"/>
                <w:szCs w:val="20"/>
                <w:color w:val="auto"/>
              </w:rPr>
            </w:pPr>
            <w:r>
              <w:rPr>
                <w:rFonts w:ascii="Arial" w:cs="Arial" w:eastAsia="Arial" w:hAnsi="Arial"/>
                <w:sz w:val="18"/>
                <w:szCs w:val="18"/>
                <w:color w:val="auto"/>
              </w:rPr>
              <w:t>PSUs (Second Tranche)</w:t>
            </w:r>
          </w:p>
        </w:tc>
        <w:tc>
          <w:tcPr>
            <w:tcW w:w="1400" w:type="dxa"/>
            <w:vAlign w:val="bottom"/>
          </w:tcPr>
          <w:p>
            <w:pPr>
              <w:ind w:left="980"/>
              <w:spacing w:after="0"/>
              <w:rPr>
                <w:sz w:val="20"/>
                <w:szCs w:val="20"/>
                <w:color w:val="auto"/>
              </w:rPr>
            </w:pPr>
            <w:r>
              <w:rPr>
                <w:rFonts w:ascii="Arial" w:cs="Arial" w:eastAsia="Arial" w:hAnsi="Arial"/>
                <w:sz w:val="18"/>
                <w:szCs w:val="18"/>
                <w:color w:val="auto"/>
                <w:w w:val="99"/>
              </w:rPr>
              <w:t>2024</w:t>
            </w:r>
          </w:p>
        </w:tc>
        <w:tc>
          <w:tcPr>
            <w:tcW w:w="2000" w:type="dxa"/>
            <w:vAlign w:val="bottom"/>
          </w:tcPr>
          <w:p>
            <w:pPr>
              <w:ind w:left="20"/>
              <w:spacing w:after="0"/>
              <w:rPr>
                <w:sz w:val="20"/>
                <w:szCs w:val="20"/>
                <w:color w:val="auto"/>
              </w:rPr>
            </w:pPr>
            <w:r>
              <w:rPr>
                <w:rFonts w:ascii="Arial" w:cs="Arial" w:eastAsia="Arial" w:hAnsi="Arial"/>
                <w:sz w:val="18"/>
                <w:szCs w:val="18"/>
                <w:color w:val="auto"/>
              </w:rPr>
              <w:t>Achievement</w:t>
            </w:r>
          </w:p>
        </w:tc>
        <w:tc>
          <w:tcPr>
            <w:tcW w:w="2900" w:type="dxa"/>
            <w:vAlign w:val="bottom"/>
          </w:tcPr>
          <w:p>
            <w:pPr>
              <w:jc w:val="center"/>
              <w:ind w:left="350"/>
              <w:spacing w:after="0"/>
              <w:rPr>
                <w:sz w:val="20"/>
                <w:szCs w:val="20"/>
                <w:color w:val="auto"/>
              </w:rPr>
            </w:pPr>
            <w:r>
              <w:rPr>
                <w:rFonts w:ascii="Arial" w:cs="Arial" w:eastAsia="Arial" w:hAnsi="Arial"/>
                <w:sz w:val="18"/>
                <w:szCs w:val="18"/>
                <w:color w:val="auto"/>
                <w:w w:val="97"/>
              </w:rPr>
              <w:t>30.0%</w:t>
            </w:r>
          </w:p>
        </w:tc>
        <w:tc>
          <w:tcPr>
            <w:tcW w:w="1560" w:type="dxa"/>
            <w:vAlign w:val="bottom"/>
          </w:tcPr>
          <w:p>
            <w:pPr>
              <w:jc w:val="right"/>
              <w:ind w:right="350"/>
              <w:spacing w:after="0"/>
              <w:rPr>
                <w:sz w:val="20"/>
                <w:szCs w:val="20"/>
                <w:color w:val="auto"/>
              </w:rPr>
            </w:pPr>
            <w:r>
              <w:rPr>
                <w:rFonts w:ascii="Arial" w:cs="Arial" w:eastAsia="Arial" w:hAnsi="Arial"/>
                <w:sz w:val="18"/>
                <w:szCs w:val="18"/>
                <w:color w:val="auto"/>
              </w:rPr>
              <w:t>(4.8)%</w:t>
            </w:r>
          </w:p>
        </w:tc>
      </w:tr>
      <w:tr>
        <w:trPr>
          <w:trHeight w:val="270"/>
        </w:trPr>
        <w:tc>
          <w:tcPr>
            <w:tcW w:w="460" w:type="dxa"/>
            <w:vAlign w:val="bottom"/>
          </w:tcPr>
          <w:p>
            <w:pPr>
              <w:jc w:val="right"/>
              <w:spacing w:after="0"/>
              <w:rPr>
                <w:sz w:val="20"/>
                <w:szCs w:val="20"/>
                <w:color w:val="auto"/>
              </w:rPr>
            </w:pPr>
            <w:r>
              <w:rPr>
                <w:rFonts w:ascii="Arial" w:cs="Arial" w:eastAsia="Arial" w:hAnsi="Arial"/>
                <w:sz w:val="18"/>
                <w:szCs w:val="18"/>
                <w:color w:val="auto"/>
                <w:w w:val="99"/>
              </w:rPr>
              <w:t>2024</w:t>
            </w:r>
          </w:p>
        </w:tc>
        <w:tc>
          <w:tcPr>
            <w:tcW w:w="2920" w:type="dxa"/>
            <w:vAlign w:val="bottom"/>
          </w:tcPr>
          <w:p>
            <w:pPr>
              <w:ind w:left="20"/>
              <w:spacing w:after="0"/>
              <w:rPr>
                <w:sz w:val="20"/>
                <w:szCs w:val="20"/>
                <w:color w:val="auto"/>
              </w:rPr>
            </w:pPr>
            <w:r>
              <w:rPr>
                <w:rFonts w:ascii="Arial" w:cs="Arial" w:eastAsia="Arial" w:hAnsi="Arial"/>
                <w:sz w:val="18"/>
                <w:szCs w:val="18"/>
                <w:color w:val="auto"/>
              </w:rPr>
              <w:t>PSUs (First Tranche)</w:t>
            </w:r>
          </w:p>
        </w:tc>
        <w:tc>
          <w:tcPr>
            <w:tcW w:w="3400" w:type="dxa"/>
            <w:vAlign w:val="bottom"/>
            <w:gridSpan w:val="2"/>
          </w:tcPr>
          <w:p>
            <w:pPr>
              <w:ind w:left="980"/>
              <w:spacing w:after="0"/>
              <w:rPr>
                <w:sz w:val="20"/>
                <w:szCs w:val="20"/>
                <w:color w:val="auto"/>
              </w:rPr>
            </w:pPr>
            <w:r>
              <w:rPr>
                <w:rFonts w:ascii="Arial" w:cs="Arial" w:eastAsia="Arial" w:hAnsi="Arial"/>
                <w:sz w:val="18"/>
                <w:szCs w:val="18"/>
                <w:color w:val="auto"/>
              </w:rPr>
              <w:t>Targets</w:t>
            </w:r>
          </w:p>
        </w:tc>
        <w:tc>
          <w:tcPr>
            <w:tcW w:w="2900" w:type="dxa"/>
            <w:vAlign w:val="bottom"/>
          </w:tcPr>
          <w:p>
            <w:pPr>
              <w:jc w:val="center"/>
              <w:ind w:left="350"/>
              <w:spacing w:after="0"/>
              <w:rPr>
                <w:sz w:val="20"/>
                <w:szCs w:val="20"/>
                <w:color w:val="auto"/>
              </w:rPr>
            </w:pPr>
            <w:r>
              <w:rPr>
                <w:rFonts w:ascii="Arial" w:cs="Arial" w:eastAsia="Arial" w:hAnsi="Arial"/>
                <w:sz w:val="18"/>
                <w:szCs w:val="18"/>
                <w:color w:val="auto"/>
                <w:w w:val="97"/>
              </w:rPr>
              <w:t>27.3%</w:t>
            </w:r>
          </w:p>
        </w:tc>
        <w:tc>
          <w:tcPr>
            <w:tcW w:w="1560" w:type="dxa"/>
            <w:vAlign w:val="bottom"/>
          </w:tcPr>
          <w:p>
            <w:pPr>
              <w:jc w:val="right"/>
              <w:ind w:right="410"/>
              <w:spacing w:after="0"/>
              <w:rPr>
                <w:sz w:val="20"/>
                <w:szCs w:val="20"/>
                <w:color w:val="auto"/>
              </w:rPr>
            </w:pPr>
            <w:r>
              <w:rPr>
                <w:rFonts w:ascii="Arial" w:cs="Arial" w:eastAsia="Arial" w:hAnsi="Arial"/>
                <w:sz w:val="18"/>
                <w:szCs w:val="18"/>
                <w:color w:val="auto"/>
              </w:rPr>
              <w:t>1.4%</w:t>
            </w:r>
          </w:p>
        </w:tc>
      </w:tr>
      <w:tr>
        <w:trPr>
          <w:trHeight w:val="270"/>
        </w:trPr>
        <w:tc>
          <w:tcPr>
            <w:tcW w:w="460" w:type="dxa"/>
            <w:vAlign w:val="bottom"/>
          </w:tcPr>
          <w:p>
            <w:pPr>
              <w:jc w:val="right"/>
              <w:spacing w:after="0"/>
              <w:rPr>
                <w:sz w:val="20"/>
                <w:szCs w:val="20"/>
                <w:color w:val="auto"/>
              </w:rPr>
            </w:pPr>
            <w:r>
              <w:rPr>
                <w:rFonts w:ascii="Arial" w:cs="Arial" w:eastAsia="Arial" w:hAnsi="Arial"/>
                <w:sz w:val="18"/>
                <w:szCs w:val="18"/>
                <w:color w:val="auto"/>
                <w:w w:val="99"/>
              </w:rPr>
              <w:t>2024</w:t>
            </w:r>
          </w:p>
        </w:tc>
        <w:tc>
          <w:tcPr>
            <w:tcW w:w="2920" w:type="dxa"/>
            <w:vAlign w:val="bottom"/>
          </w:tcPr>
          <w:p>
            <w:pPr>
              <w:ind w:left="20"/>
              <w:spacing w:after="0"/>
              <w:rPr>
                <w:sz w:val="20"/>
                <w:szCs w:val="20"/>
                <w:color w:val="auto"/>
              </w:rPr>
            </w:pPr>
            <w:r>
              <w:rPr>
                <w:rFonts w:ascii="Arial" w:cs="Arial" w:eastAsia="Arial" w:hAnsi="Arial"/>
                <w:sz w:val="18"/>
                <w:szCs w:val="18"/>
                <w:color w:val="auto"/>
              </w:rPr>
              <w:t>PSUs (First Tranche)</w:t>
            </w:r>
          </w:p>
        </w:tc>
        <w:tc>
          <w:tcPr>
            <w:tcW w:w="1400" w:type="dxa"/>
            <w:vAlign w:val="bottom"/>
          </w:tcPr>
          <w:p>
            <w:pPr>
              <w:ind w:left="980"/>
              <w:spacing w:after="0"/>
              <w:rPr>
                <w:sz w:val="20"/>
                <w:szCs w:val="20"/>
                <w:color w:val="auto"/>
              </w:rPr>
            </w:pPr>
            <w:r>
              <w:rPr>
                <w:rFonts w:ascii="Arial" w:cs="Arial" w:eastAsia="Arial" w:hAnsi="Arial"/>
                <w:sz w:val="18"/>
                <w:szCs w:val="18"/>
                <w:color w:val="auto"/>
                <w:w w:val="99"/>
              </w:rPr>
              <w:t>2024</w:t>
            </w:r>
          </w:p>
        </w:tc>
        <w:tc>
          <w:tcPr>
            <w:tcW w:w="2000" w:type="dxa"/>
            <w:vAlign w:val="bottom"/>
          </w:tcPr>
          <w:p>
            <w:pPr>
              <w:ind w:left="20"/>
              <w:spacing w:after="0"/>
              <w:rPr>
                <w:sz w:val="20"/>
                <w:szCs w:val="20"/>
                <w:color w:val="auto"/>
              </w:rPr>
            </w:pPr>
            <w:r>
              <w:rPr>
                <w:rFonts w:ascii="Arial" w:cs="Arial" w:eastAsia="Arial" w:hAnsi="Arial"/>
                <w:sz w:val="18"/>
                <w:szCs w:val="18"/>
                <w:color w:val="auto"/>
              </w:rPr>
              <w:t>Actual</w:t>
            </w:r>
          </w:p>
        </w:tc>
        <w:tc>
          <w:tcPr>
            <w:tcW w:w="2900" w:type="dxa"/>
            <w:vAlign w:val="bottom"/>
          </w:tcPr>
          <w:p>
            <w:pPr>
              <w:jc w:val="center"/>
              <w:ind w:left="350"/>
              <w:spacing w:after="0"/>
              <w:rPr>
                <w:sz w:val="20"/>
                <w:szCs w:val="20"/>
                <w:color w:val="auto"/>
              </w:rPr>
            </w:pPr>
            <w:r>
              <w:rPr>
                <w:rFonts w:ascii="Arial" w:cs="Arial" w:eastAsia="Arial" w:hAnsi="Arial"/>
                <w:sz w:val="18"/>
                <w:szCs w:val="18"/>
                <w:color w:val="auto"/>
                <w:w w:val="97"/>
              </w:rPr>
              <w:t>26.4%</w:t>
            </w:r>
          </w:p>
        </w:tc>
        <w:tc>
          <w:tcPr>
            <w:tcW w:w="1560" w:type="dxa"/>
            <w:vAlign w:val="bottom"/>
          </w:tcPr>
          <w:p>
            <w:pPr>
              <w:jc w:val="right"/>
              <w:ind w:right="410"/>
              <w:spacing w:after="0"/>
              <w:rPr>
                <w:sz w:val="20"/>
                <w:szCs w:val="20"/>
                <w:color w:val="auto"/>
              </w:rPr>
            </w:pPr>
            <w:r>
              <w:rPr>
                <w:rFonts w:ascii="Arial" w:cs="Arial" w:eastAsia="Arial" w:hAnsi="Arial"/>
                <w:sz w:val="18"/>
                <w:szCs w:val="18"/>
                <w:color w:val="auto"/>
              </w:rPr>
              <w:t>6.9%</w:t>
            </w:r>
          </w:p>
        </w:tc>
      </w:tr>
    </w:tbl>
    <w:p>
      <w:pPr>
        <w:spacing w:after="0" w:line="207" w:lineRule="exact"/>
        <w:rPr>
          <w:sz w:val="20"/>
          <w:szCs w:val="20"/>
          <w:color w:val="auto"/>
        </w:rPr>
      </w:pPr>
    </w:p>
    <w:p>
      <w:pPr>
        <w:ind w:right="120" w:firstLine="324"/>
        <w:spacing w:after="0" w:line="262" w:lineRule="auto"/>
        <w:rPr>
          <w:sz w:val="20"/>
          <w:szCs w:val="20"/>
          <w:color w:val="auto"/>
        </w:rPr>
      </w:pPr>
      <w:r>
        <w:rPr>
          <w:rFonts w:ascii="Arial" w:cs="Arial" w:eastAsia="Arial" w:hAnsi="Arial"/>
          <w:sz w:val="18"/>
          <w:szCs w:val="18"/>
          <w:color w:val="auto"/>
        </w:rPr>
        <w:t>In January 2025, the Compensation Committee certified the fiscal 2024 adjusted EBITDA margin of 30% and organic revenue growth of 3% (each of which was adjusted to remove the impact of 2022 and 2023 acquisition activity as shown in Annex A). The 2024 financials resulted in a payout at 75% of target under the third annual tranche of the 2022 PSUs, a payout at 75% of target under the second annual tranche of the 2023 PSUs, and a payout at 121.67% of target under the first annual tranche of the 2024 PSUs.</w:t>
      </w:r>
    </w:p>
    <w:p>
      <w:pPr>
        <w:spacing w:after="0" w:line="68" w:lineRule="exact"/>
        <w:rPr>
          <w:sz w:val="20"/>
          <w:szCs w:val="20"/>
          <w:color w:val="auto"/>
        </w:rPr>
      </w:pPr>
    </w:p>
    <w:p>
      <w:pPr>
        <w:ind w:right="120" w:firstLine="324"/>
        <w:spacing w:after="0" w:line="262" w:lineRule="auto"/>
        <w:rPr>
          <w:sz w:val="20"/>
          <w:szCs w:val="20"/>
          <w:color w:val="auto"/>
        </w:rPr>
      </w:pPr>
      <w:r>
        <w:rPr>
          <w:rFonts w:ascii="Arial" w:cs="Arial" w:eastAsia="Arial" w:hAnsi="Arial"/>
          <w:sz w:val="18"/>
          <w:szCs w:val="18"/>
          <w:color w:val="auto"/>
        </w:rPr>
        <w:t>With respect to Mr. Hennessy, he was previously awarded 262,789 PSUs ($15 million value) in fiscal 2022 pursuant to the terms of his employment agreement. The performance targets for Mr. Hennessy’s award in fiscal 2022 were set at the start of each annual period (2022, 2023 and 2024, respectively) in accordance with the targets set forth above, and all three tranches are scheduled to vest in full at the end of the three-year period on July 1, 2025.</w:t>
      </w:r>
    </w:p>
    <w:p>
      <w:pPr>
        <w:spacing w:after="0" w:line="68"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During 2024 the Compensation Committee also determined to award Mr. Hennessy additional PSUs ($6.375 million value) pursuant to the terms of his employment agreement in order to incentivize Mr. Hennessy’s continued service and performance for the Company and to promote his retention for an additional period of service through July 1, 2026, following the July 1, 2025 vesting date of his other outstanding equity awards. Mr. Hennessy’s additional PSU award was designed to recognize his significant contributions to the Company and the importance of his continued service for the Company, while aligning his pay with Company performance and stockholder value. Pursuant to the Merger Agreement, which requires the Company to award RSUs in lieu of PSUs on going forward basis, the Compensation Committee determined in fiscal 2025 to grant Mr. Hennessy RSUs vesting in full on July 1, 2026, in lieu of granting and setting the performance targets for such additional PSUs.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 of 2024 Long-Term Incentive Grants to NEOs</w:t>
      </w:r>
    </w:p>
    <w:p>
      <w:pPr>
        <w:spacing w:after="0" w:line="115" w:lineRule="exact"/>
        <w:rPr>
          <w:sz w:val="20"/>
          <w:szCs w:val="20"/>
          <w:color w:val="auto"/>
        </w:rPr>
      </w:pPr>
    </w:p>
    <w:p>
      <w:pPr>
        <w:ind w:right="40" w:firstLine="324"/>
        <w:spacing w:after="0" w:line="256" w:lineRule="auto"/>
        <w:rPr>
          <w:sz w:val="20"/>
          <w:szCs w:val="20"/>
          <w:color w:val="auto"/>
        </w:rPr>
      </w:pPr>
      <w:r>
        <w:rPr>
          <w:rFonts w:ascii="Arial" w:cs="Arial" w:eastAsia="Arial" w:hAnsi="Arial"/>
          <w:sz w:val="18"/>
          <w:szCs w:val="18"/>
          <w:color w:val="auto"/>
        </w:rPr>
        <w:t>We believe that equity awards align the interests of our named executive officers with the long-term interests of our stockholders and provide incentives to our named executive officers to enhance stockholder value and to attract and retain our executives. The table below summarizes the long-term incentive grants made to our NEOs in 2024. As noted above, all of the 2024 RSU grants and the 2024 PSU grants to Mr. Yahes were forfeited in connection with his resignation. In addition, for Mr. Caine, two-thirds of his 2024 RSU grants were forfeited (while one-third of his 2024 RSU grants accelerated and vested as of September 11, 2024), and the portion of the 2024 PSU grants earned based on future performance (beyond fiscal 2024) were forfeited (while a pro rata portion of the PSUs earned based on 2024 performance vested as of April 1, 2025).</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40" w:type="dxa"/>
            <w:vAlign w:val="bottom"/>
          </w:tcPr>
          <w:p>
            <w:pPr>
              <w:spacing w:after="0"/>
              <w:rPr>
                <w:sz w:val="19"/>
                <w:szCs w:val="19"/>
                <w:color w:val="auto"/>
              </w:rPr>
            </w:pP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99"/>
              </w:rPr>
              <w:t>2024 RSU Grants</w:t>
            </w:r>
          </w:p>
        </w:tc>
        <w:tc>
          <w:tcPr>
            <w:tcW w:w="3340" w:type="dxa"/>
            <w:vAlign w:val="bottom"/>
          </w:tcPr>
          <w:p>
            <w:pPr>
              <w:spacing w:after="0"/>
              <w:rPr>
                <w:sz w:val="19"/>
                <w:szCs w:val="19"/>
                <w:color w:val="auto"/>
              </w:rPr>
            </w:pPr>
          </w:p>
        </w:tc>
        <w:tc>
          <w:tcPr>
            <w:tcW w:w="1640" w:type="dxa"/>
            <w:vAlign w:val="bottom"/>
          </w:tcPr>
          <w:p>
            <w:pPr>
              <w:jc w:val="center"/>
              <w:spacing w:after="0"/>
              <w:rPr>
                <w:sz w:val="20"/>
                <w:szCs w:val="20"/>
                <w:color w:val="auto"/>
              </w:rPr>
            </w:pPr>
            <w:r>
              <w:rPr>
                <w:rFonts w:ascii="Arial" w:cs="Arial" w:eastAsia="Arial" w:hAnsi="Arial"/>
                <w:sz w:val="18"/>
                <w:szCs w:val="18"/>
                <w:b w:val="1"/>
                <w:bCs w:val="1"/>
                <w:color w:val="auto"/>
              </w:rPr>
              <w:t>2024 PSU Grants</w:t>
            </w:r>
          </w:p>
        </w:tc>
        <w:tc>
          <w:tcPr>
            <w:tcW w:w="2420" w:type="dxa"/>
            <w:vAlign w:val="bottom"/>
          </w:tcPr>
          <w:p>
            <w:pPr>
              <w:jc w:val="center"/>
              <w:spacing w:after="0"/>
              <w:rPr>
                <w:sz w:val="20"/>
                <w:szCs w:val="20"/>
                <w:color w:val="auto"/>
              </w:rPr>
            </w:pPr>
            <w:r>
              <w:rPr>
                <w:rFonts w:ascii="Arial" w:cs="Arial" w:eastAsia="Arial" w:hAnsi="Arial"/>
                <w:sz w:val="18"/>
                <w:szCs w:val="18"/>
                <w:b w:val="1"/>
                <w:bCs w:val="1"/>
                <w:color w:val="auto"/>
                <w:w w:val="99"/>
              </w:rPr>
              <w:t>2024 PSU</w:t>
            </w:r>
          </w:p>
        </w:tc>
      </w:tr>
      <w:tr>
        <w:trPr>
          <w:trHeight w:val="255"/>
        </w:trPr>
        <w:tc>
          <w:tcPr>
            <w:tcW w:w="22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Named Executive Officer</w:t>
            </w: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 Value)</w:t>
            </w:r>
          </w:p>
        </w:tc>
        <w:tc>
          <w:tcPr>
            <w:tcW w:w="334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2024 RSU Grants (Number of Shares)</w:t>
            </w: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(Target $ Value)</w:t>
            </w:r>
          </w:p>
        </w:tc>
        <w:tc>
          <w:tcPr>
            <w:tcW w:w="2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(Target Number of Shares)</w:t>
            </w:r>
          </w:p>
        </w:tc>
      </w:tr>
      <w:tr>
        <w:trPr>
          <w:trHeight w:val="247"/>
        </w:trPr>
        <w:tc>
          <w:tcPr>
            <w:tcW w:w="2240" w:type="dxa"/>
            <w:vAlign w:val="bottom"/>
          </w:tcPr>
          <w:p>
            <w:pPr>
              <w:ind w:left="20"/>
              <w:spacing w:after="0"/>
              <w:rPr>
                <w:sz w:val="20"/>
                <w:szCs w:val="20"/>
                <w:color w:val="auto"/>
              </w:rPr>
            </w:pPr>
            <w:r>
              <w:rPr>
                <w:rFonts w:ascii="Arial" w:cs="Arial" w:eastAsia="Arial" w:hAnsi="Arial"/>
                <w:sz w:val="18"/>
                <w:szCs w:val="18"/>
                <w:color w:val="auto"/>
              </w:rPr>
              <w:t>Jon Oringer</w:t>
            </w:r>
          </w:p>
        </w:tc>
        <w:tc>
          <w:tcPr>
            <w:tcW w:w="16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33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640" w:type="dxa"/>
            <w:vAlign w:val="bottom"/>
          </w:tcPr>
          <w:p>
            <w:pPr>
              <w:jc w:val="center"/>
              <w:spacing w:after="0"/>
              <w:rPr>
                <w:sz w:val="20"/>
                <w:szCs w:val="20"/>
                <w:color w:val="auto"/>
              </w:rPr>
            </w:pPr>
            <w:r>
              <w:rPr>
                <w:rFonts w:ascii="Arial" w:cs="Arial" w:eastAsia="Arial" w:hAnsi="Arial"/>
                <w:sz w:val="18"/>
                <w:szCs w:val="18"/>
                <w:color w:val="auto"/>
                <w:w w:val="99"/>
              </w:rPr>
              <w:t>5,225,000</w:t>
            </w:r>
          </w:p>
        </w:tc>
        <w:tc>
          <w:tcPr>
            <w:tcW w:w="2420" w:type="dxa"/>
            <w:vAlign w:val="bottom"/>
          </w:tcPr>
          <w:p>
            <w:pPr>
              <w:jc w:val="center"/>
              <w:spacing w:after="0"/>
              <w:rPr>
                <w:sz w:val="20"/>
                <w:szCs w:val="20"/>
                <w:color w:val="auto"/>
              </w:rPr>
            </w:pPr>
            <w:r>
              <w:rPr>
                <w:rFonts w:ascii="Arial" w:cs="Arial" w:eastAsia="Arial" w:hAnsi="Arial"/>
                <w:sz w:val="18"/>
                <w:szCs w:val="18"/>
                <w:color w:val="auto"/>
              </w:rPr>
              <w:t>109,218</w:t>
            </w:r>
          </w:p>
        </w:tc>
      </w:tr>
      <w:tr>
        <w:trPr>
          <w:trHeight w:val="270"/>
        </w:trPr>
        <w:tc>
          <w:tcPr>
            <w:tcW w:w="2240" w:type="dxa"/>
            <w:vAlign w:val="bottom"/>
          </w:tcPr>
          <w:p>
            <w:pPr>
              <w:ind w:left="20"/>
              <w:spacing w:after="0"/>
              <w:rPr>
                <w:sz w:val="20"/>
                <w:szCs w:val="20"/>
                <w:color w:val="auto"/>
              </w:rPr>
            </w:pPr>
            <w:r>
              <w:rPr>
                <w:rFonts w:ascii="Arial" w:cs="Arial" w:eastAsia="Arial" w:hAnsi="Arial"/>
                <w:sz w:val="18"/>
                <w:szCs w:val="18"/>
                <w:color w:val="auto"/>
              </w:rPr>
              <w:t>Paul Hennessy</w:t>
            </w:r>
          </w:p>
        </w:tc>
        <w:tc>
          <w:tcPr>
            <w:tcW w:w="1600" w:type="dxa"/>
            <w:vAlign w:val="bottom"/>
          </w:tcPr>
          <w:p>
            <w:pPr>
              <w:jc w:val="center"/>
              <w:spacing w:after="0"/>
              <w:rPr>
                <w:sz w:val="20"/>
                <w:szCs w:val="20"/>
                <w:color w:val="auto"/>
              </w:rPr>
            </w:pPr>
            <w:r>
              <w:rPr>
                <w:rFonts w:ascii="Arial" w:cs="Arial" w:eastAsia="Arial" w:hAnsi="Arial"/>
                <w:sz w:val="18"/>
                <w:szCs w:val="18"/>
                <w:color w:val="auto"/>
                <w:w w:val="99"/>
              </w:rPr>
              <w:t>2,125,000</w:t>
            </w:r>
          </w:p>
        </w:tc>
        <w:tc>
          <w:tcPr>
            <w:tcW w:w="3340" w:type="dxa"/>
            <w:vAlign w:val="bottom"/>
          </w:tcPr>
          <w:p>
            <w:pPr>
              <w:jc w:val="center"/>
              <w:spacing w:after="0"/>
              <w:rPr>
                <w:sz w:val="20"/>
                <w:szCs w:val="20"/>
                <w:color w:val="auto"/>
              </w:rPr>
            </w:pPr>
            <w:r>
              <w:rPr>
                <w:rFonts w:ascii="Arial" w:cs="Arial" w:eastAsia="Arial" w:hAnsi="Arial"/>
                <w:sz w:val="18"/>
                <w:szCs w:val="18"/>
                <w:color w:val="auto"/>
                <w:w w:val="98"/>
              </w:rPr>
              <w:t>54,181</w:t>
            </w:r>
          </w:p>
        </w:tc>
        <w:tc>
          <w:tcPr>
            <w:tcW w:w="16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42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70"/>
        </w:trPr>
        <w:tc>
          <w:tcPr>
            <w:tcW w:w="2240" w:type="dxa"/>
            <w:vAlign w:val="bottom"/>
          </w:tcPr>
          <w:p>
            <w:pPr>
              <w:ind w:left="20"/>
              <w:spacing w:after="0"/>
              <w:rPr>
                <w:sz w:val="20"/>
                <w:szCs w:val="20"/>
                <w:color w:val="auto"/>
              </w:rPr>
            </w:pPr>
            <w:r>
              <w:rPr>
                <w:rFonts w:ascii="Arial" w:cs="Arial" w:eastAsia="Arial" w:hAnsi="Arial"/>
                <w:sz w:val="18"/>
                <w:szCs w:val="18"/>
                <w:color w:val="auto"/>
              </w:rPr>
              <w:t>Rik Powell</w:t>
            </w:r>
          </w:p>
        </w:tc>
        <w:tc>
          <w:tcPr>
            <w:tcW w:w="1600" w:type="dxa"/>
            <w:vAlign w:val="bottom"/>
          </w:tcPr>
          <w:p>
            <w:pPr>
              <w:jc w:val="center"/>
              <w:spacing w:after="0"/>
              <w:rPr>
                <w:sz w:val="20"/>
                <w:szCs w:val="20"/>
                <w:color w:val="auto"/>
              </w:rPr>
            </w:pPr>
            <w:r>
              <w:rPr>
                <w:rFonts w:ascii="Arial" w:cs="Arial" w:eastAsia="Arial" w:hAnsi="Arial"/>
                <w:sz w:val="18"/>
                <w:szCs w:val="18"/>
                <w:color w:val="auto"/>
                <w:w w:val="98"/>
              </w:rPr>
              <w:t>700,000</w:t>
            </w:r>
          </w:p>
        </w:tc>
        <w:tc>
          <w:tcPr>
            <w:tcW w:w="3340" w:type="dxa"/>
            <w:vAlign w:val="bottom"/>
          </w:tcPr>
          <w:p>
            <w:pPr>
              <w:jc w:val="center"/>
              <w:spacing w:after="0"/>
              <w:rPr>
                <w:sz w:val="20"/>
                <w:szCs w:val="20"/>
                <w:color w:val="auto"/>
              </w:rPr>
            </w:pPr>
            <w:r>
              <w:rPr>
                <w:rFonts w:ascii="Arial" w:cs="Arial" w:eastAsia="Arial" w:hAnsi="Arial"/>
                <w:sz w:val="18"/>
                <w:szCs w:val="18"/>
                <w:color w:val="auto"/>
                <w:w w:val="98"/>
              </w:rPr>
              <w:t>19,830</w:t>
            </w:r>
          </w:p>
        </w:tc>
        <w:tc>
          <w:tcPr>
            <w:tcW w:w="16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42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99"/>
        </w:trPr>
        <w:tc>
          <w:tcPr>
            <w:tcW w:w="2240" w:type="dxa"/>
            <w:vAlign w:val="bottom"/>
          </w:tcPr>
          <w:p>
            <w:pPr>
              <w:ind w:left="20"/>
              <w:spacing w:after="0"/>
              <w:rPr>
                <w:sz w:val="20"/>
                <w:szCs w:val="20"/>
                <w:color w:val="auto"/>
              </w:rPr>
            </w:pPr>
            <w:r>
              <w:rPr>
                <w:rFonts w:ascii="Arial" w:cs="Arial" w:eastAsia="Arial" w:hAnsi="Arial"/>
                <w:sz w:val="18"/>
                <w:szCs w:val="18"/>
                <w:color w:val="auto"/>
              </w:rPr>
              <w:t>Jarrod Yahes</w:t>
            </w:r>
          </w:p>
        </w:tc>
        <w:tc>
          <w:tcPr>
            <w:tcW w:w="1600" w:type="dxa"/>
            <w:vAlign w:val="bottom"/>
          </w:tcPr>
          <w:p>
            <w:pPr>
              <w:jc w:val="center"/>
              <w:spacing w:after="0"/>
              <w:rPr>
                <w:sz w:val="20"/>
                <w:szCs w:val="20"/>
                <w:color w:val="auto"/>
              </w:rPr>
            </w:pPr>
            <w:r>
              <w:rPr>
                <w:rFonts w:ascii="Arial" w:cs="Arial" w:eastAsia="Arial" w:hAnsi="Arial"/>
                <w:sz w:val="18"/>
                <w:szCs w:val="18"/>
                <w:color w:val="auto"/>
                <w:w w:val="95"/>
              </w:rPr>
              <w:t>775,000</w:t>
            </w:r>
            <w:r>
              <w:rPr>
                <w:rFonts w:ascii="Arial" w:cs="Arial" w:eastAsia="Arial" w:hAnsi="Arial"/>
                <w:sz w:val="23"/>
                <w:szCs w:val="23"/>
                <w:color w:val="auto"/>
                <w:w w:val="95"/>
                <w:vertAlign w:val="superscript"/>
              </w:rPr>
              <w:t>(1)</w:t>
            </w:r>
          </w:p>
        </w:tc>
        <w:tc>
          <w:tcPr>
            <w:tcW w:w="3340" w:type="dxa"/>
            <w:vAlign w:val="bottom"/>
          </w:tcPr>
          <w:p>
            <w:pPr>
              <w:jc w:val="center"/>
              <w:spacing w:after="0"/>
              <w:rPr>
                <w:sz w:val="20"/>
                <w:szCs w:val="20"/>
                <w:color w:val="auto"/>
              </w:rPr>
            </w:pPr>
            <w:r>
              <w:rPr>
                <w:rFonts w:ascii="Arial" w:cs="Arial" w:eastAsia="Arial" w:hAnsi="Arial"/>
                <w:sz w:val="18"/>
                <w:szCs w:val="18"/>
                <w:color w:val="auto"/>
                <w:w w:val="94"/>
              </w:rPr>
              <w:t>16,199</w:t>
            </w:r>
            <w:r>
              <w:rPr>
                <w:rFonts w:ascii="Arial" w:cs="Arial" w:eastAsia="Arial" w:hAnsi="Arial"/>
                <w:sz w:val="23"/>
                <w:szCs w:val="23"/>
                <w:color w:val="auto"/>
                <w:w w:val="94"/>
                <w:vertAlign w:val="superscript"/>
              </w:rPr>
              <w:t>(1)</w:t>
            </w:r>
          </w:p>
        </w:tc>
        <w:tc>
          <w:tcPr>
            <w:tcW w:w="1640" w:type="dxa"/>
            <w:vAlign w:val="bottom"/>
          </w:tcPr>
          <w:p>
            <w:pPr>
              <w:jc w:val="center"/>
              <w:spacing w:after="0"/>
              <w:rPr>
                <w:sz w:val="20"/>
                <w:szCs w:val="20"/>
                <w:color w:val="auto"/>
              </w:rPr>
            </w:pPr>
            <w:r>
              <w:rPr>
                <w:rFonts w:ascii="Arial" w:cs="Arial" w:eastAsia="Arial" w:hAnsi="Arial"/>
                <w:sz w:val="18"/>
                <w:szCs w:val="18"/>
                <w:color w:val="auto"/>
                <w:w w:val="95"/>
              </w:rPr>
              <w:t>2,325,000</w:t>
            </w:r>
            <w:r>
              <w:rPr>
                <w:rFonts w:ascii="Arial" w:cs="Arial" w:eastAsia="Arial" w:hAnsi="Arial"/>
                <w:sz w:val="23"/>
                <w:szCs w:val="23"/>
                <w:color w:val="auto"/>
                <w:w w:val="95"/>
                <w:vertAlign w:val="superscript"/>
              </w:rPr>
              <w:t>(1)</w:t>
            </w:r>
          </w:p>
        </w:tc>
        <w:tc>
          <w:tcPr>
            <w:tcW w:w="2420" w:type="dxa"/>
            <w:vAlign w:val="bottom"/>
          </w:tcPr>
          <w:p>
            <w:pPr>
              <w:jc w:val="center"/>
              <w:spacing w:after="0"/>
              <w:rPr>
                <w:sz w:val="20"/>
                <w:szCs w:val="20"/>
                <w:color w:val="auto"/>
              </w:rPr>
            </w:pPr>
            <w:r>
              <w:rPr>
                <w:rFonts w:ascii="Arial" w:cs="Arial" w:eastAsia="Arial" w:hAnsi="Arial"/>
                <w:sz w:val="18"/>
                <w:szCs w:val="18"/>
                <w:color w:val="auto"/>
                <w:w w:val="94"/>
              </w:rPr>
              <w:t>48,599</w:t>
            </w:r>
            <w:r>
              <w:rPr>
                <w:rFonts w:ascii="Arial" w:cs="Arial" w:eastAsia="Arial" w:hAnsi="Arial"/>
                <w:sz w:val="23"/>
                <w:szCs w:val="23"/>
                <w:color w:val="auto"/>
                <w:w w:val="94"/>
                <w:vertAlign w:val="superscript"/>
              </w:rPr>
              <w:t>(1)</w:t>
            </w:r>
          </w:p>
        </w:tc>
      </w:tr>
      <w:tr>
        <w:trPr>
          <w:trHeight w:val="311"/>
        </w:trPr>
        <w:tc>
          <w:tcPr>
            <w:tcW w:w="2240" w:type="dxa"/>
            <w:vAlign w:val="bottom"/>
          </w:tcPr>
          <w:p>
            <w:pPr>
              <w:ind w:left="20"/>
              <w:spacing w:after="0"/>
              <w:rPr>
                <w:sz w:val="20"/>
                <w:szCs w:val="20"/>
                <w:color w:val="auto"/>
              </w:rPr>
            </w:pPr>
            <w:r>
              <w:rPr>
                <w:rFonts w:ascii="Arial" w:cs="Arial" w:eastAsia="Arial" w:hAnsi="Arial"/>
                <w:sz w:val="18"/>
                <w:szCs w:val="18"/>
                <w:color w:val="auto"/>
              </w:rPr>
              <w:t>John Caine</w:t>
            </w:r>
          </w:p>
        </w:tc>
        <w:tc>
          <w:tcPr>
            <w:tcW w:w="1600" w:type="dxa"/>
            <w:vAlign w:val="bottom"/>
          </w:tcPr>
          <w:p>
            <w:pPr>
              <w:jc w:val="center"/>
              <w:spacing w:after="0"/>
              <w:rPr>
                <w:sz w:val="20"/>
                <w:szCs w:val="20"/>
                <w:color w:val="auto"/>
              </w:rPr>
            </w:pPr>
            <w:r>
              <w:rPr>
                <w:rFonts w:ascii="Arial" w:cs="Arial" w:eastAsia="Arial" w:hAnsi="Arial"/>
                <w:sz w:val="18"/>
                <w:szCs w:val="18"/>
                <w:color w:val="auto"/>
                <w:w w:val="95"/>
              </w:rPr>
              <w:t>237,500</w:t>
            </w:r>
            <w:r>
              <w:rPr>
                <w:rFonts w:ascii="Arial" w:cs="Arial" w:eastAsia="Arial" w:hAnsi="Arial"/>
                <w:sz w:val="23"/>
                <w:szCs w:val="23"/>
                <w:color w:val="auto"/>
                <w:w w:val="95"/>
                <w:vertAlign w:val="superscript"/>
              </w:rPr>
              <w:t>(2)</w:t>
            </w:r>
          </w:p>
        </w:tc>
        <w:tc>
          <w:tcPr>
            <w:tcW w:w="3340" w:type="dxa"/>
            <w:vAlign w:val="bottom"/>
          </w:tcPr>
          <w:p>
            <w:pPr>
              <w:jc w:val="center"/>
              <w:spacing w:after="0"/>
              <w:rPr>
                <w:sz w:val="20"/>
                <w:szCs w:val="20"/>
                <w:color w:val="auto"/>
              </w:rPr>
            </w:pPr>
            <w:r>
              <w:rPr>
                <w:rFonts w:ascii="Arial" w:cs="Arial" w:eastAsia="Arial" w:hAnsi="Arial"/>
                <w:sz w:val="18"/>
                <w:szCs w:val="18"/>
                <w:color w:val="auto"/>
                <w:w w:val="90"/>
              </w:rPr>
              <w:t>4,964</w:t>
            </w:r>
            <w:r>
              <w:rPr>
                <w:rFonts w:ascii="Arial" w:cs="Arial" w:eastAsia="Arial" w:hAnsi="Arial"/>
                <w:sz w:val="23"/>
                <w:szCs w:val="23"/>
                <w:color w:val="auto"/>
                <w:w w:val="90"/>
                <w:vertAlign w:val="superscript"/>
              </w:rPr>
              <w:t>(2)</w:t>
            </w:r>
          </w:p>
        </w:tc>
        <w:tc>
          <w:tcPr>
            <w:tcW w:w="1640" w:type="dxa"/>
            <w:vAlign w:val="bottom"/>
          </w:tcPr>
          <w:p>
            <w:pPr>
              <w:jc w:val="center"/>
              <w:spacing w:after="0"/>
              <w:rPr>
                <w:sz w:val="20"/>
                <w:szCs w:val="20"/>
                <w:color w:val="auto"/>
              </w:rPr>
            </w:pPr>
            <w:r>
              <w:rPr>
                <w:rFonts w:ascii="Arial" w:cs="Arial" w:eastAsia="Arial" w:hAnsi="Arial"/>
                <w:sz w:val="18"/>
                <w:szCs w:val="18"/>
                <w:color w:val="auto"/>
                <w:w w:val="93"/>
              </w:rPr>
              <w:t>712,500</w:t>
            </w:r>
            <w:r>
              <w:rPr>
                <w:rFonts w:ascii="Arial" w:cs="Arial" w:eastAsia="Arial" w:hAnsi="Arial"/>
                <w:sz w:val="23"/>
                <w:szCs w:val="23"/>
                <w:color w:val="auto"/>
                <w:w w:val="93"/>
                <w:vertAlign w:val="superscript"/>
              </w:rPr>
              <w:t>(2)</w:t>
            </w:r>
          </w:p>
        </w:tc>
        <w:tc>
          <w:tcPr>
            <w:tcW w:w="2420" w:type="dxa"/>
            <w:vAlign w:val="bottom"/>
          </w:tcPr>
          <w:p>
            <w:pPr>
              <w:jc w:val="center"/>
              <w:spacing w:after="0"/>
              <w:rPr>
                <w:sz w:val="20"/>
                <w:szCs w:val="20"/>
                <w:color w:val="auto"/>
              </w:rPr>
            </w:pPr>
            <w:r>
              <w:rPr>
                <w:rFonts w:ascii="Arial" w:cs="Arial" w:eastAsia="Arial" w:hAnsi="Arial"/>
                <w:sz w:val="18"/>
                <w:szCs w:val="18"/>
                <w:color w:val="auto"/>
                <w:w w:val="94"/>
              </w:rPr>
              <w:t>14,893</w:t>
            </w:r>
            <w:r>
              <w:rPr>
                <w:rFonts w:ascii="Arial" w:cs="Arial" w:eastAsia="Arial" w:hAnsi="Arial"/>
                <w:sz w:val="23"/>
                <w:szCs w:val="23"/>
                <w:color w:val="auto"/>
                <w:w w:val="94"/>
                <w:vertAlign w:val="superscript"/>
              </w:rPr>
              <w:t>(2)</w:t>
            </w:r>
          </w:p>
        </w:tc>
      </w:tr>
    </w:tbl>
    <w:p>
      <w:pPr>
        <w:spacing w:after="0" w:line="134" w:lineRule="exact"/>
        <w:rPr>
          <w:sz w:val="20"/>
          <w:szCs w:val="20"/>
          <w:color w:val="auto"/>
        </w:rPr>
      </w:pPr>
    </w:p>
    <w:p>
      <w:pPr>
        <w:ind w:left="220" w:hanging="212"/>
        <w:spacing w:after="0"/>
        <w:tabs>
          <w:tab w:leader="none" w:pos="2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Forfeited in connection with his resignation.</w:t>
      </w:r>
    </w:p>
    <w:p>
      <w:pPr>
        <w:spacing w:after="0" w:line="68" w:lineRule="exact"/>
        <w:rPr>
          <w:rFonts w:ascii="Arial" w:cs="Arial" w:eastAsia="Arial" w:hAnsi="Arial"/>
          <w:sz w:val="14"/>
          <w:szCs w:val="14"/>
          <w:color w:val="auto"/>
        </w:rPr>
      </w:pPr>
    </w:p>
    <w:p>
      <w:pPr>
        <w:ind w:left="220" w:hanging="212"/>
        <w:spacing w:after="0"/>
        <w:tabs>
          <w:tab w:leader="none" w:pos="2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All such awards were forfeited, except for one-third of his 2024 RSUs which accelerated and vested as of September 11, 2024.</w:t>
      </w:r>
    </w:p>
    <w:p>
      <w:pPr>
        <w:spacing w:after="0" w:line="113" w:lineRule="exact"/>
        <w:rPr>
          <w:sz w:val="20"/>
          <w:szCs w:val="20"/>
          <w:color w:val="auto"/>
        </w:rPr>
      </w:pPr>
    </w:p>
    <w:p>
      <w:pPr>
        <w:ind w:right="480" w:firstLine="324"/>
        <w:spacing w:after="0" w:line="287" w:lineRule="auto"/>
        <w:rPr>
          <w:sz w:val="20"/>
          <w:szCs w:val="20"/>
          <w:color w:val="auto"/>
        </w:rPr>
      </w:pPr>
      <w:r>
        <w:rPr>
          <w:rFonts w:ascii="Arial" w:cs="Arial" w:eastAsia="Arial" w:hAnsi="Arial"/>
          <w:sz w:val="18"/>
          <w:szCs w:val="18"/>
          <w:color w:val="auto"/>
        </w:rPr>
        <w:t>For more information, see “Compensation, Discussion &amp; Analysis-Separation Agreements” and “Narrative Supplement to Summary Compensation Table-Employment Agreements and Compensatory Arrangements” below.</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240"/>
          </w:cols>
          <w:pgMar w:left="320" w:top="931"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Other Compensation</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Benefits</w:t>
      </w:r>
    </w:p>
    <w:p>
      <w:pPr>
        <w:spacing w:after="0" w:line="115"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Our named executive officers are eligible to participate in the same group insurance and employee benefit plans generally available to our other salaried employees in the United States. We provide employee benefits to all eligible employees in the United States, including our executive officers, which our Compensation Committee believes are reasonable and consistent with its overall compensation objective to better enable us to attract and retain employees. These benefits include medical, dental and vision insurance, a 401(k) plan with a corporate match of 50% of eligible payroll contributions including catch-up contributions, life and disability insurance, business travel insurance, flexible spending accounts, wellness reimbursements, learning and development opportunities and other plans and programs. Employee benefits and perquisites are reviewed from time to time to ensure that benefit levels remain competitive for the Company as a whole, including for our named executive officers.</w:t>
      </w:r>
    </w:p>
    <w:p>
      <w:pPr>
        <w:spacing w:after="0" w:line="81" w:lineRule="exact"/>
        <w:rPr>
          <w:sz w:val="20"/>
          <w:szCs w:val="20"/>
          <w:color w:val="auto"/>
        </w:rPr>
      </w:pPr>
    </w:p>
    <w:p>
      <w:pPr>
        <w:spacing w:after="0"/>
        <w:rPr>
          <w:sz w:val="20"/>
          <w:szCs w:val="20"/>
          <w:color w:val="auto"/>
        </w:rPr>
      </w:pPr>
      <w:r>
        <w:rPr>
          <w:rFonts w:ascii="Arial" w:cs="Arial" w:eastAsia="Arial" w:hAnsi="Arial"/>
          <w:sz w:val="22"/>
          <w:szCs w:val="22"/>
          <w:b w:val="1"/>
          <w:bCs w:val="1"/>
          <w:color w:val="EF3A35"/>
        </w:rPr>
        <w:t>Section 4 – Other Compensation Information</w:t>
      </w:r>
    </w:p>
    <w:p>
      <w:pPr>
        <w:spacing w:after="0" w:line="108" w:lineRule="exact"/>
        <w:rPr>
          <w:sz w:val="20"/>
          <w:szCs w:val="20"/>
          <w:color w:val="auto"/>
        </w:rPr>
      </w:pPr>
    </w:p>
    <w:p>
      <w:pPr>
        <w:ind w:right="820" w:firstLine="324"/>
        <w:spacing w:after="0" w:line="287" w:lineRule="auto"/>
        <w:rPr>
          <w:sz w:val="20"/>
          <w:szCs w:val="20"/>
          <w:color w:val="auto"/>
        </w:rPr>
      </w:pPr>
      <w:r>
        <w:rPr>
          <w:rFonts w:ascii="Arial" w:cs="Arial" w:eastAsia="Arial" w:hAnsi="Arial"/>
          <w:sz w:val="18"/>
          <w:szCs w:val="18"/>
          <w:color w:val="auto"/>
        </w:rPr>
        <w:t>The prior three sections of this CD&amp;A describe how we think about compensation and how that affects our pay practices. Other compensation related details that may be important to our investors are described below.</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Risk Assessment</w:t>
      </w:r>
    </w:p>
    <w:p>
      <w:pPr>
        <w:spacing w:after="0" w:line="117"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Our Compensation Committee assesses and considers potential risks when reviewing and approving our compensation policies and practices for our executive officers and our employees. We have designed our compensation programs, including our incentive compensation plans, with features to address potential risks while rewarding employees for achieving financial and strategic objectives through prudent business judgment and appropriate risk taking. Based upon its assessment, our Compensation Committee believes that any risks arising from our compensation programs do not create disproportionate incentives for employees, including our named executive officers, to take risks that could have a material adverse effect on us in the future.</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Separation Arrangements</w:t>
      </w:r>
    </w:p>
    <w:p>
      <w:pPr>
        <w:spacing w:after="0" w:line="117"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In line with our objective to retain our executive officers and incentivize them to continue to focus and remain dedicated to their responsibilities and to maximize stockholder value, we have entered into employment agreements with our executive officers that provide for certain severance payments in connection with certain termination events. Further, consistent with best practices, none of our NEOs are entitled to excise tax gross-up payments. For further information about separation agreements and other arrangements with our NEOs, these arrangements are described below under “Narrative Supplement to Summary Compensation Table-Employment Agreements and Compensatory Arrangements” and “Potential Payments Upon Termination or Change in Control.”</w:t>
      </w:r>
    </w:p>
    <w:p>
      <w:pPr>
        <w:spacing w:after="0" w:line="74" w:lineRule="exact"/>
        <w:rPr>
          <w:sz w:val="20"/>
          <w:szCs w:val="20"/>
          <w:color w:val="auto"/>
        </w:rPr>
      </w:pPr>
    </w:p>
    <w:p>
      <w:pPr>
        <w:ind w:right="80" w:firstLine="324"/>
        <w:spacing w:after="0" w:line="262" w:lineRule="auto"/>
        <w:rPr>
          <w:sz w:val="20"/>
          <w:szCs w:val="20"/>
          <w:color w:val="auto"/>
        </w:rPr>
      </w:pPr>
      <w:r>
        <w:rPr>
          <w:rFonts w:ascii="Arial" w:cs="Arial" w:eastAsia="Arial" w:hAnsi="Arial"/>
          <w:sz w:val="18"/>
          <w:szCs w:val="18"/>
          <w:color w:val="auto"/>
        </w:rPr>
        <w:t>We have also adopted a Severance Plan (the “Severance Plan”), that provides for certain cash payments in the event of an involuntary termination; however, to the extent the severance payments and benefits that are provided by the NEO’s employment agreement are more generous, as is currently the case under each NEO’s employment agreements, the NEO will not be eligible to receive any benefits under the Severance Plan.</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 Clawback Policy</w:t>
      </w:r>
    </w:p>
    <w:p>
      <w:pPr>
        <w:spacing w:after="0" w:line="117"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In October 2023, our Compensation Committee recommended, and our Board approved, a clawback policy (the “</w:t>
      </w:r>
      <w:r>
        <w:rPr>
          <w:rFonts w:ascii="Arial" w:cs="Arial" w:eastAsia="Arial" w:hAnsi="Arial"/>
          <w:sz w:val="18"/>
          <w:szCs w:val="18"/>
          <w:u w:val="single" w:color="auto"/>
          <w:color w:val="auto"/>
        </w:rPr>
        <w:t>Clawback Policy</w:t>
      </w:r>
      <w:r>
        <w:rPr>
          <w:rFonts w:ascii="Arial" w:cs="Arial" w:eastAsia="Arial" w:hAnsi="Arial"/>
          <w:sz w:val="18"/>
          <w:szCs w:val="18"/>
          <w:color w:val="auto"/>
        </w:rPr>
        <w:t>”) designed to comply with Section 10D of the Exchange Act as well as the listing standards of the NYSE. The Clawback Policy provides that, in the event the Company is required to prepare an accounting restatement, the Company will reasonably promptly recover any erroneously awarded incentive-based compensation that was received by an executive officer during the three completed fiscal years preceding the restatement, in accordance with the provisions of the policy and applicable law.</w:t>
      </w:r>
    </w:p>
    <w:p>
      <w:pPr>
        <w:spacing w:after="0" w:line="71" w:lineRule="exact"/>
        <w:rPr>
          <w:sz w:val="20"/>
          <w:szCs w:val="20"/>
          <w:color w:val="auto"/>
        </w:rPr>
      </w:pPr>
    </w:p>
    <w:p>
      <w:pPr>
        <w:jc w:val="both"/>
        <w:ind w:right="260" w:firstLine="324"/>
        <w:spacing w:after="0" w:line="318" w:lineRule="auto"/>
        <w:rPr>
          <w:sz w:val="20"/>
          <w:szCs w:val="20"/>
          <w:color w:val="auto"/>
        </w:rPr>
      </w:pPr>
      <w:r>
        <w:rPr>
          <w:rFonts w:ascii="Arial" w:cs="Arial" w:eastAsia="Arial" w:hAnsi="Arial"/>
          <w:sz w:val="17"/>
          <w:szCs w:val="17"/>
          <w:color w:val="auto"/>
        </w:rPr>
        <w:t>Additionally, our Amended and Restated 2022 Plan and Amended and Restated 2012 Plan and related award agreements provide for the recoupment of performance-based annual incentives and long-term incentives consistent with applicable law and the Clawback Policy.</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Grant Procedures</w:t>
      </w:r>
    </w:p>
    <w:p>
      <w:pPr>
        <w:spacing w:after="0" w:line="117"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The Company’s Compensation Committee approves equity awards for our NEOs on or before the date of grant, and it has been the Compensation Committee’s general practice to approve annual equity awards by the first of April each year. The number of equity awards is generally determined by dividing the value of the grant by the average of the Company’s closing price for a share of Common Stock on each trading day during the 30 trading days period ending on the date immediately prior to the grant date. The Company does not permit the timed disclosure of material non-public information for the purpose of affecting the value of executive compensation.</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240"/>
          </w:cols>
          <w:pgMar w:left="320" w:top="877" w:right="339" w:bottom="1440" w:gutter="0" w:footer="0" w:header="0"/>
        </w:sectPr>
      </w:pPr>
    </w:p>
    <w:bookmarkStart w:id="33" w:name="page34"/>
    <w:bookmarkEnd w:id="33"/>
    <w:p>
      <w:pPr>
        <w:ind w:left="340"/>
        <w:spacing w:after="0"/>
        <w:rPr>
          <w:sz w:val="20"/>
          <w:szCs w:val="20"/>
          <w:color w:val="auto"/>
        </w:rPr>
      </w:pPr>
      <w:r>
        <w:rPr>
          <w:rFonts w:ascii="Arial" w:cs="Arial" w:eastAsia="Arial" w:hAnsi="Arial"/>
          <w:sz w:val="18"/>
          <w:szCs w:val="18"/>
          <w:i w:val="1"/>
          <w:iCs w:val="1"/>
          <w:color w:val="auto"/>
        </w:rPr>
        <w:t>Policies and practices related to the grant of certain equity awards close in time to the release of material nonpublic information</w:t>
      </w:r>
    </w:p>
    <w:p>
      <w:pPr>
        <w:spacing w:after="0" w:line="115"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The Company does not have formal policies and practices on the timing of awards of options in relation to the disclosure of material nonpublic information by the Company. Equity award grants generally are made to executive officers on an annual basis according to a predetermined schedule. When determining the timing and terms of any such award, the Compensation Committee takes material nonpublic information in account and generally avoids granting any such awards close in time to the release of material nonpublic information. During fiscal 2024, the Company did not time the disclosure of material nonpublic information for the purpose of affecting the value of executive compensation.</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and Accounting Treatment of Compensation</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Executive Compensation</w:t>
      </w:r>
    </w:p>
    <w:p>
      <w:pPr>
        <w:spacing w:after="0" w:line="115" w:lineRule="exact"/>
        <w:rPr>
          <w:sz w:val="20"/>
          <w:szCs w:val="20"/>
          <w:color w:val="auto"/>
        </w:rPr>
      </w:pPr>
    </w:p>
    <w:p>
      <w:pPr>
        <w:ind w:right="20" w:firstLine="324"/>
        <w:spacing w:after="0" w:line="256" w:lineRule="auto"/>
        <w:rPr>
          <w:sz w:val="20"/>
          <w:szCs w:val="20"/>
          <w:color w:val="auto"/>
        </w:rPr>
      </w:pPr>
      <w:r>
        <w:rPr>
          <w:rFonts w:ascii="Arial" w:cs="Arial" w:eastAsia="Arial" w:hAnsi="Arial"/>
          <w:sz w:val="18"/>
          <w:szCs w:val="18"/>
          <w:color w:val="auto"/>
        </w:rPr>
        <w:t>We follow ASC Topic 718 for our stock-based awards. ASC Topic 718 requires companies to measure the compensation expense for all share-based payment awards made to employees and directors, including stock options and restricted stock unit awards, based on the grant date “fair value” of these awards. This calculation is performed for accounting purposes and reported in the compensation tables below, even though our named executive officers may never realize any value from their awards. ASC Topic 718 also requires companies to recognize the compensation cost of their stock-based compensation awards in their income statements over the period that a named executive officer is required to render service in exchange for the option or other award. Accounting rules also require us to record cash compensation as an expense over the period in which service is rendered to the Company.</w:t>
      </w:r>
    </w:p>
    <w:p>
      <w:pPr>
        <w:spacing w:after="0" w:line="78" w:lineRule="exact"/>
        <w:rPr>
          <w:sz w:val="20"/>
          <w:szCs w:val="20"/>
          <w:color w:val="auto"/>
        </w:rPr>
      </w:pPr>
    </w:p>
    <w:p>
      <w:pPr>
        <w:spacing w:after="0"/>
        <w:rPr>
          <w:sz w:val="20"/>
          <w:szCs w:val="20"/>
          <w:color w:val="auto"/>
        </w:rPr>
      </w:pPr>
      <w:r>
        <w:rPr>
          <w:rFonts w:ascii="Arial" w:cs="Arial" w:eastAsia="Arial" w:hAnsi="Arial"/>
          <w:sz w:val="22"/>
          <w:szCs w:val="22"/>
          <w:b w:val="1"/>
          <w:bCs w:val="1"/>
          <w:color w:val="EF3A35"/>
        </w:rPr>
        <w:t>Compensation Committee Report</w:t>
      </w:r>
    </w:p>
    <w:p>
      <w:pPr>
        <w:spacing w:after="0" w:line="108" w:lineRule="exact"/>
        <w:rPr>
          <w:sz w:val="20"/>
          <w:szCs w:val="20"/>
          <w:color w:val="auto"/>
        </w:rPr>
      </w:pPr>
    </w:p>
    <w:p>
      <w:pPr>
        <w:ind w:right="220" w:firstLine="324"/>
        <w:spacing w:after="0" w:line="268" w:lineRule="auto"/>
        <w:rPr>
          <w:sz w:val="20"/>
          <w:szCs w:val="20"/>
          <w:color w:val="auto"/>
        </w:rPr>
      </w:pPr>
      <w:r>
        <w:rPr>
          <w:rFonts w:ascii="Arial" w:cs="Arial" w:eastAsia="Arial" w:hAnsi="Arial"/>
          <w:sz w:val="18"/>
          <w:szCs w:val="18"/>
          <w:color w:val="auto"/>
        </w:rPr>
        <w:t>The Compensation Committee has reviewed and discussed the Compensation Discussion and Analysis with management and, based on its review and discussions with management, the Compensation Committee recommended to the Board that the Compensation Discussion and Analysis be included in this Proxy Statement.</w:t>
      </w:r>
    </w:p>
    <w:p>
      <w:pPr>
        <w:spacing w:after="0" w:line="63"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Members of the Compensation Committee</w:t>
      </w:r>
    </w:p>
    <w:p>
      <w:pPr>
        <w:spacing w:after="0" w:line="117"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 xml:space="preserve">Deirdre Bigley </w:t>
      </w:r>
      <w:r>
        <w:rPr>
          <w:rFonts w:ascii="Arial" w:cs="Arial" w:eastAsia="Arial" w:hAnsi="Arial"/>
          <w:sz w:val="18"/>
          <w:szCs w:val="18"/>
          <w:i w:val="1"/>
          <w:iCs w:val="1"/>
          <w:color w:val="auto"/>
        </w:rPr>
        <w:t>(Chairwoman)</w:t>
      </w:r>
    </w:p>
    <w:p>
      <w:pPr>
        <w:spacing w:after="0" w:line="27"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Rachna Bhasin</w:t>
      </w:r>
    </w:p>
    <w:p>
      <w:pPr>
        <w:spacing w:after="0" w:line="9"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Thomas R. Evans</w:t>
      </w:r>
    </w:p>
    <w:p>
      <w:pPr>
        <w:spacing w:after="0" w:line="99" w:lineRule="exact"/>
        <w:rPr>
          <w:sz w:val="20"/>
          <w:szCs w:val="20"/>
          <w:color w:val="auto"/>
        </w:rPr>
      </w:pPr>
    </w:p>
    <w:p>
      <w:pPr>
        <w:ind w:right="300" w:firstLine="324"/>
        <w:spacing w:after="0" w:line="268" w:lineRule="auto"/>
        <w:rPr>
          <w:sz w:val="20"/>
          <w:szCs w:val="20"/>
          <w:color w:val="auto"/>
        </w:rPr>
      </w:pPr>
      <w:r>
        <w:rPr>
          <w:rFonts w:ascii="Arial" w:cs="Arial" w:eastAsia="Arial" w:hAnsi="Arial"/>
          <w:sz w:val="18"/>
          <w:szCs w:val="18"/>
          <w:color w:val="auto"/>
        </w:rPr>
        <w:t>The Compensation Committee Report above does not constitute “soliciting material” and will not be deemed “filed” or incorporated by reference into any of our filings under the Securities Act of 1933, as amended (the “Securities Act”) or the Exchange Act that might incorporate our SEC filings by reference, in whole or in part, notwithstanding anything to the contrary set forth in those filings.</w:t>
      </w:r>
    </w:p>
    <w:p>
      <w:pPr>
        <w:spacing w:after="0" w:line="66" w:lineRule="exact"/>
        <w:rPr>
          <w:sz w:val="20"/>
          <w:szCs w:val="20"/>
          <w:color w:val="auto"/>
        </w:rPr>
      </w:pPr>
    </w:p>
    <w:p>
      <w:pPr>
        <w:spacing w:after="0"/>
        <w:rPr>
          <w:sz w:val="20"/>
          <w:szCs w:val="20"/>
          <w:color w:val="auto"/>
        </w:rPr>
      </w:pPr>
      <w:r>
        <w:rPr>
          <w:rFonts w:ascii="Arial" w:cs="Arial" w:eastAsia="Arial" w:hAnsi="Arial"/>
          <w:sz w:val="22"/>
          <w:szCs w:val="22"/>
          <w:b w:val="1"/>
          <w:bCs w:val="1"/>
          <w:color w:val="EF3A35"/>
        </w:rPr>
        <w:t>Summary Compensation Table</w:t>
      </w:r>
    </w:p>
    <w:p>
      <w:pPr>
        <w:spacing w:after="0" w:line="108" w:lineRule="exact"/>
        <w:rPr>
          <w:sz w:val="20"/>
          <w:szCs w:val="20"/>
          <w:color w:val="auto"/>
        </w:rPr>
      </w:pPr>
    </w:p>
    <w:p>
      <w:pPr>
        <w:ind w:right="340" w:firstLine="324"/>
        <w:spacing w:after="0" w:line="287" w:lineRule="auto"/>
        <w:rPr>
          <w:sz w:val="20"/>
          <w:szCs w:val="20"/>
          <w:color w:val="auto"/>
        </w:rPr>
      </w:pPr>
      <w:r>
        <w:rPr>
          <w:rFonts w:ascii="Arial" w:cs="Arial" w:eastAsia="Arial" w:hAnsi="Arial"/>
          <w:sz w:val="18"/>
          <w:szCs w:val="18"/>
          <w:color w:val="auto"/>
        </w:rPr>
        <w:t>The following table sets forth information regarding the compensation awarded to, earned by, or paid to each of our named executive officers during the fiscal years ended December 31, 2024, December 31, 2023 and December 31, 2022, as applicable.</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6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20" w:type="dxa"/>
            <w:vAlign w:val="bottom"/>
            <w:vMerge w:val="restart"/>
          </w:tcPr>
          <w:p>
            <w:pPr>
              <w:ind w:left="160"/>
              <w:spacing w:after="0"/>
              <w:rPr>
                <w:sz w:val="20"/>
                <w:szCs w:val="20"/>
                <w:color w:val="auto"/>
              </w:rPr>
            </w:pPr>
            <w:r>
              <w:rPr>
                <w:rFonts w:ascii="Arial" w:cs="Arial" w:eastAsia="Arial" w:hAnsi="Arial"/>
                <w:sz w:val="16"/>
                <w:szCs w:val="16"/>
                <w:b w:val="1"/>
                <w:bCs w:val="1"/>
                <w:color w:val="auto"/>
              </w:rPr>
              <w:t>Salary</w:t>
            </w:r>
          </w:p>
        </w:tc>
        <w:tc>
          <w:tcPr>
            <w:tcW w:w="960" w:type="dxa"/>
            <w:vAlign w:val="bottom"/>
            <w:vMerge w:val="restart"/>
          </w:tcPr>
          <w:p>
            <w:pPr>
              <w:ind w:left="220"/>
              <w:spacing w:after="0"/>
              <w:rPr>
                <w:sz w:val="20"/>
                <w:szCs w:val="20"/>
                <w:color w:val="auto"/>
              </w:rPr>
            </w:pPr>
            <w:r>
              <w:rPr>
                <w:rFonts w:ascii="Arial" w:cs="Arial" w:eastAsia="Arial" w:hAnsi="Arial"/>
                <w:sz w:val="16"/>
                <w:szCs w:val="16"/>
                <w:b w:val="1"/>
                <w:bCs w:val="1"/>
                <w:color w:val="auto"/>
              </w:rPr>
              <w:t>Bonus</w:t>
            </w:r>
          </w:p>
        </w:tc>
        <w:tc>
          <w:tcPr>
            <w:tcW w:w="1080" w:type="dxa"/>
            <w:vAlign w:val="bottom"/>
          </w:tcPr>
          <w:p>
            <w:pPr>
              <w:jc w:val="center"/>
              <w:spacing w:after="0"/>
              <w:rPr>
                <w:sz w:val="20"/>
                <w:szCs w:val="20"/>
                <w:color w:val="auto"/>
              </w:rPr>
            </w:pPr>
            <w:r>
              <w:rPr>
                <w:rFonts w:ascii="Arial" w:cs="Arial" w:eastAsia="Arial" w:hAnsi="Arial"/>
                <w:sz w:val="16"/>
                <w:szCs w:val="16"/>
                <w:b w:val="1"/>
                <w:bCs w:val="1"/>
                <w:color w:val="auto"/>
              </w:rPr>
              <w:t>Stock</w:t>
            </w:r>
          </w:p>
        </w:tc>
        <w:tc>
          <w:tcPr>
            <w:tcW w:w="860" w:type="dxa"/>
            <w:vAlign w:val="bottom"/>
          </w:tcPr>
          <w:p>
            <w:pPr>
              <w:jc w:val="center"/>
              <w:spacing w:after="0"/>
              <w:rPr>
                <w:sz w:val="20"/>
                <w:szCs w:val="20"/>
                <w:color w:val="auto"/>
              </w:rPr>
            </w:pPr>
            <w:r>
              <w:rPr>
                <w:rFonts w:ascii="Arial" w:cs="Arial" w:eastAsia="Arial" w:hAnsi="Arial"/>
                <w:sz w:val="16"/>
                <w:szCs w:val="16"/>
                <w:b w:val="1"/>
                <w:bCs w:val="1"/>
                <w:color w:val="auto"/>
              </w:rPr>
              <w:t>Option</w:t>
            </w:r>
          </w:p>
        </w:tc>
        <w:tc>
          <w:tcPr>
            <w:tcW w:w="1600" w:type="dxa"/>
            <w:vAlign w:val="bottom"/>
          </w:tcPr>
          <w:p>
            <w:pPr>
              <w:jc w:val="center"/>
              <w:spacing w:after="0"/>
              <w:rPr>
                <w:sz w:val="20"/>
                <w:szCs w:val="20"/>
                <w:color w:val="auto"/>
              </w:rPr>
            </w:pPr>
            <w:r>
              <w:rPr>
                <w:rFonts w:ascii="Arial" w:cs="Arial" w:eastAsia="Arial" w:hAnsi="Arial"/>
                <w:sz w:val="16"/>
                <w:szCs w:val="16"/>
                <w:b w:val="1"/>
                <w:bCs w:val="1"/>
                <w:color w:val="auto"/>
              </w:rPr>
              <w:t>Non-Equity</w:t>
            </w:r>
          </w:p>
        </w:tc>
        <w:tc>
          <w:tcPr>
            <w:tcW w:w="1460" w:type="dxa"/>
            <w:vAlign w:val="bottom"/>
          </w:tcPr>
          <w:p>
            <w:pPr>
              <w:jc w:val="center"/>
              <w:spacing w:after="0"/>
              <w:rPr>
                <w:sz w:val="20"/>
                <w:szCs w:val="20"/>
                <w:color w:val="auto"/>
              </w:rPr>
            </w:pPr>
            <w:r>
              <w:rPr>
                <w:rFonts w:ascii="Arial" w:cs="Arial" w:eastAsia="Arial" w:hAnsi="Arial"/>
                <w:sz w:val="16"/>
                <w:szCs w:val="16"/>
                <w:b w:val="1"/>
                <w:bCs w:val="1"/>
                <w:color w:val="auto"/>
              </w:rPr>
              <w:t>All Other</w:t>
            </w:r>
          </w:p>
        </w:tc>
        <w:tc>
          <w:tcPr>
            <w:tcW w:w="1060" w:type="dxa"/>
            <w:vAlign w:val="bottom"/>
            <w:vMerge w:val="restart"/>
          </w:tcPr>
          <w:p>
            <w:pPr>
              <w:ind w:left="36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89"/>
        </w:trPr>
        <w:tc>
          <w:tcPr>
            <w:tcW w:w="26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1080" w:type="dxa"/>
            <w:vAlign w:val="bottom"/>
          </w:tcPr>
          <w:p>
            <w:pPr>
              <w:jc w:val="center"/>
              <w:spacing w:after="0"/>
              <w:rPr>
                <w:sz w:val="20"/>
                <w:szCs w:val="20"/>
                <w:color w:val="auto"/>
              </w:rPr>
            </w:pPr>
            <w:r>
              <w:rPr>
                <w:rFonts w:ascii="Arial" w:cs="Arial" w:eastAsia="Arial" w:hAnsi="Arial"/>
                <w:sz w:val="16"/>
                <w:szCs w:val="16"/>
                <w:b w:val="1"/>
                <w:bCs w:val="1"/>
                <w:color w:val="auto"/>
              </w:rPr>
              <w:t>Awards</w:t>
            </w:r>
          </w:p>
        </w:tc>
        <w:tc>
          <w:tcPr>
            <w:tcW w:w="860" w:type="dxa"/>
            <w:vAlign w:val="bottom"/>
          </w:tcPr>
          <w:p>
            <w:pPr>
              <w:jc w:val="center"/>
              <w:spacing w:after="0"/>
              <w:rPr>
                <w:sz w:val="20"/>
                <w:szCs w:val="20"/>
                <w:color w:val="auto"/>
              </w:rPr>
            </w:pPr>
            <w:r>
              <w:rPr>
                <w:rFonts w:ascii="Arial" w:cs="Arial" w:eastAsia="Arial" w:hAnsi="Arial"/>
                <w:sz w:val="16"/>
                <w:szCs w:val="16"/>
                <w:b w:val="1"/>
                <w:bCs w:val="1"/>
                <w:color w:val="auto"/>
              </w:rPr>
              <w:t>Awards</w:t>
            </w:r>
          </w:p>
        </w:tc>
        <w:tc>
          <w:tcPr>
            <w:tcW w:w="1600" w:type="dxa"/>
            <w:vAlign w:val="bottom"/>
          </w:tcPr>
          <w:p>
            <w:pPr>
              <w:jc w:val="center"/>
              <w:spacing w:after="0"/>
              <w:rPr>
                <w:sz w:val="20"/>
                <w:szCs w:val="20"/>
                <w:color w:val="auto"/>
              </w:rPr>
            </w:pPr>
            <w:r>
              <w:rPr>
                <w:rFonts w:ascii="Arial" w:cs="Arial" w:eastAsia="Arial" w:hAnsi="Arial"/>
                <w:sz w:val="16"/>
                <w:szCs w:val="16"/>
                <w:b w:val="1"/>
                <w:bCs w:val="1"/>
                <w:color w:val="auto"/>
              </w:rPr>
              <w:t>Incentive Plan</w:t>
            </w:r>
          </w:p>
        </w:tc>
        <w:tc>
          <w:tcPr>
            <w:tcW w:w="1460" w:type="dxa"/>
            <w:vAlign w:val="bottom"/>
          </w:tcPr>
          <w:p>
            <w:pPr>
              <w:jc w:val="center"/>
              <w:spacing w:after="0"/>
              <w:rPr>
                <w:sz w:val="20"/>
                <w:szCs w:val="20"/>
                <w:color w:val="auto"/>
              </w:rPr>
            </w:pPr>
            <w:r>
              <w:rPr>
                <w:rFonts w:ascii="Arial" w:cs="Arial" w:eastAsia="Arial" w:hAnsi="Arial"/>
                <w:sz w:val="16"/>
                <w:szCs w:val="16"/>
                <w:b w:val="1"/>
                <w:bCs w:val="1"/>
                <w:color w:val="auto"/>
              </w:rPr>
              <w:t>Compensation</w:t>
            </w: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6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Name and Principal Position</w:t>
            </w:r>
          </w:p>
        </w:tc>
        <w:tc>
          <w:tcPr>
            <w:tcW w:w="760" w:type="dxa"/>
            <w:vAlign w:val="bottom"/>
            <w:tcBorders>
              <w:bottom w:val="single" w:sz="8" w:color="auto"/>
            </w:tcBorders>
          </w:tcPr>
          <w:p>
            <w:pPr>
              <w:ind w:left="300"/>
              <w:spacing w:after="0"/>
              <w:rPr>
                <w:sz w:val="20"/>
                <w:szCs w:val="20"/>
                <w:color w:val="auto"/>
              </w:rPr>
            </w:pPr>
            <w:r>
              <w:rPr>
                <w:rFonts w:ascii="Arial" w:cs="Arial" w:eastAsia="Arial" w:hAnsi="Arial"/>
                <w:sz w:val="16"/>
                <w:szCs w:val="16"/>
                <w:b w:val="1"/>
                <w:bCs w:val="1"/>
                <w:color w:val="auto"/>
              </w:rPr>
              <w:t>Year</w:t>
            </w: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auto"/>
            </w:tcBorders>
          </w:tcPr>
          <w:p>
            <w:pPr>
              <w:jc w:val="center"/>
              <w:spacing w:after="0" w:line="230" w:lineRule="exact"/>
              <w:rPr>
                <w:sz w:val="20"/>
                <w:szCs w:val="20"/>
                <w:color w:val="auto"/>
              </w:rPr>
            </w:pPr>
            <w:r>
              <w:rPr>
                <w:rFonts w:ascii="Arial" w:cs="Arial" w:eastAsia="Arial" w:hAnsi="Arial"/>
                <w:sz w:val="16"/>
                <w:szCs w:val="16"/>
                <w:b w:val="1"/>
                <w:bCs w:val="1"/>
                <w:color w:val="auto"/>
                <w:w w:val="92"/>
              </w:rPr>
              <w:t>($)</w:t>
            </w:r>
            <w:r>
              <w:rPr>
                <w:rFonts w:ascii="Arial" w:cs="Arial" w:eastAsia="Arial" w:hAnsi="Arial"/>
                <w:sz w:val="21"/>
                <w:szCs w:val="21"/>
                <w:b w:val="1"/>
                <w:bCs w:val="1"/>
                <w:color w:val="auto"/>
                <w:w w:val="92"/>
                <w:vertAlign w:val="superscript"/>
              </w:rPr>
              <w:t>(1)</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w:t>
            </w:r>
          </w:p>
        </w:tc>
        <w:tc>
          <w:tcPr>
            <w:tcW w:w="1600" w:type="dxa"/>
            <w:vAlign w:val="bottom"/>
            <w:tcBorders>
              <w:bottom w:val="single" w:sz="8" w:color="auto"/>
            </w:tcBorders>
          </w:tcPr>
          <w:p>
            <w:pPr>
              <w:jc w:val="center"/>
              <w:spacing w:after="0" w:line="230" w:lineRule="exact"/>
              <w:rPr>
                <w:sz w:val="20"/>
                <w:szCs w:val="20"/>
                <w:color w:val="auto"/>
              </w:rPr>
            </w:pPr>
            <w:r>
              <w:rPr>
                <w:rFonts w:ascii="Arial" w:cs="Arial" w:eastAsia="Arial" w:hAnsi="Arial"/>
                <w:sz w:val="16"/>
                <w:szCs w:val="16"/>
                <w:b w:val="1"/>
                <w:bCs w:val="1"/>
                <w:color w:val="auto"/>
                <w:w w:val="98"/>
              </w:rPr>
              <w:t>Compensation</w:t>
            </w:r>
            <w:r>
              <w:rPr>
                <w:rFonts w:ascii="Arial" w:cs="Arial" w:eastAsia="Arial" w:hAnsi="Arial"/>
                <w:sz w:val="21"/>
                <w:szCs w:val="21"/>
                <w:b w:val="1"/>
                <w:bCs w:val="1"/>
                <w:color w:val="auto"/>
                <w:w w:val="98"/>
                <w:vertAlign w:val="superscript"/>
              </w:rPr>
              <w:t>(2)</w:t>
            </w: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21"/>
        </w:trPr>
        <w:tc>
          <w:tcPr>
            <w:tcW w:w="2620" w:type="dxa"/>
            <w:vAlign w:val="bottom"/>
            <w:vMerge w:val="restart"/>
          </w:tcPr>
          <w:p>
            <w:pPr>
              <w:ind w:left="20"/>
              <w:spacing w:after="0"/>
              <w:rPr>
                <w:sz w:val="20"/>
                <w:szCs w:val="20"/>
                <w:color w:val="auto"/>
              </w:rPr>
            </w:pPr>
            <w:r>
              <w:rPr>
                <w:rFonts w:ascii="Arial" w:cs="Arial" w:eastAsia="Arial" w:hAnsi="Arial"/>
                <w:sz w:val="16"/>
                <w:szCs w:val="16"/>
                <w:color w:val="auto"/>
              </w:rPr>
              <w:t>Jonathan Oringer</w:t>
            </w:r>
          </w:p>
        </w:tc>
        <w:tc>
          <w:tcPr>
            <w:tcW w:w="760" w:type="dxa"/>
            <w:vAlign w:val="bottom"/>
          </w:tcPr>
          <w:p>
            <w:pPr>
              <w:ind w:left="300"/>
              <w:spacing w:after="0"/>
              <w:rPr>
                <w:sz w:val="20"/>
                <w:szCs w:val="20"/>
                <w:color w:val="auto"/>
              </w:rPr>
            </w:pPr>
            <w:r>
              <w:rPr>
                <w:rFonts w:ascii="Arial" w:cs="Arial" w:eastAsia="Arial" w:hAnsi="Arial"/>
                <w:sz w:val="16"/>
                <w:szCs w:val="16"/>
                <w:color w:val="auto"/>
              </w:rPr>
              <w:t>2024</w:t>
            </w:r>
          </w:p>
        </w:tc>
        <w:tc>
          <w:tcPr>
            <w:tcW w:w="820" w:type="dxa"/>
            <w:vAlign w:val="bottom"/>
          </w:tcPr>
          <w:p>
            <w:pPr>
              <w:jc w:val="center"/>
              <w:spacing w:after="0"/>
              <w:rPr>
                <w:sz w:val="20"/>
                <w:szCs w:val="20"/>
                <w:color w:val="auto"/>
              </w:rPr>
            </w:pPr>
            <w:r>
              <w:rPr>
                <w:rFonts w:ascii="Arial" w:cs="Arial" w:eastAsia="Arial" w:hAnsi="Arial"/>
                <w:sz w:val="16"/>
                <w:szCs w:val="16"/>
                <w:color w:val="auto"/>
              </w:rPr>
              <w:t>1</w:t>
            </w:r>
          </w:p>
        </w:tc>
        <w:tc>
          <w:tcPr>
            <w:tcW w:w="960" w:type="dxa"/>
            <w:vAlign w:val="bottom"/>
          </w:tcPr>
          <w:p>
            <w:pPr>
              <w:jc w:val="center"/>
              <w:spacing w:after="0"/>
              <w:rPr>
                <w:sz w:val="20"/>
                <w:szCs w:val="20"/>
                <w:color w:val="auto"/>
              </w:rPr>
            </w:pPr>
            <w:r>
              <w:rPr>
                <w:rFonts w:ascii="Arial" w:cs="Arial" w:eastAsia="Arial" w:hAnsi="Arial"/>
                <w:sz w:val="16"/>
                <w:szCs w:val="16"/>
                <w:color w:val="auto"/>
              </w:rPr>
              <w:t>-</w:t>
            </w:r>
          </w:p>
        </w:tc>
        <w:tc>
          <w:tcPr>
            <w:tcW w:w="1080" w:type="dxa"/>
            <w:vAlign w:val="bottom"/>
          </w:tcPr>
          <w:p>
            <w:pPr>
              <w:jc w:val="center"/>
              <w:spacing w:after="0"/>
              <w:rPr>
                <w:sz w:val="20"/>
                <w:szCs w:val="20"/>
                <w:color w:val="auto"/>
              </w:rPr>
            </w:pPr>
            <w:r>
              <w:rPr>
                <w:rFonts w:ascii="Arial" w:cs="Arial" w:eastAsia="Arial" w:hAnsi="Arial"/>
                <w:sz w:val="16"/>
                <w:szCs w:val="16"/>
                <w:color w:val="auto"/>
              </w:rPr>
              <w:t>4,937,746</w:t>
            </w:r>
          </w:p>
        </w:tc>
        <w:tc>
          <w:tcPr>
            <w:tcW w:w="860" w:type="dxa"/>
            <w:vAlign w:val="bottom"/>
          </w:tcPr>
          <w:p>
            <w:pPr>
              <w:jc w:val="center"/>
              <w:spacing w:after="0"/>
              <w:rPr>
                <w:sz w:val="20"/>
                <w:szCs w:val="20"/>
                <w:color w:val="auto"/>
              </w:rPr>
            </w:pPr>
            <w:r>
              <w:rPr>
                <w:rFonts w:ascii="Arial" w:cs="Arial" w:eastAsia="Arial" w:hAnsi="Arial"/>
                <w:sz w:val="16"/>
                <w:szCs w:val="16"/>
                <w:color w:val="auto"/>
              </w:rPr>
              <w:t>-</w:t>
            </w:r>
          </w:p>
        </w:tc>
        <w:tc>
          <w:tcPr>
            <w:tcW w:w="1600" w:type="dxa"/>
            <w:vAlign w:val="bottom"/>
          </w:tcPr>
          <w:p>
            <w:pPr>
              <w:jc w:val="center"/>
              <w:spacing w:after="0"/>
              <w:rPr>
                <w:sz w:val="20"/>
                <w:szCs w:val="20"/>
                <w:color w:val="auto"/>
              </w:rPr>
            </w:pPr>
            <w:r>
              <w:rPr>
                <w:rFonts w:ascii="Arial" w:cs="Arial" w:eastAsia="Arial" w:hAnsi="Arial"/>
                <w:sz w:val="16"/>
                <w:szCs w:val="16"/>
                <w:color w:val="auto"/>
              </w:rPr>
              <w:t>-</w:t>
            </w:r>
          </w:p>
        </w:tc>
        <w:tc>
          <w:tcPr>
            <w:tcW w:w="1460" w:type="dxa"/>
            <w:vAlign w:val="bottom"/>
          </w:tcPr>
          <w:p>
            <w:pPr>
              <w:jc w:val="center"/>
              <w:spacing w:after="0"/>
              <w:rPr>
                <w:sz w:val="20"/>
                <w:szCs w:val="20"/>
                <w:color w:val="auto"/>
              </w:rPr>
            </w:pPr>
            <w:r>
              <w:rPr>
                <w:rFonts w:ascii="Arial" w:cs="Arial" w:eastAsia="Arial" w:hAnsi="Arial"/>
                <w:sz w:val="16"/>
                <w:szCs w:val="16"/>
                <w:color w:val="auto"/>
              </w:rPr>
              <w:t>-</w:t>
            </w:r>
          </w:p>
        </w:tc>
        <w:tc>
          <w:tcPr>
            <w:tcW w:w="1060" w:type="dxa"/>
            <w:vAlign w:val="bottom"/>
          </w:tcPr>
          <w:p>
            <w:pPr>
              <w:jc w:val="center"/>
              <w:spacing w:after="0"/>
              <w:rPr>
                <w:sz w:val="20"/>
                <w:szCs w:val="20"/>
                <w:color w:val="auto"/>
              </w:rPr>
            </w:pPr>
            <w:r>
              <w:rPr>
                <w:rFonts w:ascii="Arial" w:cs="Arial" w:eastAsia="Arial" w:hAnsi="Arial"/>
                <w:sz w:val="16"/>
                <w:szCs w:val="16"/>
                <w:color w:val="auto"/>
              </w:rPr>
              <w:t>4,937,746</w:t>
            </w:r>
          </w:p>
        </w:tc>
        <w:tc>
          <w:tcPr>
            <w:tcW w:w="0" w:type="dxa"/>
            <w:vAlign w:val="bottom"/>
          </w:tcPr>
          <w:p>
            <w:pPr>
              <w:spacing w:after="0"/>
              <w:rPr>
                <w:sz w:val="1"/>
                <w:szCs w:val="1"/>
                <w:color w:val="auto"/>
              </w:rPr>
            </w:pPr>
          </w:p>
        </w:tc>
      </w:tr>
      <w:tr>
        <w:trPr>
          <w:trHeight w:val="123"/>
        </w:trPr>
        <w:tc>
          <w:tcPr>
            <w:tcW w:w="2620" w:type="dxa"/>
            <w:vAlign w:val="bottom"/>
            <w:vMerge w:val="continue"/>
          </w:tcPr>
          <w:p>
            <w:pPr>
              <w:spacing w:after="0"/>
              <w:rPr>
                <w:sz w:val="10"/>
                <w:szCs w:val="10"/>
                <w:color w:val="auto"/>
              </w:rPr>
            </w:pPr>
          </w:p>
        </w:tc>
        <w:tc>
          <w:tcPr>
            <w:tcW w:w="760" w:type="dxa"/>
            <w:vAlign w:val="bottom"/>
            <w:vMerge w:val="restart"/>
          </w:tcPr>
          <w:p>
            <w:pPr>
              <w:ind w:left="300"/>
              <w:spacing w:after="0"/>
              <w:rPr>
                <w:sz w:val="20"/>
                <w:szCs w:val="20"/>
                <w:color w:val="auto"/>
              </w:rPr>
            </w:pPr>
            <w:r>
              <w:rPr>
                <w:rFonts w:ascii="Arial" w:cs="Arial" w:eastAsia="Arial" w:hAnsi="Arial"/>
                <w:sz w:val="16"/>
                <w:szCs w:val="16"/>
                <w:color w:val="auto"/>
              </w:rPr>
              <w:t>2023</w:t>
            </w:r>
          </w:p>
        </w:tc>
        <w:tc>
          <w:tcPr>
            <w:tcW w:w="820" w:type="dxa"/>
            <w:vAlign w:val="bottom"/>
            <w:vMerge w:val="restart"/>
          </w:tcPr>
          <w:p>
            <w:pPr>
              <w:jc w:val="center"/>
              <w:spacing w:after="0"/>
              <w:rPr>
                <w:sz w:val="20"/>
                <w:szCs w:val="20"/>
                <w:color w:val="auto"/>
              </w:rPr>
            </w:pPr>
            <w:r>
              <w:rPr>
                <w:rFonts w:ascii="Arial" w:cs="Arial" w:eastAsia="Arial" w:hAnsi="Arial"/>
                <w:sz w:val="16"/>
                <w:szCs w:val="16"/>
                <w:color w:val="auto"/>
              </w:rPr>
              <w:t>1</w:t>
            </w:r>
          </w:p>
        </w:tc>
        <w:tc>
          <w:tcPr>
            <w:tcW w:w="960" w:type="dxa"/>
            <w:vAlign w:val="bottom"/>
            <w:vMerge w:val="restart"/>
          </w:tcPr>
          <w:p>
            <w:pPr>
              <w:jc w:val="center"/>
              <w:spacing w:after="0"/>
              <w:rPr>
                <w:sz w:val="20"/>
                <w:szCs w:val="20"/>
                <w:color w:val="auto"/>
              </w:rPr>
            </w:pPr>
            <w:r>
              <w:rPr>
                <w:rFonts w:ascii="Arial" w:cs="Arial" w:eastAsia="Arial" w:hAnsi="Arial"/>
                <w:sz w:val="16"/>
                <w:szCs w:val="16"/>
                <w:color w:val="auto"/>
              </w:rPr>
              <w:t>-</w:t>
            </w:r>
          </w:p>
        </w:tc>
        <w:tc>
          <w:tcPr>
            <w:tcW w:w="1080" w:type="dxa"/>
            <w:vAlign w:val="bottom"/>
            <w:vMerge w:val="restart"/>
          </w:tcPr>
          <w:p>
            <w:pPr>
              <w:jc w:val="center"/>
              <w:spacing w:after="0"/>
              <w:rPr>
                <w:sz w:val="20"/>
                <w:szCs w:val="20"/>
                <w:color w:val="auto"/>
              </w:rPr>
            </w:pPr>
            <w:r>
              <w:rPr>
                <w:rFonts w:ascii="Arial" w:cs="Arial" w:eastAsia="Arial" w:hAnsi="Arial"/>
                <w:sz w:val="16"/>
                <w:szCs w:val="16"/>
                <w:color w:val="auto"/>
              </w:rPr>
              <w:t>5,496,949</w:t>
            </w:r>
          </w:p>
        </w:tc>
        <w:tc>
          <w:tcPr>
            <w:tcW w:w="860" w:type="dxa"/>
            <w:vAlign w:val="bottom"/>
            <w:vMerge w:val="restart"/>
          </w:tcPr>
          <w:p>
            <w:pPr>
              <w:jc w:val="center"/>
              <w:spacing w:after="0"/>
              <w:rPr>
                <w:sz w:val="20"/>
                <w:szCs w:val="20"/>
                <w:color w:val="auto"/>
              </w:rPr>
            </w:pPr>
            <w:r>
              <w:rPr>
                <w:rFonts w:ascii="Arial" w:cs="Arial" w:eastAsia="Arial" w:hAnsi="Arial"/>
                <w:sz w:val="16"/>
                <w:szCs w:val="16"/>
                <w:color w:val="auto"/>
              </w:rPr>
              <w:t>-</w:t>
            </w:r>
          </w:p>
        </w:tc>
        <w:tc>
          <w:tcPr>
            <w:tcW w:w="1600" w:type="dxa"/>
            <w:vAlign w:val="bottom"/>
            <w:vMerge w:val="restart"/>
          </w:tcPr>
          <w:p>
            <w:pPr>
              <w:jc w:val="center"/>
              <w:spacing w:after="0"/>
              <w:rPr>
                <w:sz w:val="20"/>
                <w:szCs w:val="20"/>
                <w:color w:val="auto"/>
              </w:rPr>
            </w:pPr>
            <w:r>
              <w:rPr>
                <w:rFonts w:ascii="Arial" w:cs="Arial" w:eastAsia="Arial" w:hAnsi="Arial"/>
                <w:sz w:val="16"/>
                <w:szCs w:val="16"/>
                <w:color w:val="auto"/>
              </w:rPr>
              <w:t>-</w:t>
            </w:r>
          </w:p>
        </w:tc>
        <w:tc>
          <w:tcPr>
            <w:tcW w:w="1460" w:type="dxa"/>
            <w:vAlign w:val="bottom"/>
            <w:vMerge w:val="restart"/>
          </w:tcPr>
          <w:p>
            <w:pPr>
              <w:jc w:val="center"/>
              <w:spacing w:after="0"/>
              <w:rPr>
                <w:sz w:val="20"/>
                <w:szCs w:val="20"/>
                <w:color w:val="auto"/>
              </w:rPr>
            </w:pPr>
            <w:r>
              <w:rPr>
                <w:rFonts w:ascii="Arial" w:cs="Arial" w:eastAsia="Arial" w:hAnsi="Arial"/>
                <w:sz w:val="16"/>
                <w:szCs w:val="16"/>
                <w:color w:val="auto"/>
              </w:rPr>
              <w:t>-</w:t>
            </w:r>
          </w:p>
        </w:tc>
        <w:tc>
          <w:tcPr>
            <w:tcW w:w="1060" w:type="dxa"/>
            <w:vAlign w:val="bottom"/>
            <w:vMerge w:val="restart"/>
          </w:tcPr>
          <w:p>
            <w:pPr>
              <w:jc w:val="center"/>
              <w:spacing w:after="0"/>
              <w:rPr>
                <w:sz w:val="20"/>
                <w:szCs w:val="20"/>
                <w:color w:val="auto"/>
              </w:rPr>
            </w:pPr>
            <w:r>
              <w:rPr>
                <w:rFonts w:ascii="Arial" w:cs="Arial" w:eastAsia="Arial" w:hAnsi="Arial"/>
                <w:sz w:val="16"/>
                <w:szCs w:val="16"/>
                <w:color w:val="auto"/>
              </w:rPr>
              <w:t>5,496,949</w:t>
            </w:r>
          </w:p>
        </w:tc>
        <w:tc>
          <w:tcPr>
            <w:tcW w:w="0" w:type="dxa"/>
            <w:vAlign w:val="bottom"/>
          </w:tcPr>
          <w:p>
            <w:pPr>
              <w:spacing w:after="0"/>
              <w:rPr>
                <w:sz w:val="1"/>
                <w:szCs w:val="1"/>
                <w:color w:val="auto"/>
              </w:rPr>
            </w:pPr>
          </w:p>
        </w:tc>
      </w:tr>
      <w:tr>
        <w:trPr>
          <w:trHeight w:val="120"/>
        </w:trPr>
        <w:tc>
          <w:tcPr>
            <w:tcW w:w="2620" w:type="dxa"/>
            <w:vAlign w:val="bottom"/>
            <w:vMerge w:val="restart"/>
          </w:tcPr>
          <w:p>
            <w:pPr>
              <w:ind w:left="20"/>
              <w:spacing w:after="0"/>
              <w:rPr>
                <w:sz w:val="20"/>
                <w:szCs w:val="20"/>
                <w:color w:val="auto"/>
              </w:rPr>
            </w:pPr>
            <w:r>
              <w:rPr>
                <w:rFonts w:ascii="Arial" w:cs="Arial" w:eastAsia="Arial" w:hAnsi="Arial"/>
                <w:sz w:val="16"/>
                <w:szCs w:val="16"/>
                <w:color w:val="auto"/>
              </w:rPr>
              <w:t>Executive Chairman</w:t>
            </w:r>
          </w:p>
        </w:tc>
        <w:tc>
          <w:tcPr>
            <w:tcW w:w="760" w:type="dxa"/>
            <w:vAlign w:val="bottom"/>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2620" w:type="dxa"/>
            <w:vAlign w:val="bottom"/>
            <w:vMerge w:val="continue"/>
          </w:tcPr>
          <w:p>
            <w:pPr>
              <w:spacing w:after="0"/>
              <w:rPr>
                <w:sz w:val="8"/>
                <w:szCs w:val="8"/>
                <w:color w:val="auto"/>
              </w:rPr>
            </w:pPr>
          </w:p>
        </w:tc>
        <w:tc>
          <w:tcPr>
            <w:tcW w:w="760" w:type="dxa"/>
            <w:vAlign w:val="bottom"/>
            <w:vMerge w:val="restart"/>
          </w:tcPr>
          <w:p>
            <w:pPr>
              <w:ind w:left="300"/>
              <w:spacing w:after="0"/>
              <w:rPr>
                <w:sz w:val="20"/>
                <w:szCs w:val="20"/>
                <w:color w:val="auto"/>
              </w:rPr>
            </w:pPr>
            <w:r>
              <w:rPr>
                <w:rFonts w:ascii="Arial" w:cs="Arial" w:eastAsia="Arial" w:hAnsi="Arial"/>
                <w:sz w:val="16"/>
                <w:szCs w:val="16"/>
                <w:color w:val="auto"/>
              </w:rPr>
              <w:t>2022</w:t>
            </w:r>
          </w:p>
        </w:tc>
        <w:tc>
          <w:tcPr>
            <w:tcW w:w="820" w:type="dxa"/>
            <w:vAlign w:val="bottom"/>
            <w:vMerge w:val="restart"/>
          </w:tcPr>
          <w:p>
            <w:pPr>
              <w:jc w:val="center"/>
              <w:spacing w:after="0"/>
              <w:rPr>
                <w:sz w:val="20"/>
                <w:szCs w:val="20"/>
                <w:color w:val="auto"/>
              </w:rPr>
            </w:pPr>
            <w:r>
              <w:rPr>
                <w:rFonts w:ascii="Arial" w:cs="Arial" w:eastAsia="Arial" w:hAnsi="Arial"/>
                <w:sz w:val="16"/>
                <w:szCs w:val="16"/>
                <w:color w:val="auto"/>
              </w:rPr>
              <w:t>1</w:t>
            </w:r>
          </w:p>
        </w:tc>
        <w:tc>
          <w:tcPr>
            <w:tcW w:w="960" w:type="dxa"/>
            <w:vAlign w:val="bottom"/>
            <w:vMerge w:val="restart"/>
          </w:tcPr>
          <w:p>
            <w:pPr>
              <w:jc w:val="center"/>
              <w:spacing w:after="0"/>
              <w:rPr>
                <w:sz w:val="20"/>
                <w:szCs w:val="20"/>
                <w:color w:val="auto"/>
              </w:rPr>
            </w:pPr>
            <w:r>
              <w:rPr>
                <w:rFonts w:ascii="Arial" w:cs="Arial" w:eastAsia="Arial" w:hAnsi="Arial"/>
                <w:sz w:val="16"/>
                <w:szCs w:val="16"/>
                <w:color w:val="auto"/>
              </w:rPr>
              <w:t>-</w:t>
            </w:r>
          </w:p>
        </w:tc>
        <w:tc>
          <w:tcPr>
            <w:tcW w:w="1080" w:type="dxa"/>
            <w:vAlign w:val="bottom"/>
            <w:vMerge w:val="restart"/>
          </w:tcPr>
          <w:p>
            <w:pPr>
              <w:jc w:val="center"/>
              <w:spacing w:after="0"/>
              <w:rPr>
                <w:sz w:val="20"/>
                <w:szCs w:val="20"/>
                <w:color w:val="auto"/>
              </w:rPr>
            </w:pPr>
            <w:r>
              <w:rPr>
                <w:rFonts w:ascii="Arial" w:cs="Arial" w:eastAsia="Arial" w:hAnsi="Arial"/>
                <w:sz w:val="16"/>
                <w:szCs w:val="16"/>
                <w:color w:val="auto"/>
              </w:rPr>
              <w:t>5,636,920</w:t>
            </w:r>
          </w:p>
        </w:tc>
        <w:tc>
          <w:tcPr>
            <w:tcW w:w="860" w:type="dxa"/>
            <w:vAlign w:val="bottom"/>
            <w:vMerge w:val="restart"/>
          </w:tcPr>
          <w:p>
            <w:pPr>
              <w:jc w:val="center"/>
              <w:spacing w:after="0"/>
              <w:rPr>
                <w:sz w:val="20"/>
                <w:szCs w:val="20"/>
                <w:color w:val="auto"/>
              </w:rPr>
            </w:pPr>
            <w:r>
              <w:rPr>
                <w:rFonts w:ascii="Arial" w:cs="Arial" w:eastAsia="Arial" w:hAnsi="Arial"/>
                <w:sz w:val="16"/>
                <w:szCs w:val="16"/>
                <w:color w:val="auto"/>
              </w:rPr>
              <w:t>-</w:t>
            </w:r>
          </w:p>
        </w:tc>
        <w:tc>
          <w:tcPr>
            <w:tcW w:w="1600" w:type="dxa"/>
            <w:vAlign w:val="bottom"/>
            <w:vMerge w:val="restart"/>
          </w:tcPr>
          <w:p>
            <w:pPr>
              <w:jc w:val="center"/>
              <w:spacing w:after="0"/>
              <w:rPr>
                <w:sz w:val="20"/>
                <w:szCs w:val="20"/>
                <w:color w:val="auto"/>
              </w:rPr>
            </w:pPr>
            <w:r>
              <w:rPr>
                <w:rFonts w:ascii="Arial" w:cs="Arial" w:eastAsia="Arial" w:hAnsi="Arial"/>
                <w:sz w:val="16"/>
                <w:szCs w:val="16"/>
                <w:color w:val="auto"/>
              </w:rPr>
              <w:t>-</w:t>
            </w:r>
          </w:p>
        </w:tc>
        <w:tc>
          <w:tcPr>
            <w:tcW w:w="1460" w:type="dxa"/>
            <w:vAlign w:val="bottom"/>
            <w:vMerge w:val="restart"/>
          </w:tcPr>
          <w:p>
            <w:pPr>
              <w:jc w:val="center"/>
              <w:spacing w:after="0"/>
              <w:rPr>
                <w:sz w:val="20"/>
                <w:szCs w:val="20"/>
                <w:color w:val="auto"/>
              </w:rPr>
            </w:pPr>
            <w:r>
              <w:rPr>
                <w:rFonts w:ascii="Arial" w:cs="Arial" w:eastAsia="Arial" w:hAnsi="Arial"/>
                <w:sz w:val="16"/>
                <w:szCs w:val="16"/>
                <w:color w:val="auto"/>
              </w:rPr>
              <w:t>-</w:t>
            </w:r>
          </w:p>
        </w:tc>
        <w:tc>
          <w:tcPr>
            <w:tcW w:w="1060" w:type="dxa"/>
            <w:vAlign w:val="bottom"/>
            <w:vMerge w:val="restart"/>
          </w:tcPr>
          <w:p>
            <w:pPr>
              <w:jc w:val="center"/>
              <w:spacing w:after="0"/>
              <w:rPr>
                <w:sz w:val="20"/>
                <w:szCs w:val="20"/>
                <w:color w:val="auto"/>
              </w:rPr>
            </w:pPr>
            <w:r>
              <w:rPr>
                <w:rFonts w:ascii="Arial" w:cs="Arial" w:eastAsia="Arial" w:hAnsi="Arial"/>
                <w:sz w:val="16"/>
                <w:szCs w:val="16"/>
                <w:color w:val="auto"/>
              </w:rPr>
              <w:t>5,636,921</w:t>
            </w:r>
          </w:p>
        </w:tc>
        <w:tc>
          <w:tcPr>
            <w:tcW w:w="0" w:type="dxa"/>
            <w:vAlign w:val="bottom"/>
          </w:tcPr>
          <w:p>
            <w:pPr>
              <w:spacing w:after="0"/>
              <w:rPr>
                <w:sz w:val="1"/>
                <w:szCs w:val="1"/>
                <w:color w:val="auto"/>
              </w:rPr>
            </w:pPr>
          </w:p>
        </w:tc>
      </w:tr>
      <w:tr>
        <w:trPr>
          <w:trHeight w:val="158"/>
        </w:trPr>
        <w:tc>
          <w:tcPr>
            <w:tcW w:w="26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vMerge w:val="continue"/>
          </w:tcPr>
          <w:p>
            <w:pPr>
              <w:spacing w:after="0"/>
              <w:rPr>
                <w:sz w:val="13"/>
                <w:szCs w:val="13"/>
                <w:color w:val="auto"/>
              </w:rPr>
            </w:pPr>
          </w:p>
        </w:tc>
        <w:tc>
          <w:tcPr>
            <w:tcW w:w="820" w:type="dxa"/>
            <w:vAlign w:val="bottom"/>
            <w:tcBorders>
              <w:bottom w:val="single" w:sz="8" w:color="auto"/>
            </w:tcBorders>
            <w:vMerge w:val="continue"/>
          </w:tcPr>
          <w:p>
            <w:pPr>
              <w:spacing w:after="0"/>
              <w:rPr>
                <w:sz w:val="13"/>
                <w:szCs w:val="13"/>
                <w:color w:val="auto"/>
              </w:rPr>
            </w:pPr>
          </w:p>
        </w:tc>
        <w:tc>
          <w:tcPr>
            <w:tcW w:w="960" w:type="dxa"/>
            <w:vAlign w:val="bottom"/>
            <w:tcBorders>
              <w:bottom w:val="single" w:sz="8" w:color="auto"/>
            </w:tcBorders>
            <w:vMerge w:val="continue"/>
          </w:tcPr>
          <w:p>
            <w:pPr>
              <w:spacing w:after="0"/>
              <w:rPr>
                <w:sz w:val="13"/>
                <w:szCs w:val="13"/>
                <w:color w:val="auto"/>
              </w:rPr>
            </w:pPr>
          </w:p>
        </w:tc>
        <w:tc>
          <w:tcPr>
            <w:tcW w:w="1080" w:type="dxa"/>
            <w:vAlign w:val="bottom"/>
            <w:tcBorders>
              <w:bottom w:val="single" w:sz="8" w:color="auto"/>
            </w:tcBorders>
            <w:vMerge w:val="continue"/>
          </w:tcPr>
          <w:p>
            <w:pPr>
              <w:spacing w:after="0"/>
              <w:rPr>
                <w:sz w:val="13"/>
                <w:szCs w:val="13"/>
                <w:color w:val="auto"/>
              </w:rPr>
            </w:pPr>
          </w:p>
        </w:tc>
        <w:tc>
          <w:tcPr>
            <w:tcW w:w="860" w:type="dxa"/>
            <w:vAlign w:val="bottom"/>
            <w:tcBorders>
              <w:bottom w:val="single" w:sz="8" w:color="auto"/>
            </w:tcBorders>
            <w:vMerge w:val="continue"/>
          </w:tcPr>
          <w:p>
            <w:pPr>
              <w:spacing w:after="0"/>
              <w:rPr>
                <w:sz w:val="13"/>
                <w:szCs w:val="13"/>
                <w:color w:val="auto"/>
              </w:rPr>
            </w:pPr>
          </w:p>
        </w:tc>
        <w:tc>
          <w:tcPr>
            <w:tcW w:w="1600" w:type="dxa"/>
            <w:vAlign w:val="bottom"/>
            <w:tcBorders>
              <w:bottom w:val="single" w:sz="8" w:color="auto"/>
            </w:tcBorders>
            <w:vMerge w:val="continue"/>
          </w:tcPr>
          <w:p>
            <w:pPr>
              <w:spacing w:after="0"/>
              <w:rPr>
                <w:sz w:val="13"/>
                <w:szCs w:val="13"/>
                <w:color w:val="auto"/>
              </w:rPr>
            </w:pPr>
          </w:p>
        </w:tc>
        <w:tc>
          <w:tcPr>
            <w:tcW w:w="1460" w:type="dxa"/>
            <w:vAlign w:val="bottom"/>
            <w:tcBorders>
              <w:bottom w:val="single" w:sz="8" w:color="auto"/>
            </w:tcBorders>
            <w:vMerge w:val="continue"/>
          </w:tcPr>
          <w:p>
            <w:pPr>
              <w:spacing w:after="0"/>
              <w:rPr>
                <w:sz w:val="13"/>
                <w:szCs w:val="13"/>
                <w:color w:val="auto"/>
              </w:rPr>
            </w:pPr>
          </w:p>
        </w:tc>
        <w:tc>
          <w:tcPr>
            <w:tcW w:w="106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56"/>
        </w:trPr>
        <w:tc>
          <w:tcPr>
            <w:tcW w:w="2620" w:type="dxa"/>
            <w:vAlign w:val="bottom"/>
            <w:vMerge w:val="restart"/>
          </w:tcPr>
          <w:p>
            <w:pPr>
              <w:ind w:left="20"/>
              <w:spacing w:after="0"/>
              <w:rPr>
                <w:sz w:val="20"/>
                <w:szCs w:val="20"/>
                <w:color w:val="auto"/>
              </w:rPr>
            </w:pPr>
            <w:r>
              <w:rPr>
                <w:rFonts w:ascii="Arial" w:cs="Arial" w:eastAsia="Arial" w:hAnsi="Arial"/>
                <w:sz w:val="16"/>
                <w:szCs w:val="16"/>
                <w:color w:val="auto"/>
              </w:rPr>
              <w:t>Paul Hennessy</w:t>
            </w:r>
          </w:p>
        </w:tc>
        <w:tc>
          <w:tcPr>
            <w:tcW w:w="760" w:type="dxa"/>
            <w:vAlign w:val="bottom"/>
          </w:tcPr>
          <w:p>
            <w:pPr>
              <w:ind w:left="300"/>
              <w:spacing w:after="0"/>
              <w:rPr>
                <w:sz w:val="20"/>
                <w:szCs w:val="20"/>
                <w:color w:val="auto"/>
              </w:rPr>
            </w:pPr>
            <w:r>
              <w:rPr>
                <w:rFonts w:ascii="Arial" w:cs="Arial" w:eastAsia="Arial" w:hAnsi="Arial"/>
                <w:sz w:val="16"/>
                <w:szCs w:val="16"/>
                <w:color w:val="auto"/>
              </w:rPr>
              <w:t>2024</w:t>
            </w:r>
          </w:p>
        </w:tc>
        <w:tc>
          <w:tcPr>
            <w:tcW w:w="820" w:type="dxa"/>
            <w:vAlign w:val="bottom"/>
          </w:tcPr>
          <w:p>
            <w:pPr>
              <w:jc w:val="center"/>
              <w:spacing w:after="0"/>
              <w:rPr>
                <w:sz w:val="20"/>
                <w:szCs w:val="20"/>
                <w:color w:val="auto"/>
              </w:rPr>
            </w:pPr>
            <w:r>
              <w:rPr>
                <w:rFonts w:ascii="Arial" w:cs="Arial" w:eastAsia="Arial" w:hAnsi="Arial"/>
                <w:sz w:val="16"/>
                <w:szCs w:val="16"/>
                <w:color w:val="auto"/>
              </w:rPr>
              <w:t>700,000</w:t>
            </w:r>
          </w:p>
        </w:tc>
        <w:tc>
          <w:tcPr>
            <w:tcW w:w="960" w:type="dxa"/>
            <w:vAlign w:val="bottom"/>
          </w:tcPr>
          <w:p>
            <w:pPr>
              <w:jc w:val="center"/>
              <w:spacing w:after="0"/>
              <w:rPr>
                <w:sz w:val="20"/>
                <w:szCs w:val="20"/>
                <w:color w:val="auto"/>
              </w:rPr>
            </w:pPr>
            <w:r>
              <w:rPr>
                <w:rFonts w:ascii="Arial" w:cs="Arial" w:eastAsia="Arial" w:hAnsi="Arial"/>
                <w:sz w:val="16"/>
                <w:szCs w:val="16"/>
                <w:color w:val="auto"/>
              </w:rPr>
              <w:t>-</w:t>
            </w:r>
          </w:p>
        </w:tc>
        <w:tc>
          <w:tcPr>
            <w:tcW w:w="1080" w:type="dxa"/>
            <w:vAlign w:val="bottom"/>
          </w:tcPr>
          <w:p>
            <w:pPr>
              <w:jc w:val="center"/>
              <w:spacing w:after="0"/>
              <w:rPr>
                <w:sz w:val="20"/>
                <w:szCs w:val="20"/>
                <w:color w:val="auto"/>
              </w:rPr>
            </w:pPr>
            <w:r>
              <w:rPr>
                <w:rFonts w:ascii="Arial" w:cs="Arial" w:eastAsia="Arial" w:hAnsi="Arial"/>
                <w:sz w:val="16"/>
                <w:szCs w:val="16"/>
                <w:color w:val="auto"/>
              </w:rPr>
              <w:t>5,871,670</w:t>
            </w:r>
          </w:p>
        </w:tc>
        <w:tc>
          <w:tcPr>
            <w:tcW w:w="860" w:type="dxa"/>
            <w:vAlign w:val="bottom"/>
          </w:tcPr>
          <w:p>
            <w:pPr>
              <w:jc w:val="center"/>
              <w:spacing w:after="0"/>
              <w:rPr>
                <w:sz w:val="20"/>
                <w:szCs w:val="20"/>
                <w:color w:val="auto"/>
              </w:rPr>
            </w:pPr>
            <w:r>
              <w:rPr>
                <w:rFonts w:ascii="Arial" w:cs="Arial" w:eastAsia="Arial" w:hAnsi="Arial"/>
                <w:sz w:val="16"/>
                <w:szCs w:val="16"/>
                <w:color w:val="auto"/>
              </w:rPr>
              <w:t>-</w:t>
            </w:r>
          </w:p>
        </w:tc>
        <w:tc>
          <w:tcPr>
            <w:tcW w:w="1600" w:type="dxa"/>
            <w:vAlign w:val="bottom"/>
          </w:tcPr>
          <w:p>
            <w:pPr>
              <w:jc w:val="center"/>
              <w:spacing w:after="0"/>
              <w:rPr>
                <w:sz w:val="20"/>
                <w:szCs w:val="20"/>
                <w:color w:val="auto"/>
              </w:rPr>
            </w:pPr>
            <w:r>
              <w:rPr>
                <w:rFonts w:ascii="Arial" w:cs="Arial" w:eastAsia="Arial" w:hAnsi="Arial"/>
                <w:sz w:val="16"/>
                <w:szCs w:val="16"/>
                <w:color w:val="auto"/>
              </w:rPr>
              <w:t>583,800</w:t>
            </w:r>
          </w:p>
        </w:tc>
        <w:tc>
          <w:tcPr>
            <w:tcW w:w="1460" w:type="dxa"/>
            <w:vAlign w:val="bottom"/>
          </w:tcPr>
          <w:p>
            <w:pPr>
              <w:jc w:val="center"/>
              <w:spacing w:after="0"/>
              <w:rPr>
                <w:sz w:val="20"/>
                <w:szCs w:val="20"/>
                <w:color w:val="auto"/>
              </w:rPr>
            </w:pPr>
            <w:r>
              <w:rPr>
                <w:rFonts w:ascii="Arial" w:cs="Arial" w:eastAsia="Arial" w:hAnsi="Arial"/>
                <w:sz w:val="16"/>
                <w:szCs w:val="16"/>
                <w:color w:val="auto"/>
                <w:w w:val="93"/>
              </w:rPr>
              <w:t>20,998</w:t>
            </w:r>
            <w:r>
              <w:rPr>
                <w:rFonts w:ascii="Arial" w:cs="Arial" w:eastAsia="Arial" w:hAnsi="Arial"/>
                <w:sz w:val="21"/>
                <w:szCs w:val="21"/>
                <w:color w:val="auto"/>
                <w:w w:val="93"/>
                <w:vertAlign w:val="superscript"/>
              </w:rPr>
              <w:t>(3)</w:t>
            </w:r>
          </w:p>
        </w:tc>
        <w:tc>
          <w:tcPr>
            <w:tcW w:w="1060" w:type="dxa"/>
            <w:vAlign w:val="bottom"/>
          </w:tcPr>
          <w:p>
            <w:pPr>
              <w:jc w:val="center"/>
              <w:spacing w:after="0"/>
              <w:rPr>
                <w:sz w:val="20"/>
                <w:szCs w:val="20"/>
                <w:color w:val="auto"/>
              </w:rPr>
            </w:pPr>
            <w:r>
              <w:rPr>
                <w:rFonts w:ascii="Arial" w:cs="Arial" w:eastAsia="Arial" w:hAnsi="Arial"/>
                <w:sz w:val="16"/>
                <w:szCs w:val="16"/>
                <w:color w:val="auto"/>
              </w:rPr>
              <w:t>7,176,468</w:t>
            </w:r>
          </w:p>
        </w:tc>
        <w:tc>
          <w:tcPr>
            <w:tcW w:w="0" w:type="dxa"/>
            <w:vAlign w:val="bottom"/>
          </w:tcPr>
          <w:p>
            <w:pPr>
              <w:spacing w:after="0"/>
              <w:rPr>
                <w:sz w:val="1"/>
                <w:szCs w:val="1"/>
                <w:color w:val="auto"/>
              </w:rPr>
            </w:pPr>
          </w:p>
        </w:tc>
      </w:tr>
      <w:tr>
        <w:trPr>
          <w:trHeight w:val="95"/>
        </w:trPr>
        <w:tc>
          <w:tcPr>
            <w:tcW w:w="2620" w:type="dxa"/>
            <w:vAlign w:val="bottom"/>
            <w:vMerge w:val="continue"/>
          </w:tcPr>
          <w:p>
            <w:pPr>
              <w:spacing w:after="0"/>
              <w:rPr>
                <w:sz w:val="8"/>
                <w:szCs w:val="8"/>
                <w:color w:val="auto"/>
              </w:rPr>
            </w:pPr>
          </w:p>
        </w:tc>
        <w:tc>
          <w:tcPr>
            <w:tcW w:w="760" w:type="dxa"/>
            <w:vAlign w:val="bottom"/>
            <w:vMerge w:val="restart"/>
          </w:tcPr>
          <w:p>
            <w:pPr>
              <w:ind w:left="300"/>
              <w:spacing w:after="0"/>
              <w:rPr>
                <w:sz w:val="20"/>
                <w:szCs w:val="20"/>
                <w:color w:val="auto"/>
              </w:rPr>
            </w:pPr>
            <w:r>
              <w:rPr>
                <w:rFonts w:ascii="Arial" w:cs="Arial" w:eastAsia="Arial" w:hAnsi="Arial"/>
                <w:sz w:val="16"/>
                <w:szCs w:val="16"/>
                <w:color w:val="auto"/>
              </w:rPr>
              <w:t>2023</w:t>
            </w:r>
          </w:p>
        </w:tc>
        <w:tc>
          <w:tcPr>
            <w:tcW w:w="820" w:type="dxa"/>
            <w:vAlign w:val="bottom"/>
            <w:vMerge w:val="restart"/>
          </w:tcPr>
          <w:p>
            <w:pPr>
              <w:jc w:val="center"/>
              <w:spacing w:after="0"/>
              <w:rPr>
                <w:sz w:val="20"/>
                <w:szCs w:val="20"/>
                <w:color w:val="auto"/>
              </w:rPr>
            </w:pPr>
            <w:r>
              <w:rPr>
                <w:rFonts w:ascii="Arial" w:cs="Arial" w:eastAsia="Arial" w:hAnsi="Arial"/>
                <w:sz w:val="16"/>
                <w:szCs w:val="16"/>
                <w:color w:val="auto"/>
              </w:rPr>
              <w:t>700,000</w:t>
            </w:r>
          </w:p>
        </w:tc>
        <w:tc>
          <w:tcPr>
            <w:tcW w:w="960" w:type="dxa"/>
            <w:vAlign w:val="bottom"/>
            <w:vMerge w:val="restart"/>
          </w:tcPr>
          <w:p>
            <w:pPr>
              <w:jc w:val="center"/>
              <w:spacing w:after="0"/>
              <w:rPr>
                <w:sz w:val="20"/>
                <w:szCs w:val="20"/>
                <w:color w:val="auto"/>
              </w:rPr>
            </w:pPr>
            <w:r>
              <w:rPr>
                <w:rFonts w:ascii="Arial" w:cs="Arial" w:eastAsia="Arial" w:hAnsi="Arial"/>
                <w:sz w:val="16"/>
                <w:szCs w:val="16"/>
                <w:color w:val="auto"/>
              </w:rPr>
              <w:t>-</w:t>
            </w:r>
          </w:p>
        </w:tc>
        <w:tc>
          <w:tcPr>
            <w:tcW w:w="1080" w:type="dxa"/>
            <w:vAlign w:val="bottom"/>
            <w:vMerge w:val="restart"/>
          </w:tcPr>
          <w:p>
            <w:pPr>
              <w:jc w:val="center"/>
              <w:spacing w:after="0"/>
              <w:rPr>
                <w:sz w:val="20"/>
                <w:szCs w:val="20"/>
                <w:color w:val="auto"/>
              </w:rPr>
            </w:pPr>
            <w:r>
              <w:rPr>
                <w:rFonts w:ascii="Arial" w:cs="Arial" w:eastAsia="Arial" w:hAnsi="Arial"/>
                <w:sz w:val="16"/>
                <w:szCs w:val="16"/>
                <w:color w:val="auto"/>
              </w:rPr>
              <w:t>6,644,157</w:t>
            </w:r>
          </w:p>
        </w:tc>
        <w:tc>
          <w:tcPr>
            <w:tcW w:w="860" w:type="dxa"/>
            <w:vAlign w:val="bottom"/>
            <w:vMerge w:val="restart"/>
          </w:tcPr>
          <w:p>
            <w:pPr>
              <w:jc w:val="center"/>
              <w:spacing w:after="0"/>
              <w:rPr>
                <w:sz w:val="20"/>
                <w:szCs w:val="20"/>
                <w:color w:val="auto"/>
              </w:rPr>
            </w:pPr>
            <w:r>
              <w:rPr>
                <w:rFonts w:ascii="Arial" w:cs="Arial" w:eastAsia="Arial" w:hAnsi="Arial"/>
                <w:sz w:val="16"/>
                <w:szCs w:val="16"/>
                <w:color w:val="auto"/>
              </w:rPr>
              <w:t>-</w:t>
            </w:r>
          </w:p>
        </w:tc>
        <w:tc>
          <w:tcPr>
            <w:tcW w:w="1600" w:type="dxa"/>
            <w:vAlign w:val="bottom"/>
            <w:vMerge w:val="restart"/>
          </w:tcPr>
          <w:p>
            <w:pPr>
              <w:jc w:val="center"/>
              <w:spacing w:after="0"/>
              <w:rPr>
                <w:sz w:val="20"/>
                <w:szCs w:val="20"/>
                <w:color w:val="auto"/>
              </w:rPr>
            </w:pPr>
            <w:r>
              <w:rPr>
                <w:rFonts w:ascii="Arial" w:cs="Arial" w:eastAsia="Arial" w:hAnsi="Arial"/>
                <w:sz w:val="16"/>
                <w:szCs w:val="16"/>
                <w:color w:val="auto"/>
              </w:rPr>
              <w:t>750,400</w:t>
            </w:r>
          </w:p>
        </w:tc>
        <w:tc>
          <w:tcPr>
            <w:tcW w:w="1460" w:type="dxa"/>
            <w:vAlign w:val="bottom"/>
            <w:vMerge w:val="restart"/>
          </w:tcPr>
          <w:p>
            <w:pPr>
              <w:jc w:val="center"/>
              <w:spacing w:after="0"/>
              <w:rPr>
                <w:sz w:val="20"/>
                <w:szCs w:val="20"/>
                <w:color w:val="auto"/>
              </w:rPr>
            </w:pPr>
            <w:r>
              <w:rPr>
                <w:rFonts w:ascii="Arial" w:cs="Arial" w:eastAsia="Arial" w:hAnsi="Arial"/>
                <w:sz w:val="16"/>
                <w:szCs w:val="16"/>
                <w:color w:val="auto"/>
                <w:w w:val="93"/>
              </w:rPr>
              <w:t>18,954</w:t>
            </w:r>
            <w:r>
              <w:rPr>
                <w:rFonts w:ascii="Arial" w:cs="Arial" w:eastAsia="Arial" w:hAnsi="Arial"/>
                <w:sz w:val="21"/>
                <w:szCs w:val="21"/>
                <w:color w:val="auto"/>
                <w:w w:val="93"/>
                <w:vertAlign w:val="superscript"/>
              </w:rPr>
              <w:t>(3)</w:t>
            </w:r>
          </w:p>
        </w:tc>
        <w:tc>
          <w:tcPr>
            <w:tcW w:w="1060" w:type="dxa"/>
            <w:vAlign w:val="bottom"/>
            <w:vMerge w:val="restart"/>
          </w:tcPr>
          <w:p>
            <w:pPr>
              <w:jc w:val="center"/>
              <w:spacing w:after="0"/>
              <w:rPr>
                <w:sz w:val="20"/>
                <w:szCs w:val="20"/>
                <w:color w:val="auto"/>
              </w:rPr>
            </w:pPr>
            <w:r>
              <w:rPr>
                <w:rFonts w:ascii="Arial" w:cs="Arial" w:eastAsia="Arial" w:hAnsi="Arial"/>
                <w:sz w:val="16"/>
                <w:szCs w:val="16"/>
                <w:color w:val="auto"/>
                <w:w w:val="98"/>
              </w:rPr>
              <w:t>8,113,511</w:t>
            </w:r>
          </w:p>
        </w:tc>
        <w:tc>
          <w:tcPr>
            <w:tcW w:w="0" w:type="dxa"/>
            <w:vAlign w:val="bottom"/>
          </w:tcPr>
          <w:p>
            <w:pPr>
              <w:spacing w:after="0"/>
              <w:rPr>
                <w:sz w:val="1"/>
                <w:szCs w:val="1"/>
                <w:color w:val="auto"/>
              </w:rPr>
            </w:pPr>
          </w:p>
        </w:tc>
      </w:tr>
      <w:tr>
        <w:trPr>
          <w:trHeight w:val="148"/>
        </w:trPr>
        <w:tc>
          <w:tcPr>
            <w:tcW w:w="2620" w:type="dxa"/>
            <w:vAlign w:val="bottom"/>
            <w:vMerge w:val="restart"/>
          </w:tcPr>
          <w:p>
            <w:pPr>
              <w:ind w:left="20"/>
              <w:spacing w:after="0"/>
              <w:rPr>
                <w:sz w:val="20"/>
                <w:szCs w:val="20"/>
                <w:color w:val="auto"/>
              </w:rPr>
            </w:pPr>
            <w:r>
              <w:rPr>
                <w:rFonts w:ascii="Arial" w:cs="Arial" w:eastAsia="Arial" w:hAnsi="Arial"/>
                <w:sz w:val="16"/>
                <w:szCs w:val="16"/>
                <w:color w:val="auto"/>
              </w:rPr>
              <w:t>Chief Executive Officer</w:t>
            </w:r>
          </w:p>
        </w:tc>
        <w:tc>
          <w:tcPr>
            <w:tcW w:w="76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960" w:type="dxa"/>
            <w:vAlign w:val="bottom"/>
            <w:vMerge w:val="continue"/>
          </w:tcPr>
          <w:p>
            <w:pPr>
              <w:spacing w:after="0"/>
              <w:rPr>
                <w:sz w:val="12"/>
                <w:szCs w:val="12"/>
                <w:color w:val="auto"/>
              </w:rPr>
            </w:pPr>
          </w:p>
        </w:tc>
        <w:tc>
          <w:tcPr>
            <w:tcW w:w="108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160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1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6"/>
        </w:trPr>
        <w:tc>
          <w:tcPr>
            <w:tcW w:w="2620" w:type="dxa"/>
            <w:vAlign w:val="bottom"/>
            <w:vMerge w:val="continue"/>
          </w:tcPr>
          <w:p>
            <w:pPr>
              <w:spacing w:after="0"/>
              <w:rPr>
                <w:sz w:val="5"/>
                <w:szCs w:val="5"/>
                <w:color w:val="auto"/>
              </w:rPr>
            </w:pPr>
          </w:p>
        </w:tc>
        <w:tc>
          <w:tcPr>
            <w:tcW w:w="760" w:type="dxa"/>
            <w:vAlign w:val="bottom"/>
            <w:vMerge w:val="restart"/>
          </w:tcPr>
          <w:p>
            <w:pPr>
              <w:ind w:left="300"/>
              <w:spacing w:after="0"/>
              <w:rPr>
                <w:sz w:val="20"/>
                <w:szCs w:val="20"/>
                <w:color w:val="auto"/>
              </w:rPr>
            </w:pPr>
            <w:r>
              <w:rPr>
                <w:rFonts w:ascii="Arial" w:cs="Arial" w:eastAsia="Arial" w:hAnsi="Arial"/>
                <w:sz w:val="16"/>
                <w:szCs w:val="16"/>
                <w:color w:val="auto"/>
              </w:rPr>
              <w:t>2022</w:t>
            </w:r>
          </w:p>
        </w:tc>
        <w:tc>
          <w:tcPr>
            <w:tcW w:w="820" w:type="dxa"/>
            <w:vAlign w:val="bottom"/>
            <w:vMerge w:val="restart"/>
          </w:tcPr>
          <w:p>
            <w:pPr>
              <w:jc w:val="center"/>
              <w:spacing w:after="0"/>
              <w:rPr>
                <w:sz w:val="20"/>
                <w:szCs w:val="20"/>
                <w:color w:val="auto"/>
              </w:rPr>
            </w:pPr>
            <w:r>
              <w:rPr>
                <w:rFonts w:ascii="Arial" w:cs="Arial" w:eastAsia="Arial" w:hAnsi="Arial"/>
                <w:sz w:val="16"/>
                <w:szCs w:val="16"/>
                <w:color w:val="auto"/>
              </w:rPr>
              <w:t>325,769</w:t>
            </w:r>
          </w:p>
        </w:tc>
        <w:tc>
          <w:tcPr>
            <w:tcW w:w="960" w:type="dxa"/>
            <w:vAlign w:val="bottom"/>
            <w:vMerge w:val="restart"/>
          </w:tcPr>
          <w:p>
            <w:pPr>
              <w:jc w:val="center"/>
              <w:spacing w:after="0"/>
              <w:rPr>
                <w:sz w:val="20"/>
                <w:szCs w:val="20"/>
                <w:color w:val="auto"/>
              </w:rPr>
            </w:pPr>
            <w:r>
              <w:rPr>
                <w:rFonts w:ascii="Arial" w:cs="Arial" w:eastAsia="Arial" w:hAnsi="Arial"/>
                <w:sz w:val="16"/>
                <w:szCs w:val="16"/>
                <w:color w:val="auto"/>
              </w:rPr>
              <w:t>-</w:t>
            </w:r>
          </w:p>
        </w:tc>
        <w:tc>
          <w:tcPr>
            <w:tcW w:w="1080" w:type="dxa"/>
            <w:vAlign w:val="bottom"/>
            <w:vMerge w:val="restart"/>
          </w:tcPr>
          <w:p>
            <w:pPr>
              <w:jc w:val="center"/>
              <w:spacing w:after="0"/>
              <w:rPr>
                <w:sz w:val="20"/>
                <w:szCs w:val="20"/>
                <w:color w:val="auto"/>
              </w:rPr>
            </w:pPr>
            <w:r>
              <w:rPr>
                <w:rFonts w:ascii="Arial" w:cs="Arial" w:eastAsia="Arial" w:hAnsi="Arial"/>
                <w:sz w:val="16"/>
                <w:szCs w:val="16"/>
                <w:color w:val="auto"/>
              </w:rPr>
              <w:t>19,912,380</w:t>
            </w:r>
          </w:p>
        </w:tc>
        <w:tc>
          <w:tcPr>
            <w:tcW w:w="860" w:type="dxa"/>
            <w:vAlign w:val="bottom"/>
            <w:vMerge w:val="restart"/>
          </w:tcPr>
          <w:p>
            <w:pPr>
              <w:jc w:val="center"/>
              <w:spacing w:after="0"/>
              <w:rPr>
                <w:sz w:val="20"/>
                <w:szCs w:val="20"/>
                <w:color w:val="auto"/>
              </w:rPr>
            </w:pPr>
            <w:r>
              <w:rPr>
                <w:rFonts w:ascii="Arial" w:cs="Arial" w:eastAsia="Arial" w:hAnsi="Arial"/>
                <w:sz w:val="16"/>
                <w:szCs w:val="16"/>
                <w:color w:val="auto"/>
              </w:rPr>
              <w:t>-</w:t>
            </w:r>
          </w:p>
        </w:tc>
        <w:tc>
          <w:tcPr>
            <w:tcW w:w="1600" w:type="dxa"/>
            <w:vAlign w:val="bottom"/>
            <w:vMerge w:val="restart"/>
          </w:tcPr>
          <w:p>
            <w:pPr>
              <w:jc w:val="center"/>
              <w:spacing w:after="0"/>
              <w:rPr>
                <w:sz w:val="20"/>
                <w:szCs w:val="20"/>
                <w:color w:val="auto"/>
              </w:rPr>
            </w:pPr>
            <w:r>
              <w:rPr>
                <w:rFonts w:ascii="Arial" w:cs="Arial" w:eastAsia="Arial" w:hAnsi="Arial"/>
                <w:sz w:val="16"/>
                <w:szCs w:val="16"/>
                <w:color w:val="auto"/>
              </w:rPr>
              <w:t>581,000</w:t>
            </w:r>
          </w:p>
        </w:tc>
        <w:tc>
          <w:tcPr>
            <w:tcW w:w="1460" w:type="dxa"/>
            <w:vAlign w:val="bottom"/>
            <w:vMerge w:val="restart"/>
          </w:tcPr>
          <w:p>
            <w:pPr>
              <w:jc w:val="center"/>
              <w:spacing w:after="0" w:line="230" w:lineRule="exact"/>
              <w:rPr>
                <w:sz w:val="20"/>
                <w:szCs w:val="20"/>
                <w:color w:val="auto"/>
              </w:rPr>
            </w:pPr>
            <w:r>
              <w:rPr>
                <w:rFonts w:ascii="Arial" w:cs="Arial" w:eastAsia="Arial" w:hAnsi="Arial"/>
                <w:sz w:val="16"/>
                <w:szCs w:val="16"/>
                <w:color w:val="auto"/>
                <w:w w:val="90"/>
              </w:rPr>
              <w:t>64,111</w:t>
            </w:r>
            <w:r>
              <w:rPr>
                <w:rFonts w:ascii="Arial" w:cs="Arial" w:eastAsia="Arial" w:hAnsi="Arial"/>
                <w:sz w:val="21"/>
                <w:szCs w:val="21"/>
                <w:color w:val="auto"/>
                <w:w w:val="90"/>
                <w:vertAlign w:val="superscript"/>
              </w:rPr>
              <w:t>(4)</w:t>
            </w:r>
          </w:p>
        </w:tc>
        <w:tc>
          <w:tcPr>
            <w:tcW w:w="1060" w:type="dxa"/>
            <w:vAlign w:val="bottom"/>
            <w:vMerge w:val="restart"/>
          </w:tcPr>
          <w:p>
            <w:pPr>
              <w:jc w:val="center"/>
              <w:spacing w:after="0"/>
              <w:rPr>
                <w:sz w:val="20"/>
                <w:szCs w:val="20"/>
                <w:color w:val="auto"/>
              </w:rPr>
            </w:pPr>
            <w:r>
              <w:rPr>
                <w:rFonts w:ascii="Arial" w:cs="Arial" w:eastAsia="Arial" w:hAnsi="Arial"/>
                <w:sz w:val="16"/>
                <w:szCs w:val="16"/>
                <w:color w:val="auto"/>
              </w:rPr>
              <w:t>20,883,260</w:t>
            </w:r>
          </w:p>
        </w:tc>
        <w:tc>
          <w:tcPr>
            <w:tcW w:w="0" w:type="dxa"/>
            <w:vAlign w:val="bottom"/>
          </w:tcPr>
          <w:p>
            <w:pPr>
              <w:spacing w:after="0"/>
              <w:rPr>
                <w:sz w:val="1"/>
                <w:szCs w:val="1"/>
                <w:color w:val="auto"/>
              </w:rPr>
            </w:pPr>
          </w:p>
        </w:tc>
      </w:tr>
      <w:tr>
        <w:trPr>
          <w:trHeight w:val="164"/>
        </w:trPr>
        <w:tc>
          <w:tcPr>
            <w:tcW w:w="26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1080" w:type="dxa"/>
            <w:vAlign w:val="bottom"/>
            <w:tcBorders>
              <w:bottom w:val="single" w:sz="8" w:color="auto"/>
            </w:tcBorders>
            <w:vMerge w:val="continue"/>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1600" w:type="dxa"/>
            <w:vAlign w:val="bottom"/>
            <w:tcBorders>
              <w:bottom w:val="single" w:sz="8" w:color="auto"/>
            </w:tcBorders>
            <w:vMerge w:val="continue"/>
          </w:tcPr>
          <w:p>
            <w:pPr>
              <w:spacing w:after="0"/>
              <w:rPr>
                <w:sz w:val="14"/>
                <w:szCs w:val="14"/>
                <w:color w:val="auto"/>
              </w:rPr>
            </w:pPr>
          </w:p>
        </w:tc>
        <w:tc>
          <w:tcPr>
            <w:tcW w:w="1460" w:type="dxa"/>
            <w:vAlign w:val="bottom"/>
            <w:tcBorders>
              <w:bottom w:val="single" w:sz="8" w:color="auto"/>
            </w:tcBorders>
            <w:vMerge w:val="continue"/>
          </w:tcPr>
          <w:p>
            <w:pPr>
              <w:spacing w:after="0"/>
              <w:rPr>
                <w:sz w:val="14"/>
                <w:szCs w:val="14"/>
                <w:color w:val="auto"/>
              </w:rPr>
            </w:pPr>
          </w:p>
        </w:tc>
        <w:tc>
          <w:tcPr>
            <w:tcW w:w="10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9"/>
        </w:trPr>
        <w:tc>
          <w:tcPr>
            <w:tcW w:w="2620" w:type="dxa"/>
            <w:vAlign w:val="bottom"/>
            <w:vMerge w:val="restart"/>
          </w:tcPr>
          <w:p>
            <w:pPr>
              <w:ind w:left="20"/>
              <w:spacing w:after="0"/>
              <w:rPr>
                <w:sz w:val="20"/>
                <w:szCs w:val="20"/>
                <w:color w:val="auto"/>
              </w:rPr>
            </w:pPr>
            <w:r>
              <w:rPr>
                <w:rFonts w:ascii="Arial" w:cs="Arial" w:eastAsia="Arial" w:hAnsi="Arial"/>
                <w:sz w:val="16"/>
                <w:szCs w:val="16"/>
                <w:color w:val="auto"/>
              </w:rPr>
              <w:t>Jarrod Yahes Former</w:t>
            </w:r>
          </w:p>
        </w:tc>
        <w:tc>
          <w:tcPr>
            <w:tcW w:w="760" w:type="dxa"/>
            <w:vAlign w:val="bottom"/>
          </w:tcPr>
          <w:p>
            <w:pPr>
              <w:ind w:left="300"/>
              <w:spacing w:after="0"/>
              <w:rPr>
                <w:sz w:val="20"/>
                <w:szCs w:val="20"/>
                <w:color w:val="auto"/>
              </w:rPr>
            </w:pPr>
            <w:r>
              <w:rPr>
                <w:rFonts w:ascii="Arial" w:cs="Arial" w:eastAsia="Arial" w:hAnsi="Arial"/>
                <w:sz w:val="16"/>
                <w:szCs w:val="16"/>
                <w:color w:val="auto"/>
              </w:rPr>
              <w:t>2024</w:t>
            </w:r>
          </w:p>
        </w:tc>
        <w:tc>
          <w:tcPr>
            <w:tcW w:w="820" w:type="dxa"/>
            <w:vAlign w:val="bottom"/>
          </w:tcPr>
          <w:p>
            <w:pPr>
              <w:jc w:val="center"/>
              <w:spacing w:after="0"/>
              <w:rPr>
                <w:sz w:val="20"/>
                <w:szCs w:val="20"/>
                <w:color w:val="auto"/>
              </w:rPr>
            </w:pPr>
            <w:r>
              <w:rPr>
                <w:rFonts w:ascii="Arial" w:cs="Arial" w:eastAsia="Arial" w:hAnsi="Arial"/>
                <w:sz w:val="16"/>
                <w:szCs w:val="16"/>
                <w:color w:val="auto"/>
              </w:rPr>
              <w:t>550,000</w:t>
            </w:r>
          </w:p>
        </w:tc>
        <w:tc>
          <w:tcPr>
            <w:tcW w:w="960" w:type="dxa"/>
            <w:vAlign w:val="bottom"/>
          </w:tcPr>
          <w:p>
            <w:pPr>
              <w:jc w:val="center"/>
              <w:spacing w:after="0"/>
              <w:rPr>
                <w:sz w:val="20"/>
                <w:szCs w:val="20"/>
                <w:color w:val="auto"/>
              </w:rPr>
            </w:pPr>
            <w:r>
              <w:rPr>
                <w:rFonts w:ascii="Arial" w:cs="Arial" w:eastAsia="Arial" w:hAnsi="Arial"/>
                <w:sz w:val="16"/>
                <w:szCs w:val="16"/>
                <w:color w:val="auto"/>
              </w:rPr>
              <w:t>-</w:t>
            </w:r>
          </w:p>
        </w:tc>
        <w:tc>
          <w:tcPr>
            <w:tcW w:w="1080" w:type="dxa"/>
            <w:vAlign w:val="bottom"/>
          </w:tcPr>
          <w:p>
            <w:pPr>
              <w:jc w:val="center"/>
              <w:spacing w:after="0"/>
              <w:rPr>
                <w:sz w:val="20"/>
                <w:szCs w:val="20"/>
                <w:color w:val="auto"/>
              </w:rPr>
            </w:pPr>
            <w:r>
              <w:rPr>
                <w:rFonts w:ascii="Arial" w:cs="Arial" w:eastAsia="Arial" w:hAnsi="Arial"/>
                <w:sz w:val="16"/>
                <w:szCs w:val="16"/>
                <w:color w:val="auto"/>
              </w:rPr>
              <w:t>2,929,518</w:t>
            </w:r>
          </w:p>
        </w:tc>
        <w:tc>
          <w:tcPr>
            <w:tcW w:w="860" w:type="dxa"/>
            <w:vAlign w:val="bottom"/>
          </w:tcPr>
          <w:p>
            <w:pPr>
              <w:jc w:val="center"/>
              <w:spacing w:after="0"/>
              <w:rPr>
                <w:sz w:val="20"/>
                <w:szCs w:val="20"/>
                <w:color w:val="auto"/>
              </w:rPr>
            </w:pPr>
            <w:r>
              <w:rPr>
                <w:rFonts w:ascii="Arial" w:cs="Arial" w:eastAsia="Arial" w:hAnsi="Arial"/>
                <w:sz w:val="16"/>
                <w:szCs w:val="16"/>
                <w:color w:val="auto"/>
              </w:rPr>
              <w:t>-</w:t>
            </w:r>
          </w:p>
        </w:tc>
        <w:tc>
          <w:tcPr>
            <w:tcW w:w="1600" w:type="dxa"/>
            <w:vAlign w:val="bottom"/>
          </w:tcPr>
          <w:p>
            <w:pPr>
              <w:jc w:val="center"/>
              <w:spacing w:after="0"/>
              <w:rPr>
                <w:sz w:val="20"/>
                <w:szCs w:val="20"/>
                <w:color w:val="auto"/>
              </w:rPr>
            </w:pPr>
            <w:r>
              <w:rPr>
                <w:rFonts w:ascii="Arial" w:cs="Arial" w:eastAsia="Arial" w:hAnsi="Arial"/>
                <w:sz w:val="16"/>
                <w:szCs w:val="16"/>
                <w:color w:val="auto"/>
              </w:rPr>
              <w:t>366,950</w:t>
            </w:r>
          </w:p>
        </w:tc>
        <w:tc>
          <w:tcPr>
            <w:tcW w:w="1460" w:type="dxa"/>
            <w:vAlign w:val="bottom"/>
          </w:tcPr>
          <w:p>
            <w:pPr>
              <w:jc w:val="center"/>
              <w:spacing w:after="0"/>
              <w:rPr>
                <w:sz w:val="20"/>
                <w:szCs w:val="20"/>
                <w:color w:val="auto"/>
              </w:rPr>
            </w:pPr>
            <w:r>
              <w:rPr>
                <w:rFonts w:ascii="Arial" w:cs="Arial" w:eastAsia="Arial" w:hAnsi="Arial"/>
                <w:sz w:val="16"/>
                <w:szCs w:val="16"/>
                <w:color w:val="auto"/>
                <w:w w:val="93"/>
              </w:rPr>
              <w:t>13,630</w:t>
            </w:r>
            <w:r>
              <w:rPr>
                <w:rFonts w:ascii="Arial" w:cs="Arial" w:eastAsia="Arial" w:hAnsi="Arial"/>
                <w:sz w:val="21"/>
                <w:szCs w:val="21"/>
                <w:color w:val="auto"/>
                <w:w w:val="93"/>
                <w:vertAlign w:val="superscript"/>
              </w:rPr>
              <w:t>(5)</w:t>
            </w:r>
          </w:p>
        </w:tc>
        <w:tc>
          <w:tcPr>
            <w:tcW w:w="1060" w:type="dxa"/>
            <w:vAlign w:val="bottom"/>
          </w:tcPr>
          <w:p>
            <w:pPr>
              <w:jc w:val="center"/>
              <w:spacing w:after="0"/>
              <w:rPr>
                <w:sz w:val="20"/>
                <w:szCs w:val="20"/>
                <w:color w:val="auto"/>
              </w:rPr>
            </w:pPr>
            <w:r>
              <w:rPr>
                <w:rFonts w:ascii="Arial" w:cs="Arial" w:eastAsia="Arial" w:hAnsi="Arial"/>
                <w:sz w:val="16"/>
                <w:szCs w:val="16"/>
                <w:color w:val="auto"/>
              </w:rPr>
              <w:t>3,860,098</w:t>
            </w:r>
          </w:p>
        </w:tc>
        <w:tc>
          <w:tcPr>
            <w:tcW w:w="0" w:type="dxa"/>
            <w:vAlign w:val="bottom"/>
          </w:tcPr>
          <w:p>
            <w:pPr>
              <w:spacing w:after="0"/>
              <w:rPr>
                <w:sz w:val="1"/>
                <w:szCs w:val="1"/>
                <w:color w:val="auto"/>
              </w:rPr>
            </w:pPr>
          </w:p>
        </w:tc>
      </w:tr>
      <w:tr>
        <w:trPr>
          <w:trHeight w:val="95"/>
        </w:trPr>
        <w:tc>
          <w:tcPr>
            <w:tcW w:w="2620" w:type="dxa"/>
            <w:vAlign w:val="bottom"/>
            <w:vMerge w:val="continue"/>
          </w:tcPr>
          <w:p>
            <w:pPr>
              <w:spacing w:after="0"/>
              <w:rPr>
                <w:sz w:val="8"/>
                <w:szCs w:val="8"/>
                <w:color w:val="auto"/>
              </w:rPr>
            </w:pPr>
          </w:p>
        </w:tc>
        <w:tc>
          <w:tcPr>
            <w:tcW w:w="760" w:type="dxa"/>
            <w:vAlign w:val="bottom"/>
            <w:vMerge w:val="restart"/>
          </w:tcPr>
          <w:p>
            <w:pPr>
              <w:ind w:left="300"/>
              <w:spacing w:after="0"/>
              <w:rPr>
                <w:sz w:val="20"/>
                <w:szCs w:val="20"/>
                <w:color w:val="auto"/>
              </w:rPr>
            </w:pPr>
            <w:r>
              <w:rPr>
                <w:rFonts w:ascii="Arial" w:cs="Arial" w:eastAsia="Arial" w:hAnsi="Arial"/>
                <w:sz w:val="16"/>
                <w:szCs w:val="16"/>
                <w:color w:val="auto"/>
              </w:rPr>
              <w:t>2023</w:t>
            </w:r>
          </w:p>
        </w:tc>
        <w:tc>
          <w:tcPr>
            <w:tcW w:w="820" w:type="dxa"/>
            <w:vAlign w:val="bottom"/>
            <w:vMerge w:val="restart"/>
          </w:tcPr>
          <w:p>
            <w:pPr>
              <w:jc w:val="center"/>
              <w:spacing w:after="0"/>
              <w:rPr>
                <w:sz w:val="20"/>
                <w:szCs w:val="20"/>
                <w:color w:val="auto"/>
              </w:rPr>
            </w:pPr>
            <w:r>
              <w:rPr>
                <w:rFonts w:ascii="Arial" w:cs="Arial" w:eastAsia="Arial" w:hAnsi="Arial"/>
                <w:sz w:val="16"/>
                <w:szCs w:val="16"/>
                <w:color w:val="auto"/>
              </w:rPr>
              <w:t>550,000</w:t>
            </w:r>
          </w:p>
        </w:tc>
        <w:tc>
          <w:tcPr>
            <w:tcW w:w="960" w:type="dxa"/>
            <w:vAlign w:val="bottom"/>
            <w:vMerge w:val="restart"/>
          </w:tcPr>
          <w:p>
            <w:pPr>
              <w:jc w:val="center"/>
              <w:spacing w:after="0"/>
              <w:rPr>
                <w:sz w:val="20"/>
                <w:szCs w:val="20"/>
                <w:color w:val="auto"/>
              </w:rPr>
            </w:pPr>
            <w:r>
              <w:rPr>
                <w:rFonts w:ascii="Arial" w:cs="Arial" w:eastAsia="Arial" w:hAnsi="Arial"/>
                <w:sz w:val="16"/>
                <w:szCs w:val="16"/>
                <w:color w:val="auto"/>
              </w:rPr>
              <w:t>-</w:t>
            </w:r>
          </w:p>
        </w:tc>
        <w:tc>
          <w:tcPr>
            <w:tcW w:w="1080" w:type="dxa"/>
            <w:vAlign w:val="bottom"/>
            <w:vMerge w:val="restart"/>
          </w:tcPr>
          <w:p>
            <w:pPr>
              <w:jc w:val="center"/>
              <w:spacing w:after="0"/>
              <w:rPr>
                <w:sz w:val="20"/>
                <w:szCs w:val="20"/>
                <w:color w:val="auto"/>
              </w:rPr>
            </w:pPr>
            <w:r>
              <w:rPr>
                <w:rFonts w:ascii="Arial" w:cs="Arial" w:eastAsia="Arial" w:hAnsi="Arial"/>
                <w:sz w:val="16"/>
                <w:szCs w:val="16"/>
                <w:color w:val="auto"/>
              </w:rPr>
              <w:t>3,897,837</w:t>
            </w:r>
          </w:p>
        </w:tc>
        <w:tc>
          <w:tcPr>
            <w:tcW w:w="860" w:type="dxa"/>
            <w:vAlign w:val="bottom"/>
            <w:vMerge w:val="restart"/>
          </w:tcPr>
          <w:p>
            <w:pPr>
              <w:jc w:val="center"/>
              <w:spacing w:after="0"/>
              <w:rPr>
                <w:sz w:val="20"/>
                <w:szCs w:val="20"/>
                <w:color w:val="auto"/>
              </w:rPr>
            </w:pPr>
            <w:r>
              <w:rPr>
                <w:rFonts w:ascii="Arial" w:cs="Arial" w:eastAsia="Arial" w:hAnsi="Arial"/>
                <w:sz w:val="16"/>
                <w:szCs w:val="16"/>
                <w:color w:val="auto"/>
              </w:rPr>
              <w:t>-</w:t>
            </w:r>
          </w:p>
        </w:tc>
        <w:tc>
          <w:tcPr>
            <w:tcW w:w="1600" w:type="dxa"/>
            <w:vAlign w:val="bottom"/>
            <w:vMerge w:val="restart"/>
          </w:tcPr>
          <w:p>
            <w:pPr>
              <w:jc w:val="center"/>
              <w:spacing w:after="0"/>
              <w:rPr>
                <w:sz w:val="20"/>
                <w:szCs w:val="20"/>
                <w:color w:val="auto"/>
              </w:rPr>
            </w:pPr>
            <w:r>
              <w:rPr>
                <w:rFonts w:ascii="Arial" w:cs="Arial" w:eastAsia="Arial" w:hAnsi="Arial"/>
                <w:sz w:val="16"/>
                <w:szCs w:val="16"/>
                <w:color w:val="auto"/>
              </w:rPr>
              <w:t>471,700</w:t>
            </w:r>
          </w:p>
        </w:tc>
        <w:tc>
          <w:tcPr>
            <w:tcW w:w="1460" w:type="dxa"/>
            <w:vAlign w:val="bottom"/>
            <w:vMerge w:val="restart"/>
          </w:tcPr>
          <w:p>
            <w:pPr>
              <w:jc w:val="center"/>
              <w:spacing w:after="0"/>
              <w:rPr>
                <w:sz w:val="20"/>
                <w:szCs w:val="20"/>
                <w:color w:val="auto"/>
              </w:rPr>
            </w:pPr>
            <w:r>
              <w:rPr>
                <w:rFonts w:ascii="Arial" w:cs="Arial" w:eastAsia="Arial" w:hAnsi="Arial"/>
                <w:sz w:val="16"/>
                <w:szCs w:val="16"/>
                <w:color w:val="auto"/>
                <w:w w:val="93"/>
              </w:rPr>
              <w:t>12,750</w:t>
            </w:r>
            <w:r>
              <w:rPr>
                <w:rFonts w:ascii="Arial" w:cs="Arial" w:eastAsia="Arial" w:hAnsi="Arial"/>
                <w:sz w:val="21"/>
                <w:szCs w:val="21"/>
                <w:color w:val="auto"/>
                <w:w w:val="93"/>
                <w:vertAlign w:val="superscript"/>
              </w:rPr>
              <w:t>(6)</w:t>
            </w:r>
          </w:p>
        </w:tc>
        <w:tc>
          <w:tcPr>
            <w:tcW w:w="1060" w:type="dxa"/>
            <w:vAlign w:val="bottom"/>
            <w:vMerge w:val="restart"/>
          </w:tcPr>
          <w:p>
            <w:pPr>
              <w:jc w:val="center"/>
              <w:spacing w:after="0"/>
              <w:rPr>
                <w:sz w:val="20"/>
                <w:szCs w:val="20"/>
                <w:color w:val="auto"/>
              </w:rPr>
            </w:pPr>
            <w:r>
              <w:rPr>
                <w:rFonts w:ascii="Arial" w:cs="Arial" w:eastAsia="Arial" w:hAnsi="Arial"/>
                <w:sz w:val="16"/>
                <w:szCs w:val="16"/>
                <w:color w:val="auto"/>
              </w:rPr>
              <w:t>4,932,287</w:t>
            </w:r>
          </w:p>
        </w:tc>
        <w:tc>
          <w:tcPr>
            <w:tcW w:w="0" w:type="dxa"/>
            <w:vAlign w:val="bottom"/>
          </w:tcPr>
          <w:p>
            <w:pPr>
              <w:spacing w:after="0"/>
              <w:rPr>
                <w:sz w:val="1"/>
                <w:szCs w:val="1"/>
                <w:color w:val="auto"/>
              </w:rPr>
            </w:pPr>
          </w:p>
        </w:tc>
      </w:tr>
      <w:tr>
        <w:trPr>
          <w:trHeight w:val="148"/>
        </w:trPr>
        <w:tc>
          <w:tcPr>
            <w:tcW w:w="2620" w:type="dxa"/>
            <w:vAlign w:val="bottom"/>
            <w:vMerge w:val="restart"/>
          </w:tcPr>
          <w:p>
            <w:pPr>
              <w:ind w:left="20"/>
              <w:spacing w:after="0"/>
              <w:rPr>
                <w:sz w:val="20"/>
                <w:szCs w:val="20"/>
                <w:color w:val="auto"/>
              </w:rPr>
            </w:pPr>
            <w:r>
              <w:rPr>
                <w:rFonts w:ascii="Arial" w:cs="Arial" w:eastAsia="Arial" w:hAnsi="Arial"/>
                <w:sz w:val="16"/>
                <w:szCs w:val="16"/>
                <w:color w:val="auto"/>
              </w:rPr>
              <w:t>Chief Financial Officer</w:t>
            </w:r>
          </w:p>
        </w:tc>
        <w:tc>
          <w:tcPr>
            <w:tcW w:w="76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960" w:type="dxa"/>
            <w:vAlign w:val="bottom"/>
            <w:vMerge w:val="continue"/>
          </w:tcPr>
          <w:p>
            <w:pPr>
              <w:spacing w:after="0"/>
              <w:rPr>
                <w:sz w:val="12"/>
                <w:szCs w:val="12"/>
                <w:color w:val="auto"/>
              </w:rPr>
            </w:pPr>
          </w:p>
        </w:tc>
        <w:tc>
          <w:tcPr>
            <w:tcW w:w="108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160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1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6"/>
        </w:trPr>
        <w:tc>
          <w:tcPr>
            <w:tcW w:w="2620" w:type="dxa"/>
            <w:vAlign w:val="bottom"/>
            <w:vMerge w:val="continue"/>
          </w:tcPr>
          <w:p>
            <w:pPr>
              <w:spacing w:after="0"/>
              <w:rPr>
                <w:sz w:val="5"/>
                <w:szCs w:val="5"/>
                <w:color w:val="auto"/>
              </w:rPr>
            </w:pPr>
          </w:p>
        </w:tc>
        <w:tc>
          <w:tcPr>
            <w:tcW w:w="760" w:type="dxa"/>
            <w:vAlign w:val="bottom"/>
            <w:vMerge w:val="restart"/>
          </w:tcPr>
          <w:p>
            <w:pPr>
              <w:ind w:left="300"/>
              <w:spacing w:after="0"/>
              <w:rPr>
                <w:sz w:val="20"/>
                <w:szCs w:val="20"/>
                <w:color w:val="auto"/>
              </w:rPr>
            </w:pPr>
            <w:r>
              <w:rPr>
                <w:rFonts w:ascii="Arial" w:cs="Arial" w:eastAsia="Arial" w:hAnsi="Arial"/>
                <w:sz w:val="16"/>
                <w:szCs w:val="16"/>
                <w:color w:val="auto"/>
              </w:rPr>
              <w:t>2022</w:t>
            </w:r>
          </w:p>
        </w:tc>
        <w:tc>
          <w:tcPr>
            <w:tcW w:w="820" w:type="dxa"/>
            <w:vAlign w:val="bottom"/>
            <w:vMerge w:val="restart"/>
          </w:tcPr>
          <w:p>
            <w:pPr>
              <w:jc w:val="center"/>
              <w:spacing w:after="0"/>
              <w:rPr>
                <w:sz w:val="20"/>
                <w:szCs w:val="20"/>
                <w:color w:val="auto"/>
              </w:rPr>
            </w:pPr>
            <w:r>
              <w:rPr>
                <w:rFonts w:ascii="Arial" w:cs="Arial" w:eastAsia="Arial" w:hAnsi="Arial"/>
                <w:sz w:val="16"/>
                <w:szCs w:val="16"/>
                <w:color w:val="auto"/>
              </w:rPr>
              <w:t>550,000</w:t>
            </w:r>
          </w:p>
        </w:tc>
        <w:tc>
          <w:tcPr>
            <w:tcW w:w="960" w:type="dxa"/>
            <w:vAlign w:val="bottom"/>
            <w:vMerge w:val="restart"/>
          </w:tcPr>
          <w:p>
            <w:pPr>
              <w:jc w:val="center"/>
              <w:spacing w:after="0"/>
              <w:rPr>
                <w:sz w:val="20"/>
                <w:szCs w:val="20"/>
                <w:color w:val="auto"/>
              </w:rPr>
            </w:pPr>
            <w:r>
              <w:rPr>
                <w:rFonts w:ascii="Arial" w:cs="Arial" w:eastAsia="Arial" w:hAnsi="Arial"/>
                <w:sz w:val="16"/>
                <w:szCs w:val="16"/>
                <w:color w:val="auto"/>
              </w:rPr>
              <w:t>-</w:t>
            </w:r>
          </w:p>
        </w:tc>
        <w:tc>
          <w:tcPr>
            <w:tcW w:w="1080" w:type="dxa"/>
            <w:vAlign w:val="bottom"/>
            <w:vMerge w:val="restart"/>
          </w:tcPr>
          <w:p>
            <w:pPr>
              <w:jc w:val="center"/>
              <w:spacing w:after="0"/>
              <w:rPr>
                <w:sz w:val="20"/>
                <w:szCs w:val="20"/>
                <w:color w:val="auto"/>
              </w:rPr>
            </w:pPr>
            <w:r>
              <w:rPr>
                <w:rFonts w:ascii="Arial" w:cs="Arial" w:eastAsia="Arial" w:hAnsi="Arial"/>
                <w:sz w:val="16"/>
                <w:szCs w:val="16"/>
                <w:color w:val="auto"/>
              </w:rPr>
              <w:t>3,074,684</w:t>
            </w:r>
          </w:p>
        </w:tc>
        <w:tc>
          <w:tcPr>
            <w:tcW w:w="860" w:type="dxa"/>
            <w:vAlign w:val="bottom"/>
            <w:vMerge w:val="restart"/>
          </w:tcPr>
          <w:p>
            <w:pPr>
              <w:jc w:val="center"/>
              <w:spacing w:after="0"/>
              <w:rPr>
                <w:sz w:val="20"/>
                <w:szCs w:val="20"/>
                <w:color w:val="auto"/>
              </w:rPr>
            </w:pPr>
            <w:r>
              <w:rPr>
                <w:rFonts w:ascii="Arial" w:cs="Arial" w:eastAsia="Arial" w:hAnsi="Arial"/>
                <w:sz w:val="16"/>
                <w:szCs w:val="16"/>
                <w:color w:val="auto"/>
              </w:rPr>
              <w:t>-</w:t>
            </w:r>
          </w:p>
        </w:tc>
        <w:tc>
          <w:tcPr>
            <w:tcW w:w="1600" w:type="dxa"/>
            <w:vAlign w:val="bottom"/>
            <w:vMerge w:val="restart"/>
          </w:tcPr>
          <w:p>
            <w:pPr>
              <w:jc w:val="center"/>
              <w:spacing w:after="0"/>
              <w:rPr>
                <w:sz w:val="20"/>
                <w:szCs w:val="20"/>
                <w:color w:val="auto"/>
              </w:rPr>
            </w:pPr>
            <w:r>
              <w:rPr>
                <w:rFonts w:ascii="Arial" w:cs="Arial" w:eastAsia="Arial" w:hAnsi="Arial"/>
                <w:sz w:val="16"/>
                <w:szCs w:val="16"/>
                <w:color w:val="auto"/>
              </w:rPr>
              <w:t>365,200</w:t>
            </w:r>
          </w:p>
        </w:tc>
        <w:tc>
          <w:tcPr>
            <w:tcW w:w="1460" w:type="dxa"/>
            <w:vAlign w:val="bottom"/>
            <w:vMerge w:val="restart"/>
          </w:tcPr>
          <w:p>
            <w:pPr>
              <w:jc w:val="center"/>
              <w:spacing w:after="0" w:line="230" w:lineRule="exact"/>
              <w:rPr>
                <w:sz w:val="20"/>
                <w:szCs w:val="20"/>
                <w:color w:val="auto"/>
              </w:rPr>
            </w:pPr>
            <w:r>
              <w:rPr>
                <w:rFonts w:ascii="Arial" w:cs="Arial" w:eastAsia="Arial" w:hAnsi="Arial"/>
                <w:sz w:val="16"/>
                <w:szCs w:val="16"/>
                <w:color w:val="auto"/>
                <w:w w:val="93"/>
              </w:rPr>
              <w:t>11,750</w:t>
            </w:r>
            <w:r>
              <w:rPr>
                <w:rFonts w:ascii="Arial" w:cs="Arial" w:eastAsia="Arial" w:hAnsi="Arial"/>
                <w:sz w:val="21"/>
                <w:szCs w:val="21"/>
                <w:color w:val="auto"/>
                <w:w w:val="93"/>
                <w:vertAlign w:val="superscript"/>
              </w:rPr>
              <w:t>(7)</w:t>
            </w:r>
          </w:p>
        </w:tc>
        <w:tc>
          <w:tcPr>
            <w:tcW w:w="1060" w:type="dxa"/>
            <w:vAlign w:val="bottom"/>
            <w:vMerge w:val="restart"/>
          </w:tcPr>
          <w:p>
            <w:pPr>
              <w:jc w:val="center"/>
              <w:spacing w:after="0"/>
              <w:rPr>
                <w:sz w:val="20"/>
                <w:szCs w:val="20"/>
                <w:color w:val="auto"/>
              </w:rPr>
            </w:pPr>
            <w:r>
              <w:rPr>
                <w:rFonts w:ascii="Arial" w:cs="Arial" w:eastAsia="Arial" w:hAnsi="Arial"/>
                <w:sz w:val="16"/>
                <w:szCs w:val="16"/>
                <w:color w:val="auto"/>
              </w:rPr>
              <w:t>4,001,634</w:t>
            </w:r>
          </w:p>
        </w:tc>
        <w:tc>
          <w:tcPr>
            <w:tcW w:w="0" w:type="dxa"/>
            <w:vAlign w:val="bottom"/>
          </w:tcPr>
          <w:p>
            <w:pPr>
              <w:spacing w:after="0"/>
              <w:rPr>
                <w:sz w:val="1"/>
                <w:szCs w:val="1"/>
                <w:color w:val="auto"/>
              </w:rPr>
            </w:pPr>
          </w:p>
        </w:tc>
      </w:tr>
      <w:tr>
        <w:trPr>
          <w:trHeight w:val="164"/>
        </w:trPr>
        <w:tc>
          <w:tcPr>
            <w:tcW w:w="26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1080" w:type="dxa"/>
            <w:vAlign w:val="bottom"/>
            <w:tcBorders>
              <w:bottom w:val="single" w:sz="8" w:color="auto"/>
            </w:tcBorders>
            <w:vMerge w:val="continue"/>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1600" w:type="dxa"/>
            <w:vAlign w:val="bottom"/>
            <w:tcBorders>
              <w:bottom w:val="single" w:sz="8" w:color="auto"/>
            </w:tcBorders>
            <w:vMerge w:val="continue"/>
          </w:tcPr>
          <w:p>
            <w:pPr>
              <w:spacing w:after="0"/>
              <w:rPr>
                <w:sz w:val="14"/>
                <w:szCs w:val="14"/>
                <w:color w:val="auto"/>
              </w:rPr>
            </w:pPr>
          </w:p>
        </w:tc>
        <w:tc>
          <w:tcPr>
            <w:tcW w:w="1460" w:type="dxa"/>
            <w:vAlign w:val="bottom"/>
            <w:tcBorders>
              <w:bottom w:val="single" w:sz="8" w:color="auto"/>
            </w:tcBorders>
            <w:vMerge w:val="continue"/>
          </w:tcPr>
          <w:p>
            <w:pPr>
              <w:spacing w:after="0"/>
              <w:rPr>
                <w:sz w:val="14"/>
                <w:szCs w:val="14"/>
                <w:color w:val="auto"/>
              </w:rPr>
            </w:pPr>
          </w:p>
        </w:tc>
        <w:tc>
          <w:tcPr>
            <w:tcW w:w="10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620" w:type="dxa"/>
            <w:vAlign w:val="bottom"/>
          </w:tcPr>
          <w:p>
            <w:pPr>
              <w:ind w:left="20"/>
              <w:spacing w:after="0"/>
              <w:rPr>
                <w:sz w:val="20"/>
                <w:szCs w:val="20"/>
                <w:color w:val="auto"/>
              </w:rPr>
            </w:pPr>
            <w:r>
              <w:rPr>
                <w:rFonts w:ascii="Arial" w:cs="Arial" w:eastAsia="Arial" w:hAnsi="Arial"/>
                <w:sz w:val="16"/>
                <w:szCs w:val="16"/>
                <w:color w:val="auto"/>
              </w:rPr>
              <w:t>John Caine Former</w:t>
            </w:r>
          </w:p>
        </w:tc>
        <w:tc>
          <w:tcPr>
            <w:tcW w:w="760" w:type="dxa"/>
            <w:vAlign w:val="bottom"/>
          </w:tcPr>
          <w:p>
            <w:pPr>
              <w:ind w:left="300"/>
              <w:spacing w:after="0"/>
              <w:rPr>
                <w:sz w:val="20"/>
                <w:szCs w:val="20"/>
                <w:color w:val="auto"/>
              </w:rPr>
            </w:pPr>
            <w:r>
              <w:rPr>
                <w:rFonts w:ascii="Arial" w:cs="Arial" w:eastAsia="Arial" w:hAnsi="Arial"/>
                <w:sz w:val="16"/>
                <w:szCs w:val="16"/>
                <w:color w:val="auto"/>
              </w:rPr>
              <w:t>2024</w:t>
            </w:r>
          </w:p>
        </w:tc>
        <w:tc>
          <w:tcPr>
            <w:tcW w:w="820" w:type="dxa"/>
            <w:vAlign w:val="bottom"/>
          </w:tcPr>
          <w:p>
            <w:pPr>
              <w:jc w:val="center"/>
              <w:spacing w:after="0"/>
              <w:rPr>
                <w:sz w:val="20"/>
                <w:szCs w:val="20"/>
                <w:color w:val="auto"/>
              </w:rPr>
            </w:pPr>
            <w:r>
              <w:rPr>
                <w:rFonts w:ascii="Arial" w:cs="Arial" w:eastAsia="Arial" w:hAnsi="Arial"/>
                <w:sz w:val="16"/>
                <w:szCs w:val="16"/>
                <w:color w:val="auto"/>
              </w:rPr>
              <w:t>346,154</w:t>
            </w:r>
          </w:p>
        </w:tc>
        <w:tc>
          <w:tcPr>
            <w:tcW w:w="960" w:type="dxa"/>
            <w:vAlign w:val="bottom"/>
          </w:tcPr>
          <w:p>
            <w:pPr>
              <w:jc w:val="center"/>
              <w:spacing w:after="0"/>
              <w:rPr>
                <w:sz w:val="20"/>
                <w:szCs w:val="20"/>
                <w:color w:val="auto"/>
              </w:rPr>
            </w:pPr>
            <w:r>
              <w:rPr>
                <w:rFonts w:ascii="Arial" w:cs="Arial" w:eastAsia="Arial" w:hAnsi="Arial"/>
                <w:sz w:val="16"/>
                <w:szCs w:val="16"/>
                <w:color w:val="auto"/>
              </w:rPr>
              <w:t>-</w:t>
            </w:r>
          </w:p>
        </w:tc>
        <w:tc>
          <w:tcPr>
            <w:tcW w:w="1080" w:type="dxa"/>
            <w:vAlign w:val="bottom"/>
          </w:tcPr>
          <w:p>
            <w:pPr>
              <w:jc w:val="center"/>
              <w:spacing w:after="0"/>
              <w:rPr>
                <w:sz w:val="20"/>
                <w:szCs w:val="20"/>
                <w:color w:val="auto"/>
              </w:rPr>
            </w:pPr>
            <w:r>
              <w:rPr>
                <w:rFonts w:ascii="Arial" w:cs="Arial" w:eastAsia="Arial" w:hAnsi="Arial"/>
                <w:sz w:val="16"/>
                <w:szCs w:val="16"/>
                <w:color w:val="auto"/>
              </w:rPr>
              <w:t>897,735</w:t>
            </w:r>
          </w:p>
        </w:tc>
        <w:tc>
          <w:tcPr>
            <w:tcW w:w="860" w:type="dxa"/>
            <w:vAlign w:val="bottom"/>
          </w:tcPr>
          <w:p>
            <w:pPr>
              <w:jc w:val="center"/>
              <w:spacing w:after="0"/>
              <w:rPr>
                <w:sz w:val="20"/>
                <w:szCs w:val="20"/>
                <w:color w:val="auto"/>
              </w:rPr>
            </w:pPr>
            <w:r>
              <w:rPr>
                <w:rFonts w:ascii="Arial" w:cs="Arial" w:eastAsia="Arial" w:hAnsi="Arial"/>
                <w:sz w:val="16"/>
                <w:szCs w:val="16"/>
                <w:color w:val="auto"/>
              </w:rPr>
              <w:t>-</w:t>
            </w:r>
          </w:p>
        </w:tc>
        <w:tc>
          <w:tcPr>
            <w:tcW w:w="1600" w:type="dxa"/>
            <w:vAlign w:val="bottom"/>
          </w:tcPr>
          <w:p>
            <w:pPr>
              <w:jc w:val="center"/>
              <w:spacing w:after="0"/>
              <w:rPr>
                <w:sz w:val="20"/>
                <w:szCs w:val="20"/>
                <w:color w:val="auto"/>
              </w:rPr>
            </w:pPr>
            <w:r>
              <w:rPr>
                <w:rFonts w:ascii="Arial" w:cs="Arial" w:eastAsia="Arial" w:hAnsi="Arial"/>
                <w:sz w:val="16"/>
                <w:szCs w:val="16"/>
                <w:color w:val="auto"/>
              </w:rPr>
              <w:t>161,350</w:t>
            </w:r>
          </w:p>
        </w:tc>
        <w:tc>
          <w:tcPr>
            <w:tcW w:w="1460" w:type="dxa"/>
            <w:vAlign w:val="bottom"/>
          </w:tcPr>
          <w:p>
            <w:pPr>
              <w:jc w:val="center"/>
              <w:spacing w:after="0" w:line="223" w:lineRule="exact"/>
              <w:rPr>
                <w:sz w:val="20"/>
                <w:szCs w:val="20"/>
                <w:color w:val="auto"/>
              </w:rPr>
            </w:pPr>
            <w:r>
              <w:rPr>
                <w:rFonts w:ascii="Arial" w:cs="Arial" w:eastAsia="Arial" w:hAnsi="Arial"/>
                <w:sz w:val="16"/>
                <w:szCs w:val="16"/>
                <w:color w:val="auto"/>
                <w:w w:val="93"/>
              </w:rPr>
              <w:t>532,689</w:t>
            </w:r>
            <w:r>
              <w:rPr>
                <w:rFonts w:ascii="Arial" w:cs="Arial" w:eastAsia="Arial" w:hAnsi="Arial"/>
                <w:sz w:val="21"/>
                <w:szCs w:val="21"/>
                <w:color w:val="auto"/>
                <w:w w:val="93"/>
                <w:vertAlign w:val="superscript"/>
              </w:rPr>
              <w:t>(8)</w:t>
            </w:r>
          </w:p>
        </w:tc>
        <w:tc>
          <w:tcPr>
            <w:tcW w:w="1060" w:type="dxa"/>
            <w:vAlign w:val="bottom"/>
          </w:tcPr>
          <w:p>
            <w:pPr>
              <w:jc w:val="center"/>
              <w:spacing w:after="0"/>
              <w:rPr>
                <w:sz w:val="20"/>
                <w:szCs w:val="20"/>
                <w:color w:val="auto"/>
              </w:rPr>
            </w:pPr>
            <w:r>
              <w:rPr>
                <w:rFonts w:ascii="Arial" w:cs="Arial" w:eastAsia="Arial" w:hAnsi="Arial"/>
                <w:sz w:val="16"/>
                <w:szCs w:val="16"/>
                <w:color w:val="auto"/>
              </w:rPr>
              <w:t>1,937,927</w:t>
            </w:r>
          </w:p>
        </w:tc>
        <w:tc>
          <w:tcPr>
            <w:tcW w:w="0" w:type="dxa"/>
            <w:vAlign w:val="bottom"/>
          </w:tcPr>
          <w:p>
            <w:pPr>
              <w:spacing w:after="0"/>
              <w:rPr>
                <w:sz w:val="1"/>
                <w:szCs w:val="1"/>
                <w:color w:val="auto"/>
              </w:rPr>
            </w:pPr>
          </w:p>
        </w:tc>
      </w:tr>
      <w:tr>
        <w:trPr>
          <w:trHeight w:val="257"/>
        </w:trPr>
        <w:tc>
          <w:tcPr>
            <w:tcW w:w="26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Chief Product and Digital Officer</w:t>
            </w:r>
          </w:p>
        </w:tc>
        <w:tc>
          <w:tcPr>
            <w:tcW w:w="760" w:type="dxa"/>
            <w:vAlign w:val="bottom"/>
            <w:tcBorders>
              <w:bottom w:val="single" w:sz="8" w:color="auto"/>
            </w:tcBorders>
          </w:tcPr>
          <w:p>
            <w:pPr>
              <w:ind w:left="300"/>
              <w:spacing w:after="0"/>
              <w:rPr>
                <w:sz w:val="20"/>
                <w:szCs w:val="20"/>
                <w:color w:val="auto"/>
              </w:rPr>
            </w:pPr>
            <w:r>
              <w:rPr>
                <w:rFonts w:ascii="Arial" w:cs="Arial" w:eastAsia="Arial" w:hAnsi="Arial"/>
                <w:sz w:val="16"/>
                <w:szCs w:val="16"/>
                <w:color w:val="auto"/>
              </w:rPr>
              <w:t>2023</w:t>
            </w: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442,308</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3"/>
              </w:rPr>
              <w:t>150,000</w:t>
            </w:r>
            <w:r>
              <w:rPr>
                <w:rFonts w:ascii="Arial" w:cs="Arial" w:eastAsia="Arial" w:hAnsi="Arial"/>
                <w:sz w:val="21"/>
                <w:szCs w:val="21"/>
                <w:color w:val="auto"/>
                <w:w w:val="93"/>
                <w:vertAlign w:val="superscript"/>
              </w:rPr>
              <w:t>(9)</w:t>
            </w: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7,236,871</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321,600</w:t>
            </w: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9"/>
              </w:rPr>
              <w:t>5,328</w:t>
            </w:r>
            <w:r>
              <w:rPr>
                <w:rFonts w:ascii="Arial" w:cs="Arial" w:eastAsia="Arial" w:hAnsi="Arial"/>
                <w:sz w:val="21"/>
                <w:szCs w:val="21"/>
                <w:color w:val="auto"/>
                <w:w w:val="89"/>
                <w:vertAlign w:val="superscript"/>
              </w:rPr>
              <w:t>(10)</w:t>
            </w: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8,156,107</w:t>
            </w:r>
          </w:p>
        </w:tc>
        <w:tc>
          <w:tcPr>
            <w:tcW w:w="0" w:type="dxa"/>
            <w:vAlign w:val="bottom"/>
          </w:tcPr>
          <w:p>
            <w:pPr>
              <w:spacing w:after="0"/>
              <w:rPr>
                <w:sz w:val="1"/>
                <w:szCs w:val="1"/>
                <w:color w:val="auto"/>
              </w:rPr>
            </w:pPr>
          </w:p>
        </w:tc>
      </w:tr>
      <w:tr>
        <w:trPr>
          <w:trHeight w:val="209"/>
        </w:trPr>
        <w:tc>
          <w:tcPr>
            <w:tcW w:w="2620" w:type="dxa"/>
            <w:vAlign w:val="bottom"/>
          </w:tcPr>
          <w:p>
            <w:pPr>
              <w:ind w:left="20"/>
              <w:spacing w:after="0"/>
              <w:rPr>
                <w:sz w:val="20"/>
                <w:szCs w:val="20"/>
                <w:color w:val="auto"/>
              </w:rPr>
            </w:pPr>
            <w:r>
              <w:rPr>
                <w:rFonts w:ascii="Arial" w:cs="Arial" w:eastAsia="Arial" w:hAnsi="Arial"/>
                <w:sz w:val="16"/>
                <w:szCs w:val="16"/>
                <w:color w:val="auto"/>
              </w:rPr>
              <w:t>Rik Powell</w:t>
            </w:r>
          </w:p>
        </w:tc>
        <w:tc>
          <w:tcPr>
            <w:tcW w:w="760" w:type="dxa"/>
            <w:vAlign w:val="bottom"/>
            <w:vMerge w:val="restart"/>
          </w:tcPr>
          <w:p>
            <w:pPr>
              <w:ind w:left="300"/>
              <w:spacing w:after="0"/>
              <w:rPr>
                <w:sz w:val="20"/>
                <w:szCs w:val="20"/>
                <w:color w:val="auto"/>
              </w:rPr>
            </w:pPr>
            <w:r>
              <w:rPr>
                <w:rFonts w:ascii="Arial" w:cs="Arial" w:eastAsia="Arial" w:hAnsi="Arial"/>
                <w:sz w:val="16"/>
                <w:szCs w:val="16"/>
                <w:color w:val="auto"/>
              </w:rPr>
              <w:t>2024</w:t>
            </w:r>
          </w:p>
        </w:tc>
        <w:tc>
          <w:tcPr>
            <w:tcW w:w="820" w:type="dxa"/>
            <w:vAlign w:val="bottom"/>
            <w:vMerge w:val="restart"/>
          </w:tcPr>
          <w:p>
            <w:pPr>
              <w:jc w:val="center"/>
              <w:spacing w:after="0"/>
              <w:rPr>
                <w:sz w:val="20"/>
                <w:szCs w:val="20"/>
                <w:color w:val="auto"/>
              </w:rPr>
            </w:pPr>
            <w:r>
              <w:rPr>
                <w:rFonts w:ascii="Arial" w:cs="Arial" w:eastAsia="Arial" w:hAnsi="Arial"/>
                <w:sz w:val="16"/>
                <w:szCs w:val="16"/>
                <w:color w:val="auto"/>
              </w:rPr>
              <w:t>210,866</w:t>
            </w:r>
          </w:p>
        </w:tc>
        <w:tc>
          <w:tcPr>
            <w:tcW w:w="960" w:type="dxa"/>
            <w:vAlign w:val="bottom"/>
            <w:vMerge w:val="restart"/>
          </w:tcPr>
          <w:p>
            <w:pPr>
              <w:jc w:val="center"/>
              <w:spacing w:after="0"/>
              <w:rPr>
                <w:sz w:val="20"/>
                <w:szCs w:val="20"/>
                <w:color w:val="auto"/>
              </w:rPr>
            </w:pPr>
            <w:r>
              <w:rPr>
                <w:rFonts w:ascii="Arial" w:cs="Arial" w:eastAsia="Arial" w:hAnsi="Arial"/>
                <w:sz w:val="16"/>
                <w:szCs w:val="16"/>
                <w:color w:val="auto"/>
              </w:rPr>
              <w:t>-</w:t>
            </w:r>
          </w:p>
        </w:tc>
        <w:tc>
          <w:tcPr>
            <w:tcW w:w="1080" w:type="dxa"/>
            <w:vAlign w:val="bottom"/>
            <w:vMerge w:val="restart"/>
          </w:tcPr>
          <w:p>
            <w:pPr>
              <w:jc w:val="center"/>
              <w:spacing w:after="0"/>
              <w:rPr>
                <w:sz w:val="20"/>
                <w:szCs w:val="20"/>
                <w:color w:val="auto"/>
              </w:rPr>
            </w:pPr>
            <w:r>
              <w:rPr>
                <w:rFonts w:ascii="Arial" w:cs="Arial" w:eastAsia="Arial" w:hAnsi="Arial"/>
                <w:sz w:val="16"/>
                <w:szCs w:val="16"/>
                <w:color w:val="auto"/>
              </w:rPr>
              <w:t>683,989</w:t>
            </w:r>
          </w:p>
        </w:tc>
        <w:tc>
          <w:tcPr>
            <w:tcW w:w="860" w:type="dxa"/>
            <w:vAlign w:val="bottom"/>
            <w:vMerge w:val="restart"/>
          </w:tcPr>
          <w:p>
            <w:pPr>
              <w:jc w:val="center"/>
              <w:spacing w:after="0"/>
              <w:rPr>
                <w:sz w:val="20"/>
                <w:szCs w:val="20"/>
                <w:color w:val="auto"/>
              </w:rPr>
            </w:pPr>
            <w:r>
              <w:rPr>
                <w:rFonts w:ascii="Arial" w:cs="Arial" w:eastAsia="Arial" w:hAnsi="Arial"/>
                <w:sz w:val="16"/>
                <w:szCs w:val="16"/>
                <w:color w:val="auto"/>
              </w:rPr>
              <w:t>-</w:t>
            </w:r>
          </w:p>
        </w:tc>
        <w:tc>
          <w:tcPr>
            <w:tcW w:w="1600" w:type="dxa"/>
            <w:vAlign w:val="bottom"/>
            <w:vMerge w:val="restart"/>
          </w:tcPr>
          <w:p>
            <w:pPr>
              <w:jc w:val="center"/>
              <w:spacing w:after="0"/>
              <w:rPr>
                <w:sz w:val="20"/>
                <w:szCs w:val="20"/>
                <w:color w:val="auto"/>
              </w:rPr>
            </w:pPr>
            <w:r>
              <w:rPr>
                <w:rFonts w:ascii="Arial" w:cs="Arial" w:eastAsia="Arial" w:hAnsi="Arial"/>
                <w:sz w:val="16"/>
                <w:szCs w:val="16"/>
                <w:color w:val="auto"/>
              </w:rPr>
              <w:t>130,450</w:t>
            </w:r>
          </w:p>
        </w:tc>
        <w:tc>
          <w:tcPr>
            <w:tcW w:w="1460" w:type="dxa"/>
            <w:vAlign w:val="bottom"/>
            <w:vMerge w:val="restart"/>
          </w:tcPr>
          <w:p>
            <w:pPr>
              <w:jc w:val="center"/>
              <w:spacing w:after="0"/>
              <w:rPr>
                <w:sz w:val="20"/>
                <w:szCs w:val="20"/>
                <w:color w:val="auto"/>
              </w:rPr>
            </w:pPr>
            <w:r>
              <w:rPr>
                <w:rFonts w:ascii="Arial" w:cs="Arial" w:eastAsia="Arial" w:hAnsi="Arial"/>
                <w:sz w:val="16"/>
                <w:szCs w:val="16"/>
                <w:color w:val="auto"/>
                <w:w w:val="89"/>
              </w:rPr>
              <w:t>16,409</w:t>
            </w:r>
            <w:r>
              <w:rPr>
                <w:rFonts w:ascii="Arial" w:cs="Arial" w:eastAsia="Arial" w:hAnsi="Arial"/>
                <w:sz w:val="21"/>
                <w:szCs w:val="21"/>
                <w:color w:val="auto"/>
                <w:w w:val="89"/>
                <w:vertAlign w:val="superscript"/>
              </w:rPr>
              <w:t>(11)</w:t>
            </w:r>
          </w:p>
        </w:tc>
        <w:tc>
          <w:tcPr>
            <w:tcW w:w="1060" w:type="dxa"/>
            <w:vAlign w:val="bottom"/>
            <w:vMerge w:val="restart"/>
          </w:tcPr>
          <w:p>
            <w:pPr>
              <w:jc w:val="center"/>
              <w:spacing w:after="0"/>
              <w:rPr>
                <w:sz w:val="20"/>
                <w:szCs w:val="20"/>
                <w:color w:val="auto"/>
              </w:rPr>
            </w:pPr>
            <w:r>
              <w:rPr>
                <w:rFonts w:ascii="Arial" w:cs="Arial" w:eastAsia="Arial" w:hAnsi="Arial"/>
                <w:sz w:val="16"/>
                <w:szCs w:val="16"/>
                <w:color w:val="auto"/>
              </w:rPr>
              <w:t>1,041,714</w:t>
            </w:r>
          </w:p>
        </w:tc>
        <w:tc>
          <w:tcPr>
            <w:tcW w:w="0" w:type="dxa"/>
            <w:vAlign w:val="bottom"/>
          </w:tcPr>
          <w:p>
            <w:pPr>
              <w:spacing w:after="0"/>
              <w:rPr>
                <w:sz w:val="1"/>
                <w:szCs w:val="1"/>
                <w:color w:val="auto"/>
              </w:rPr>
            </w:pPr>
          </w:p>
        </w:tc>
      </w:tr>
      <w:tr>
        <w:trPr>
          <w:trHeight w:val="163"/>
        </w:trPr>
        <w:tc>
          <w:tcPr>
            <w:tcW w:w="2620" w:type="dxa"/>
            <w:vAlign w:val="bottom"/>
            <w:vMerge w:val="restart"/>
          </w:tcPr>
          <w:p>
            <w:pPr>
              <w:ind w:left="20"/>
              <w:spacing w:after="0"/>
              <w:rPr>
                <w:sz w:val="20"/>
                <w:szCs w:val="20"/>
                <w:color w:val="auto"/>
              </w:rPr>
            </w:pPr>
            <w:r>
              <w:rPr>
                <w:rFonts w:ascii="Arial" w:cs="Arial" w:eastAsia="Arial" w:hAnsi="Arial"/>
                <w:sz w:val="16"/>
                <w:szCs w:val="16"/>
                <w:color w:val="auto"/>
              </w:rPr>
              <w:t>Chief Financial Officer</w:t>
            </w:r>
          </w:p>
        </w:tc>
        <w:tc>
          <w:tcPr>
            <w:tcW w:w="76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1600" w:type="dxa"/>
            <w:vAlign w:val="bottom"/>
            <w:vMerge w:val="continue"/>
          </w:tcPr>
          <w:p>
            <w:pPr>
              <w:spacing w:after="0"/>
              <w:rPr>
                <w:sz w:val="14"/>
                <w:szCs w:val="14"/>
                <w:color w:val="auto"/>
              </w:rPr>
            </w:pPr>
          </w:p>
        </w:tc>
        <w:tc>
          <w:tcPr>
            <w:tcW w:w="146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62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82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
        </w:trPr>
        <w:tc>
          <w:tcPr>
            <w:tcW w:w="26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879"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220"/>
          </w:cols>
          <w:pgMar w:left="320" w:top="879" w:right="359" w:bottom="1440" w:gutter="0" w:footer="0" w:header="0"/>
          <w:type w:val="continuous"/>
        </w:sectPr>
      </w:pPr>
    </w:p>
    <w:bookmarkStart w:id="34" w:name="page35"/>
    <w:bookmarkEnd w:id="34"/>
    <w:p>
      <w:pPr>
        <w:ind w:left="340" w:hanging="332"/>
        <w:spacing w:after="0" w:line="260" w:lineRule="auto"/>
        <w:tabs>
          <w:tab w:leader="none" w:pos="344" w:val="left"/>
        </w:tabs>
        <w:numPr>
          <w:ilvl w:val="0"/>
          <w:numId w:val="27"/>
        </w:numPr>
        <w:rPr>
          <w:rFonts w:ascii="Arial" w:cs="Arial" w:eastAsia="Arial" w:hAnsi="Arial"/>
          <w:sz w:val="14"/>
          <w:szCs w:val="14"/>
          <w:color w:val="auto"/>
        </w:rPr>
      </w:pPr>
      <w:r>
        <w:rPr>
          <w:rFonts w:ascii="Arial" w:cs="Arial" w:eastAsia="Arial" w:hAnsi="Arial"/>
          <w:sz w:val="14"/>
          <w:szCs w:val="14"/>
          <w:color w:val="auto"/>
        </w:rPr>
        <w:t>Amounts represent the aggregate grant date fair value computed in accordance with ASC Topic 718 for RSUs and PSUs granted to the NEOs. In connection with Mr. Yahes’s resignation, RSUs granted in 2024 were forfeited as of November 1, 2024, and in connection with Mr. Caine’s termination, two-thirds of the RSUs granted in 2024 were forfeited and one-third vested as of September 11, 2024. For Mr. Oringer, Mr. Yahes and Mr. Caine, the Stock Awards column includes the grant date fair value of PSUs granted in 2024 for three annual tranches because the performance targets are set at the start of the three-year performance period. In connection with his departure, the PSUs granted in 2024 to Mr. Yahes were forfeited as of November 1, 2024. With respect to Mr. Caine, his PSUs earned based on 2024 performance vested, but his PSUs vesting based on future performance were forfeited as of September 11, 2024. For the PSUs awarded to Mr. Hennessy in 2022, each annual performance target is set at the start of each respective single-year performance period, and therefore, only one annual tranche of the PSUs is considered granted in each applicable year (2022, 2023, and 2024) under FASB Topic 718 and included in the Stock Awards Column for each year reported. A discussion of the assumptions used in determining grant date fair value may be found in Note 1 to our audited consolidated financial statements included in our Annual Report on Form 10-K for the year ended December 31, 2024. Please also refer to the Grants of Plan-Based Awards in 2024 table for information on stock award grants made in 2024. These amounts do not necessarily represent the actual value that may be realized by the NEOs. Of the amounts shown in 2024 for each NEO, PSUs are based on target performance for 2024 and represent: all of the Stock Awards for Mr. Oringer, $3,846,384 for Mr. Hennessy, $2,197,161 for Mr. Yahes, $673,313 for Mr. Caine, and $0 for Mr. Powell. For the PSUs granted in 2024, assuming the maximum performance level is achieved, the amounts that would be received with respect to the 2024 PSUs are as follows: Mr. Oringer, $7,406,619, Mr. Hennessy, $5,769,554, Mr. Yahes, $3,295,719, and Mr. Caine, $1,009,946.</w:t>
      </w:r>
    </w:p>
    <w:p>
      <w:pPr>
        <w:spacing w:after="0" w:line="28" w:lineRule="exact"/>
        <w:rPr>
          <w:rFonts w:ascii="Arial" w:cs="Arial" w:eastAsia="Arial" w:hAnsi="Arial"/>
          <w:sz w:val="14"/>
          <w:szCs w:val="14"/>
          <w:color w:val="auto"/>
        </w:rPr>
      </w:pPr>
    </w:p>
    <w:p>
      <w:pPr>
        <w:ind w:left="340" w:right="40" w:hanging="332"/>
        <w:spacing w:after="0" w:line="276" w:lineRule="auto"/>
        <w:tabs>
          <w:tab w:leader="none" w:pos="344" w:val="left"/>
        </w:tabs>
        <w:numPr>
          <w:ilvl w:val="0"/>
          <w:numId w:val="27"/>
        </w:numPr>
        <w:rPr>
          <w:rFonts w:ascii="Arial" w:cs="Arial" w:eastAsia="Arial" w:hAnsi="Arial"/>
          <w:sz w:val="14"/>
          <w:szCs w:val="14"/>
          <w:color w:val="auto"/>
        </w:rPr>
      </w:pPr>
      <w:r>
        <w:rPr>
          <w:rFonts w:ascii="Arial" w:cs="Arial" w:eastAsia="Arial" w:hAnsi="Arial"/>
          <w:sz w:val="14"/>
          <w:szCs w:val="14"/>
          <w:color w:val="auto"/>
        </w:rPr>
        <w:t>Amounts shown in the non-equity incentive plan compensation column for 2024 represent performance-based bonuses but actually paid in 2025. For Mr. Yahes, the amount for 2024 represents a bonus earned for the full fiscal year in accordance with the Transition Agreement entered into on October 31, 2024. For Mr. Caine, the amount included for 2024 represents a pro-rated annual bonus earned pursuant to Section 7(a) of the Employment Agreement dated January 12, 2023 following the end of his employment as Chief Product and Digital Officer effective August 23, 2024.</w:t>
      </w:r>
    </w:p>
    <w:p>
      <w:pPr>
        <w:spacing w:after="0" w:line="1" w:lineRule="exact"/>
        <w:rPr>
          <w:rFonts w:ascii="Arial" w:cs="Arial" w:eastAsia="Arial" w:hAnsi="Arial"/>
          <w:sz w:val="14"/>
          <w:szCs w:val="14"/>
          <w:color w:val="auto"/>
        </w:rPr>
      </w:pPr>
    </w:p>
    <w:p>
      <w:pPr>
        <w:ind w:left="340" w:right="220" w:hanging="332"/>
        <w:spacing w:after="0" w:line="301" w:lineRule="auto"/>
        <w:tabs>
          <w:tab w:leader="none" w:pos="352" w:val="left"/>
        </w:tabs>
        <w:numPr>
          <w:ilvl w:val="0"/>
          <w:numId w:val="27"/>
        </w:numPr>
        <w:rPr>
          <w:rFonts w:ascii="Arial" w:cs="Arial" w:eastAsia="Arial" w:hAnsi="Arial"/>
          <w:sz w:val="14"/>
          <w:szCs w:val="14"/>
          <w:color w:val="auto"/>
        </w:rPr>
      </w:pPr>
      <w:r>
        <w:rPr>
          <w:rFonts w:ascii="Arial" w:cs="Arial" w:eastAsia="Arial" w:hAnsi="Arial"/>
          <w:sz w:val="14"/>
          <w:szCs w:val="14"/>
          <w:color w:val="auto"/>
        </w:rPr>
        <w:t>Consists of a $15,250 payment for 401(k) matching contributions by the Company, the value of Company-provided group term life insurance premium and mobile phone allowance.</w:t>
      </w:r>
    </w:p>
    <w:p>
      <w:pPr>
        <w:spacing w:after="0" w:line="1" w:lineRule="exact"/>
        <w:rPr>
          <w:rFonts w:ascii="Arial" w:cs="Arial" w:eastAsia="Arial" w:hAnsi="Arial"/>
          <w:sz w:val="14"/>
          <w:szCs w:val="14"/>
          <w:color w:val="auto"/>
        </w:rPr>
      </w:pPr>
    </w:p>
    <w:p>
      <w:pPr>
        <w:ind w:left="340" w:right="140" w:hanging="332"/>
        <w:spacing w:after="0" w:line="281" w:lineRule="auto"/>
        <w:tabs>
          <w:tab w:leader="none" w:pos="352" w:val="left"/>
        </w:tabs>
        <w:numPr>
          <w:ilvl w:val="0"/>
          <w:numId w:val="27"/>
        </w:numPr>
        <w:rPr>
          <w:rFonts w:ascii="Arial" w:cs="Arial" w:eastAsia="Arial" w:hAnsi="Arial"/>
          <w:sz w:val="14"/>
          <w:szCs w:val="14"/>
          <w:color w:val="auto"/>
        </w:rPr>
      </w:pPr>
      <w:r>
        <w:rPr>
          <w:rFonts w:ascii="Arial" w:cs="Arial" w:eastAsia="Arial" w:hAnsi="Arial"/>
          <w:sz w:val="14"/>
          <w:szCs w:val="14"/>
          <w:color w:val="auto"/>
        </w:rPr>
        <w:t>Consists of a $13,500 payment for 401(k) matching contributions by the Company, the value of Company-provided group term life insurance premium and mobile phone allowance. Also consists of fees for Mr. Hennessy’s service as a non-employee director prior to his appointment as our CEO in May 2022. For more information regarding these fees, see the “Director Compensation” section of this Proxy Statement.</w:t>
      </w:r>
    </w:p>
    <w:p>
      <w:pPr>
        <w:spacing w:after="0" w:line="1" w:lineRule="exact"/>
        <w:rPr>
          <w:rFonts w:ascii="Arial" w:cs="Arial" w:eastAsia="Arial" w:hAnsi="Arial"/>
          <w:sz w:val="14"/>
          <w:szCs w:val="14"/>
          <w:color w:val="auto"/>
        </w:rPr>
      </w:pPr>
    </w:p>
    <w:p>
      <w:pPr>
        <w:ind w:left="340" w:right="220" w:hanging="332"/>
        <w:spacing w:after="0" w:line="301" w:lineRule="auto"/>
        <w:tabs>
          <w:tab w:leader="none" w:pos="352" w:val="left"/>
        </w:tabs>
        <w:numPr>
          <w:ilvl w:val="0"/>
          <w:numId w:val="27"/>
        </w:numPr>
        <w:rPr>
          <w:rFonts w:ascii="Arial" w:cs="Arial" w:eastAsia="Arial" w:hAnsi="Arial"/>
          <w:sz w:val="14"/>
          <w:szCs w:val="14"/>
          <w:color w:val="auto"/>
        </w:rPr>
      </w:pPr>
      <w:r>
        <w:rPr>
          <w:rFonts w:ascii="Arial" w:cs="Arial" w:eastAsia="Arial" w:hAnsi="Arial"/>
          <w:sz w:val="14"/>
          <w:szCs w:val="14"/>
          <w:color w:val="auto"/>
        </w:rPr>
        <w:t>Consists of a $11,500 payment for 401(k) matching contributions by the Company, the value of Company-provided group term life insurance premium and mobile phone allowance and fitness expense reimbursement.</w:t>
      </w:r>
    </w:p>
    <w:p>
      <w:pPr>
        <w:spacing w:after="0" w:line="1" w:lineRule="exact"/>
        <w:rPr>
          <w:rFonts w:ascii="Arial" w:cs="Arial" w:eastAsia="Arial" w:hAnsi="Arial"/>
          <w:sz w:val="14"/>
          <w:szCs w:val="14"/>
          <w:color w:val="auto"/>
        </w:rPr>
      </w:pPr>
    </w:p>
    <w:p>
      <w:pPr>
        <w:ind w:left="340" w:right="220" w:hanging="332"/>
        <w:spacing w:after="0" w:line="301" w:lineRule="auto"/>
        <w:tabs>
          <w:tab w:leader="none" w:pos="352" w:val="left"/>
        </w:tabs>
        <w:numPr>
          <w:ilvl w:val="0"/>
          <w:numId w:val="27"/>
        </w:numPr>
        <w:rPr>
          <w:rFonts w:ascii="Arial" w:cs="Arial" w:eastAsia="Arial" w:hAnsi="Arial"/>
          <w:sz w:val="14"/>
          <w:szCs w:val="14"/>
          <w:color w:val="auto"/>
        </w:rPr>
      </w:pPr>
      <w:r>
        <w:rPr>
          <w:rFonts w:ascii="Arial" w:cs="Arial" w:eastAsia="Arial" w:hAnsi="Arial"/>
          <w:sz w:val="14"/>
          <w:szCs w:val="14"/>
          <w:color w:val="auto"/>
        </w:rPr>
        <w:t>Consists of a $11,250 payment for 401(k) matching contributions by the Company, the value of Company-provided group term life insurance premium and mobile phone allowance and fitness expense reimbursement.</w:t>
      </w:r>
    </w:p>
    <w:p>
      <w:pPr>
        <w:spacing w:after="0" w:line="1" w:lineRule="exact"/>
        <w:rPr>
          <w:rFonts w:ascii="Arial" w:cs="Arial" w:eastAsia="Arial" w:hAnsi="Arial"/>
          <w:sz w:val="14"/>
          <w:szCs w:val="14"/>
          <w:color w:val="auto"/>
        </w:rPr>
      </w:pPr>
    </w:p>
    <w:p>
      <w:pPr>
        <w:ind w:left="340" w:right="220" w:hanging="332"/>
        <w:spacing w:after="0" w:line="285" w:lineRule="auto"/>
        <w:tabs>
          <w:tab w:leader="none" w:pos="352" w:val="left"/>
        </w:tabs>
        <w:numPr>
          <w:ilvl w:val="0"/>
          <w:numId w:val="27"/>
        </w:numPr>
        <w:rPr>
          <w:rFonts w:ascii="Arial" w:cs="Arial" w:eastAsia="Arial" w:hAnsi="Arial"/>
          <w:sz w:val="14"/>
          <w:szCs w:val="14"/>
          <w:color w:val="auto"/>
        </w:rPr>
      </w:pPr>
      <w:r>
        <w:rPr>
          <w:rFonts w:ascii="Arial" w:cs="Arial" w:eastAsia="Arial" w:hAnsi="Arial"/>
          <w:sz w:val="14"/>
          <w:szCs w:val="14"/>
          <w:color w:val="auto"/>
        </w:rPr>
        <w:t>Consists of a $10,250 payment for 401(k) matching contributions by the Company, the value of Company-provided group term life insurance premium and mobile phone allowance.</w:t>
      </w:r>
    </w:p>
    <w:p>
      <w:pPr>
        <w:spacing w:after="0" w:line="9" w:lineRule="exact"/>
        <w:rPr>
          <w:rFonts w:ascii="Arial" w:cs="Arial" w:eastAsia="Arial" w:hAnsi="Arial"/>
          <w:sz w:val="14"/>
          <w:szCs w:val="14"/>
          <w:color w:val="auto"/>
        </w:rPr>
      </w:pPr>
    </w:p>
    <w:p>
      <w:pPr>
        <w:ind w:left="340" w:right="240" w:hanging="332"/>
        <w:spacing w:after="0" w:line="301" w:lineRule="auto"/>
        <w:tabs>
          <w:tab w:leader="none" w:pos="352" w:val="left"/>
        </w:tabs>
        <w:numPr>
          <w:ilvl w:val="0"/>
          <w:numId w:val="27"/>
        </w:numPr>
        <w:rPr>
          <w:rFonts w:ascii="Arial" w:cs="Arial" w:eastAsia="Arial" w:hAnsi="Arial"/>
          <w:sz w:val="14"/>
          <w:szCs w:val="14"/>
          <w:color w:val="auto"/>
        </w:rPr>
      </w:pPr>
      <w:r>
        <w:rPr>
          <w:rFonts w:ascii="Arial" w:cs="Arial" w:eastAsia="Arial" w:hAnsi="Arial"/>
          <w:sz w:val="14"/>
          <w:szCs w:val="14"/>
          <w:color w:val="auto"/>
        </w:rPr>
        <w:t>Consists of a $500,000 severance payment, $17,303 in COBRA payments, $13,846 payment for 401(k) matching contributions by the Company, the value of Company-provided group term life insurance premium and mobile phone allowance.</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Amount represents one-time sign on bonus.</w:t>
      </w:r>
    </w:p>
    <w:p>
      <w:pPr>
        <w:spacing w:after="0" w:line="68" w:lineRule="exact"/>
        <w:rPr>
          <w:rFonts w:ascii="Arial" w:cs="Arial" w:eastAsia="Arial" w:hAnsi="Arial"/>
          <w:sz w:val="14"/>
          <w:szCs w:val="14"/>
          <w:color w:val="auto"/>
        </w:rPr>
      </w:pPr>
    </w:p>
    <w:p>
      <w:pPr>
        <w:ind w:left="340" w:right="220" w:hanging="332"/>
        <w:spacing w:after="0" w:line="285" w:lineRule="auto"/>
        <w:tabs>
          <w:tab w:leader="none" w:pos="432" w:val="left"/>
        </w:tabs>
        <w:numPr>
          <w:ilvl w:val="0"/>
          <w:numId w:val="27"/>
        </w:numPr>
        <w:rPr>
          <w:rFonts w:ascii="Arial" w:cs="Arial" w:eastAsia="Arial" w:hAnsi="Arial"/>
          <w:sz w:val="14"/>
          <w:szCs w:val="14"/>
          <w:color w:val="auto"/>
        </w:rPr>
      </w:pPr>
      <w:r>
        <w:rPr>
          <w:rFonts w:ascii="Arial" w:cs="Arial" w:eastAsia="Arial" w:hAnsi="Arial"/>
          <w:sz w:val="14"/>
          <w:szCs w:val="14"/>
          <w:color w:val="auto"/>
        </w:rPr>
        <w:t>Consists of a $3,462 payment for 401(k) matching contributions by the Company, the value of Company-provided group term life insurance premium and mobile phone allowance.</w:t>
      </w:r>
    </w:p>
    <w:p>
      <w:pPr>
        <w:spacing w:after="0" w:line="9" w:lineRule="exact"/>
        <w:rPr>
          <w:rFonts w:ascii="Arial" w:cs="Arial" w:eastAsia="Arial" w:hAnsi="Arial"/>
          <w:sz w:val="14"/>
          <w:szCs w:val="14"/>
          <w:color w:val="auto"/>
        </w:rPr>
      </w:pPr>
    </w:p>
    <w:p>
      <w:pPr>
        <w:ind w:left="340" w:right="380" w:hanging="332"/>
        <w:spacing w:after="0" w:line="305" w:lineRule="auto"/>
        <w:tabs>
          <w:tab w:leader="none" w:pos="421" w:val="left"/>
        </w:tabs>
        <w:numPr>
          <w:ilvl w:val="0"/>
          <w:numId w:val="27"/>
        </w:numPr>
        <w:rPr>
          <w:rFonts w:ascii="Arial" w:cs="Arial" w:eastAsia="Arial" w:hAnsi="Arial"/>
          <w:sz w:val="14"/>
          <w:szCs w:val="14"/>
          <w:color w:val="auto"/>
        </w:rPr>
      </w:pPr>
      <w:r>
        <w:rPr>
          <w:rFonts w:ascii="Arial" w:cs="Arial" w:eastAsia="Arial" w:hAnsi="Arial"/>
          <w:sz w:val="14"/>
          <w:szCs w:val="14"/>
          <w:color w:val="auto"/>
        </w:rPr>
        <w:t>Consists of a $15,250 payment for 401(k) matching contributions by the Company, the value of Company-provided group term life insurance premium, mobile phone allowance and fitness expense reimbursement.</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Narrative Supplement to Summary Compensation Table</w:t>
      </w:r>
    </w:p>
    <w:p>
      <w:pPr>
        <w:spacing w:after="0" w:line="121" w:lineRule="exact"/>
        <w:rPr>
          <w:sz w:val="20"/>
          <w:szCs w:val="20"/>
          <w:color w:val="auto"/>
        </w:rPr>
      </w:pPr>
    </w:p>
    <w:p>
      <w:pPr>
        <w:spacing w:after="0"/>
        <w:rPr>
          <w:sz w:val="20"/>
          <w:szCs w:val="20"/>
          <w:color w:val="auto"/>
        </w:rPr>
      </w:pPr>
      <w:r>
        <w:rPr>
          <w:rFonts w:ascii="Arial" w:cs="Arial" w:eastAsia="Arial" w:hAnsi="Arial"/>
          <w:sz w:val="22"/>
          <w:szCs w:val="22"/>
          <w:b w:val="1"/>
          <w:bCs w:val="1"/>
          <w:color w:val="EF3A35"/>
        </w:rPr>
        <w:t>Employment Agreements and Compensatory Arrangements</w:t>
      </w:r>
    </w:p>
    <w:p>
      <w:pPr>
        <w:spacing w:after="0" w:line="10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material terms of the employment agreements and compensatory arrangements with our NEOs are set forth below.</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EF3A35"/>
        </w:rPr>
        <w:t>Jonathan Oringer</w:t>
      </w:r>
    </w:p>
    <w:p>
      <w:pPr>
        <w:spacing w:after="0" w:line="117" w:lineRule="exact"/>
        <w:rPr>
          <w:sz w:val="20"/>
          <w:szCs w:val="20"/>
          <w:color w:val="auto"/>
        </w:rPr>
      </w:pPr>
    </w:p>
    <w:p>
      <w:pPr>
        <w:ind w:right="360" w:firstLine="324"/>
        <w:spacing w:after="0" w:line="262" w:lineRule="auto"/>
        <w:rPr>
          <w:sz w:val="20"/>
          <w:szCs w:val="20"/>
          <w:color w:val="auto"/>
        </w:rPr>
      </w:pPr>
      <w:r>
        <w:rPr>
          <w:rFonts w:ascii="Arial" w:cs="Arial" w:eastAsia="Arial" w:hAnsi="Arial"/>
          <w:sz w:val="18"/>
          <w:szCs w:val="18"/>
          <w:color w:val="auto"/>
        </w:rPr>
        <w:t>Mr. Oringer is employed as Executive Chairman, and served as our Chief Executive Officer until April 1, 2020, pursuant to an employment agreement dated September 24, 2012. Mr. Oringer’s employment agreement was amended in 2020 in connection with his appointment as Executive Chairman to reflect his new role. Mr. Oringer’s employment agreement generally provides for the following key terms:</w:t>
      </w:r>
    </w:p>
    <w:p>
      <w:pPr>
        <w:spacing w:after="0" w:line="122" w:lineRule="exact"/>
        <w:rPr>
          <w:sz w:val="20"/>
          <w:szCs w:val="20"/>
          <w:color w:val="auto"/>
        </w:rPr>
      </w:pPr>
    </w:p>
    <w:p>
      <w:pPr>
        <w:ind w:left="700" w:hanging="314"/>
        <w:spacing w:after="0"/>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at-will employment;</w:t>
      </w:r>
    </w:p>
    <w:p>
      <w:pPr>
        <w:spacing w:after="0" w:line="63" w:lineRule="exact"/>
        <w:rPr>
          <w:rFonts w:ascii="Arial" w:cs="Arial" w:eastAsia="Arial" w:hAnsi="Arial"/>
          <w:sz w:val="18"/>
          <w:szCs w:val="18"/>
          <w:color w:val="auto"/>
        </w:rPr>
      </w:pPr>
    </w:p>
    <w:p>
      <w:pPr>
        <w:ind w:left="700" w:hanging="314"/>
        <w:spacing w:after="0"/>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 salary of $250,000, which was reduced to $1 by the Compensation Committee effective as of April 24, 2014;</w:t>
      </w:r>
    </w:p>
    <w:p>
      <w:pPr>
        <w:spacing w:after="0" w:line="63" w:lineRule="exact"/>
        <w:rPr>
          <w:rFonts w:ascii="Arial" w:cs="Arial" w:eastAsia="Arial" w:hAnsi="Arial"/>
          <w:sz w:val="18"/>
          <w:szCs w:val="18"/>
          <w:color w:val="auto"/>
        </w:rPr>
      </w:pPr>
    </w:p>
    <w:p>
      <w:pPr>
        <w:ind w:left="700" w:hanging="314"/>
        <w:spacing w:after="0"/>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ineligibility for an annual cash incentive;</w:t>
      </w:r>
    </w:p>
    <w:p>
      <w:pPr>
        <w:spacing w:after="0" w:line="63" w:lineRule="exact"/>
        <w:rPr>
          <w:rFonts w:ascii="Arial" w:cs="Arial" w:eastAsia="Arial" w:hAnsi="Arial"/>
          <w:sz w:val="18"/>
          <w:szCs w:val="18"/>
          <w:color w:val="auto"/>
        </w:rPr>
      </w:pPr>
    </w:p>
    <w:p>
      <w:pPr>
        <w:ind w:left="700" w:hanging="314"/>
        <w:spacing w:after="0"/>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ability to participate in employee benefit plans generally available to those of our other executive officers; and</w:t>
      </w:r>
    </w:p>
    <w:p>
      <w:pPr>
        <w:spacing w:after="0" w:line="63" w:lineRule="exact"/>
        <w:rPr>
          <w:rFonts w:ascii="Arial" w:cs="Arial" w:eastAsia="Arial" w:hAnsi="Arial"/>
          <w:sz w:val="18"/>
          <w:szCs w:val="18"/>
          <w:color w:val="auto"/>
        </w:rPr>
      </w:pPr>
    </w:p>
    <w:p>
      <w:pPr>
        <w:ind w:left="700" w:hanging="314"/>
        <w:spacing w:after="0"/>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reimbursement for necessary and reasonable business expenses.</w:t>
      </w:r>
    </w:p>
    <w:p>
      <w:pPr>
        <w:spacing w:after="0" w:line="239" w:lineRule="exact"/>
        <w:rPr>
          <w:sz w:val="20"/>
          <w:szCs w:val="20"/>
          <w:color w:val="auto"/>
        </w:rPr>
      </w:pPr>
    </w:p>
    <w:p>
      <w:pPr>
        <w:ind w:right="180" w:firstLine="324"/>
        <w:spacing w:after="0" w:line="268" w:lineRule="auto"/>
        <w:rPr>
          <w:sz w:val="20"/>
          <w:szCs w:val="20"/>
          <w:color w:val="auto"/>
        </w:rPr>
      </w:pPr>
      <w:r>
        <w:rPr>
          <w:rFonts w:ascii="Arial" w:cs="Arial" w:eastAsia="Arial" w:hAnsi="Arial"/>
          <w:sz w:val="18"/>
          <w:szCs w:val="18"/>
          <w:color w:val="auto"/>
        </w:rPr>
        <w:t>Mr. Oringer also entered into a Severance and Change in Control Agreement, dated September 24, 2012, which was amended in 2020 in connection with his appointment as Executive Chairman to reflect his new role. Pursuant to the Severance and Change in Control Agreement (the “Severance and CiC Agreement”), if the Company terminates</w:t>
      </w:r>
    </w:p>
    <w:p>
      <w:pPr>
        <w:sectPr>
          <w:pgSz w:w="11900" w:h="16838" w:orient="portrait"/>
          <w:cols w:equalWidth="0" w:num="1">
            <w:col w:w="11240"/>
          </w:cols>
          <w:pgMar w:left="320" w:top="83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240"/>
          </w:cols>
          <w:pgMar w:left="320" w:top="832" w:right="339" w:bottom="1440" w:gutter="0" w:footer="0" w:header="0"/>
          <w:type w:val="continuous"/>
        </w:sectPr>
      </w:pPr>
    </w:p>
    <w:bookmarkStart w:id="35" w:name="page36"/>
    <w:bookmarkEnd w:id="35"/>
    <w:p>
      <w:pPr>
        <w:spacing w:after="0" w:line="259" w:lineRule="auto"/>
        <w:rPr>
          <w:sz w:val="20"/>
          <w:szCs w:val="20"/>
          <w:color w:val="auto"/>
        </w:rPr>
      </w:pPr>
      <w:r>
        <w:rPr>
          <w:rFonts w:ascii="Arial" w:cs="Arial" w:eastAsia="Arial" w:hAnsi="Arial"/>
          <w:sz w:val="18"/>
          <w:szCs w:val="18"/>
          <w:color w:val="auto"/>
        </w:rPr>
        <w:t>Mr. Oringer’s employment without “cause” (as defined in the Severance and CiC Agreement), other than due to his death or “disability” (as defined in the Severance and CiC Agreement) at any time other than during the 24-month period immediately following a “change in control” (as defined in the Severance and CiC Agreement), Mr. Oringer will receive all accrued but unpaid vacation, expense reimbursements, wages and other benefits due to Mr. Oringer under Company-provided plans, policies and arrangements and, subject to his execution of a satisfactory release and compliance with the covenants described below, the following severance benefits from the Company:</w:t>
      </w:r>
    </w:p>
    <w:p>
      <w:pPr>
        <w:spacing w:after="0" w:line="125" w:lineRule="exact"/>
        <w:rPr>
          <w:sz w:val="20"/>
          <w:szCs w:val="20"/>
          <w:color w:val="auto"/>
        </w:rPr>
      </w:pPr>
    </w:p>
    <w:p>
      <w:pPr>
        <w:ind w:left="700" w:right="460" w:hanging="314"/>
        <w:spacing w:after="0" w:line="268" w:lineRule="auto"/>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cash severance in an amount equal to 12 months of his then-current base salary, which will be paid in three equal installments on each of the following dates: (x) his termination of employment, (y) the six-month anniversary of his termination and (z) the one-year anniversary of his termination of employment;</w:t>
      </w:r>
    </w:p>
    <w:p>
      <w:pPr>
        <w:spacing w:after="0" w:line="8" w:lineRule="exact"/>
        <w:rPr>
          <w:rFonts w:ascii="Arial" w:cs="Arial" w:eastAsia="Arial" w:hAnsi="Arial"/>
          <w:sz w:val="18"/>
          <w:szCs w:val="18"/>
          <w:color w:val="auto"/>
        </w:rPr>
      </w:pPr>
    </w:p>
    <w:p>
      <w:pPr>
        <w:ind w:left="700" w:right="820" w:hanging="314"/>
        <w:spacing w:after="0" w:line="281" w:lineRule="auto"/>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lump sum payment of a pro rata annual bonus at 100% of the then-current target for the year in which the termination of employment occurs based on the number of days worked relative to 365 days;</w:t>
      </w:r>
    </w:p>
    <w:p>
      <w:pPr>
        <w:spacing w:after="0" w:line="1" w:lineRule="exact"/>
        <w:rPr>
          <w:rFonts w:ascii="Arial" w:cs="Arial" w:eastAsia="Arial" w:hAnsi="Arial"/>
          <w:sz w:val="18"/>
          <w:szCs w:val="18"/>
          <w:color w:val="auto"/>
        </w:rPr>
      </w:pPr>
    </w:p>
    <w:p>
      <w:pPr>
        <w:ind w:left="700" w:right="580" w:hanging="314"/>
        <w:spacing w:after="0" w:line="281" w:lineRule="auto"/>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reimbursement for premiums paid for coverage pursuant to the Consolidated Omnibus Budget Reconciliation Act of 1985, as amended (“COBRA”), for Mr. Oringer and his eligible dependents for up to 12 months;</w:t>
      </w:r>
    </w:p>
    <w:p>
      <w:pPr>
        <w:spacing w:after="0" w:line="1" w:lineRule="exact"/>
        <w:rPr>
          <w:rFonts w:ascii="Arial" w:cs="Arial" w:eastAsia="Arial" w:hAnsi="Arial"/>
          <w:sz w:val="18"/>
          <w:szCs w:val="18"/>
          <w:color w:val="auto"/>
        </w:rPr>
      </w:pPr>
    </w:p>
    <w:p>
      <w:pPr>
        <w:ind w:left="700" w:right="1000" w:hanging="314"/>
        <w:spacing w:after="0" w:line="281" w:lineRule="auto"/>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accelerated vesting of the then-unvested portion of all of Mr. Oringer’s outstanding equity awards as if he had remained employed for 12 months following his termination of employment;</w:t>
      </w:r>
    </w:p>
    <w:p>
      <w:pPr>
        <w:spacing w:after="0" w:line="1" w:lineRule="exact"/>
        <w:rPr>
          <w:rFonts w:ascii="Arial" w:cs="Arial" w:eastAsia="Arial" w:hAnsi="Arial"/>
          <w:sz w:val="18"/>
          <w:szCs w:val="18"/>
          <w:color w:val="auto"/>
        </w:rPr>
      </w:pPr>
    </w:p>
    <w:p>
      <w:pPr>
        <w:ind w:left="700" w:right="480" w:hanging="314"/>
        <w:spacing w:after="0" w:line="281" w:lineRule="auto"/>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post-termination exercise period for the outstanding vested options will be extended to 18 months following his termination of employment; and</w:t>
      </w:r>
    </w:p>
    <w:p>
      <w:pPr>
        <w:spacing w:after="0" w:line="1" w:lineRule="exact"/>
        <w:rPr>
          <w:rFonts w:ascii="Arial" w:cs="Arial" w:eastAsia="Arial" w:hAnsi="Arial"/>
          <w:sz w:val="18"/>
          <w:szCs w:val="18"/>
          <w:color w:val="auto"/>
        </w:rPr>
      </w:pPr>
    </w:p>
    <w:p>
      <w:pPr>
        <w:ind w:left="700" w:hanging="314"/>
        <w:spacing w:after="0"/>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outplacement benefits for six months following termination of employment, up to a maximum of $5,000.</w:t>
      </w:r>
    </w:p>
    <w:p>
      <w:pPr>
        <w:spacing w:after="0" w:line="239"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Further, if we terminate Mr. Oringer’s employment with the Company without “cause,” other than due to Mr. Oringer’s death or “disability” or Mr. Oringer resigning for “good reason” (as defined in the Severance and CiC Agreement), in either case at any time during the twenty-four month period immediately following a “change of control,” Mr. Oringer will receive the “accrued benefits,” (as defined in the Severance and CiC Agreement) and, subject to his execution of a satisfactory release and compliance with the covenants described below, Mr. Oringer will also receive severance payments and benefits set forth above, except as follows:</w:t>
      </w:r>
    </w:p>
    <w:p>
      <w:pPr>
        <w:spacing w:after="0" w:line="125" w:lineRule="exact"/>
        <w:rPr>
          <w:sz w:val="20"/>
          <w:szCs w:val="20"/>
          <w:color w:val="auto"/>
        </w:rPr>
      </w:pPr>
    </w:p>
    <w:p>
      <w:pPr>
        <w:ind w:left="700" w:hanging="314"/>
        <w:spacing w:after="0"/>
        <w:tabs>
          <w:tab w:leader="none" w:pos="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cash severance in an amount equal to 12 months of his then current base salary, in a single lump sum payment;</w:t>
      </w:r>
    </w:p>
    <w:p>
      <w:pPr>
        <w:spacing w:after="0" w:line="63" w:lineRule="exact"/>
        <w:rPr>
          <w:rFonts w:ascii="Arial" w:cs="Arial" w:eastAsia="Arial" w:hAnsi="Arial"/>
          <w:sz w:val="18"/>
          <w:szCs w:val="18"/>
          <w:color w:val="auto"/>
        </w:rPr>
      </w:pPr>
    </w:p>
    <w:p>
      <w:pPr>
        <w:ind w:left="700" w:right="540" w:hanging="314"/>
        <w:spacing w:after="0" w:line="281" w:lineRule="auto"/>
        <w:tabs>
          <w:tab w:leader="none" w:pos="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lump sum payment equal to 100% of his full target bonus for the fiscal year in effect at the date of termination of employment; and</w:t>
      </w:r>
    </w:p>
    <w:p>
      <w:pPr>
        <w:spacing w:after="0" w:line="1" w:lineRule="exact"/>
        <w:rPr>
          <w:rFonts w:ascii="Arial" w:cs="Arial" w:eastAsia="Arial" w:hAnsi="Arial"/>
          <w:sz w:val="18"/>
          <w:szCs w:val="18"/>
          <w:color w:val="auto"/>
        </w:rPr>
      </w:pPr>
    </w:p>
    <w:p>
      <w:pPr>
        <w:ind w:left="700" w:hanging="314"/>
        <w:spacing w:after="0"/>
        <w:tabs>
          <w:tab w:leader="none" w:pos="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accelerated vesting of 100% of the then-unvested portion of all of Mr. Oringer’s outstanding equity awards.</w:t>
      </w:r>
    </w:p>
    <w:p>
      <w:pPr>
        <w:spacing w:after="0" w:line="225" w:lineRule="exact"/>
        <w:rPr>
          <w:sz w:val="20"/>
          <w:szCs w:val="20"/>
          <w:color w:val="auto"/>
        </w:rPr>
      </w:pPr>
    </w:p>
    <w:p>
      <w:pPr>
        <w:ind w:right="140" w:firstLine="324"/>
        <w:spacing w:after="0" w:line="268" w:lineRule="auto"/>
        <w:rPr>
          <w:sz w:val="20"/>
          <w:szCs w:val="20"/>
          <w:color w:val="auto"/>
        </w:rPr>
      </w:pPr>
      <w:r>
        <w:rPr>
          <w:rFonts w:ascii="Arial" w:cs="Arial" w:eastAsia="Arial" w:hAnsi="Arial"/>
          <w:sz w:val="18"/>
          <w:szCs w:val="18"/>
          <w:color w:val="auto"/>
        </w:rPr>
        <w:t>Mr. Oringer’s Severance and CiC Agreement contains customary confidentiality, non-competition, non-solicitation of employees or customers and non-disparagement provisions. Under the agreement, Mr. Oringer cannot compete with the Company for a 12-month period after termination. The non-solicitation and non-disparagement covenant also extends for 12 months after termination.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EF3A35"/>
        </w:rPr>
        <w:t>Paul Hennessy</w:t>
      </w:r>
    </w:p>
    <w:p>
      <w:pPr>
        <w:spacing w:after="0" w:line="117" w:lineRule="exact"/>
        <w:rPr>
          <w:sz w:val="20"/>
          <w:szCs w:val="20"/>
          <w:color w:val="auto"/>
        </w:rPr>
      </w:pPr>
    </w:p>
    <w:p>
      <w:pPr>
        <w:ind w:firstLine="324"/>
        <w:spacing w:after="0" w:line="262" w:lineRule="auto"/>
        <w:rPr>
          <w:sz w:val="20"/>
          <w:szCs w:val="20"/>
          <w:color w:val="auto"/>
        </w:rPr>
      </w:pPr>
      <w:r>
        <w:rPr>
          <w:rFonts w:ascii="Arial" w:cs="Arial" w:eastAsia="Arial" w:hAnsi="Arial"/>
          <w:sz w:val="18"/>
          <w:szCs w:val="18"/>
          <w:color w:val="auto"/>
        </w:rPr>
        <w:t>Mr. Hennessy was appointed Chief Executive Officer effective July 1, 2022 and has served as a member of our Board of Directors since April 2015. Mr. Hennessy’s employment agreement was amended on June 28, 2024 in order to incentivize Mr. Hennessy’s continued service and performance for the Company and to promote his retention for an additional period of service through July 1, 2026. Mr. Hennessy’s employment agreement generally provides for the following key terms:</w:t>
      </w:r>
    </w:p>
    <w:p>
      <w:pPr>
        <w:spacing w:after="0" w:line="122" w:lineRule="exact"/>
        <w:rPr>
          <w:sz w:val="20"/>
          <w:szCs w:val="20"/>
          <w:color w:val="auto"/>
        </w:rPr>
      </w:pPr>
    </w:p>
    <w:p>
      <w:pPr>
        <w:ind w:left="700" w:hanging="314"/>
        <w:spacing w:after="0"/>
        <w:tabs>
          <w:tab w:leader="none" w:pos="7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at-will employment, which commenced effective July 1, 2022;</w:t>
      </w:r>
    </w:p>
    <w:p>
      <w:pPr>
        <w:spacing w:after="0" w:line="63" w:lineRule="exact"/>
        <w:rPr>
          <w:rFonts w:ascii="Arial" w:cs="Arial" w:eastAsia="Arial" w:hAnsi="Arial"/>
          <w:sz w:val="18"/>
          <w:szCs w:val="18"/>
          <w:color w:val="auto"/>
        </w:rPr>
      </w:pPr>
    </w:p>
    <w:p>
      <w:pPr>
        <w:ind w:left="700" w:hanging="314"/>
        <w:spacing w:after="0"/>
        <w:tabs>
          <w:tab w:leader="none" w:pos="7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 salary of $700,000;</w:t>
      </w:r>
    </w:p>
    <w:p>
      <w:pPr>
        <w:spacing w:after="0" w:line="63" w:lineRule="exact"/>
        <w:rPr>
          <w:rFonts w:ascii="Arial" w:cs="Arial" w:eastAsia="Arial" w:hAnsi="Arial"/>
          <w:sz w:val="18"/>
          <w:szCs w:val="18"/>
          <w:color w:val="auto"/>
        </w:rPr>
      </w:pPr>
    </w:p>
    <w:p>
      <w:pPr>
        <w:ind w:left="700" w:right="1120" w:hanging="314"/>
        <w:spacing w:after="0" w:line="281" w:lineRule="auto"/>
        <w:tabs>
          <w:tab w:leader="none" w:pos="7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 annual cash bonus opportunity, with a target award equal to 100% of his base salary, based on the achievement of individual and company performance-based objectives established by our Compensation Committee;</w:t>
      </w:r>
    </w:p>
    <w:p>
      <w:pPr>
        <w:spacing w:after="0" w:line="1" w:lineRule="exact"/>
        <w:rPr>
          <w:rFonts w:ascii="Arial" w:cs="Arial" w:eastAsia="Arial" w:hAnsi="Arial"/>
          <w:sz w:val="18"/>
          <w:szCs w:val="18"/>
          <w:color w:val="auto"/>
        </w:rPr>
      </w:pPr>
    </w:p>
    <w:p>
      <w:pPr>
        <w:ind w:left="700" w:hanging="314"/>
        <w:spacing w:after="0"/>
        <w:tabs>
          <w:tab w:leader="none" w:pos="7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ability to participate in employee benefit plans generally available to those of our other executive officers; and</w:t>
      </w:r>
    </w:p>
    <w:p>
      <w:pPr>
        <w:spacing w:after="0" w:line="63" w:lineRule="exact"/>
        <w:rPr>
          <w:rFonts w:ascii="Arial" w:cs="Arial" w:eastAsia="Arial" w:hAnsi="Arial"/>
          <w:sz w:val="18"/>
          <w:szCs w:val="18"/>
          <w:color w:val="auto"/>
        </w:rPr>
      </w:pPr>
    </w:p>
    <w:p>
      <w:pPr>
        <w:ind w:left="700" w:hanging="314"/>
        <w:spacing w:after="0"/>
        <w:tabs>
          <w:tab w:leader="none" w:pos="7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reimbursement for necessary and reasonable business expenses.</w:t>
      </w:r>
    </w:p>
    <w:p>
      <w:pPr>
        <w:spacing w:after="0" w:line="239" w:lineRule="exact"/>
        <w:rPr>
          <w:sz w:val="20"/>
          <w:szCs w:val="20"/>
          <w:color w:val="auto"/>
        </w:rPr>
      </w:pPr>
    </w:p>
    <w:p>
      <w:pPr>
        <w:ind w:right="60" w:firstLine="324"/>
        <w:spacing w:after="0" w:line="262" w:lineRule="auto"/>
        <w:rPr>
          <w:sz w:val="20"/>
          <w:szCs w:val="20"/>
          <w:color w:val="auto"/>
        </w:rPr>
      </w:pPr>
      <w:r>
        <w:rPr>
          <w:rFonts w:ascii="Arial" w:cs="Arial" w:eastAsia="Arial" w:hAnsi="Arial"/>
          <w:sz w:val="18"/>
          <w:szCs w:val="18"/>
          <w:color w:val="auto"/>
        </w:rPr>
        <w:t>In the event that the Company terminates Mr. Hennessy’s employment without cause on or after July 1, 2026, he will only receive a pro-rated annual bonus for the year of termination, subject to the execution of a release, without any additional severance benefits. In the event that the Company terminates Mr. Hennessy’s employment prior to July 1, 2026, he will continue to be eligible to receive payments and benefits in accordance with the terms of the employment agreement, including:</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180"/>
          </w:cols>
          <w:pgMar w:left="320" w:top="877" w:right="399" w:bottom="1440" w:gutter="0" w:footer="0" w:header="0"/>
        </w:sectPr>
      </w:pPr>
    </w:p>
    <w:bookmarkStart w:id="36" w:name="page37"/>
    <w:bookmarkEnd w:id="36"/>
    <w:p>
      <w:pPr>
        <w:ind w:left="700" w:right="620" w:hanging="314"/>
        <w:spacing w:after="0" w:line="262" w:lineRule="auto"/>
        <w:tabs>
          <w:tab w:leader="none" w:pos="7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 the case of a termination without cause that does not occur within 12 months following a change in control: (i) continued payment of his salary for eighteen months, (ii) reimbursement for certain medical insurance premiums for up to eighteen months, (ii) the immediate vesting of all unvested restricted stock units and a prorated portion of unvested performance stock units based on actual performance, and (iv) a prorated annual bonus based on actual performance.</w:t>
      </w:r>
    </w:p>
    <w:p>
      <w:pPr>
        <w:spacing w:after="0" w:line="14" w:lineRule="exact"/>
        <w:rPr>
          <w:rFonts w:ascii="Arial" w:cs="Arial" w:eastAsia="Arial" w:hAnsi="Arial"/>
          <w:sz w:val="18"/>
          <w:szCs w:val="18"/>
          <w:color w:val="auto"/>
        </w:rPr>
      </w:pPr>
    </w:p>
    <w:p>
      <w:pPr>
        <w:ind w:left="700" w:right="440" w:hanging="314"/>
        <w:spacing w:after="0" w:line="262" w:lineRule="auto"/>
        <w:tabs>
          <w:tab w:leader="none" w:pos="7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 the case of a termination without cause or for good reason within 12 months following a change in control: (i) a lump sum payment equal to eighteen months of his base salary, (ii) reimbursement for certain medical insurance premiums for up to twelve months, (iii) the immediate vesting of all unvested equity awards, and (iv) a lump sum payment equal to his target bonus amount for the year of termination.</w:t>
      </w:r>
    </w:p>
    <w:p>
      <w:pPr>
        <w:spacing w:after="0" w:line="190" w:lineRule="exact"/>
        <w:rPr>
          <w:sz w:val="20"/>
          <w:szCs w:val="20"/>
          <w:color w:val="auto"/>
        </w:rPr>
      </w:pPr>
    </w:p>
    <w:p>
      <w:pPr>
        <w:ind w:right="260" w:firstLine="324"/>
        <w:spacing w:after="0" w:line="268" w:lineRule="auto"/>
        <w:rPr>
          <w:sz w:val="20"/>
          <w:szCs w:val="20"/>
          <w:color w:val="auto"/>
        </w:rPr>
      </w:pPr>
      <w:r>
        <w:rPr>
          <w:rFonts w:ascii="Arial" w:cs="Arial" w:eastAsia="Arial" w:hAnsi="Arial"/>
          <w:sz w:val="18"/>
          <w:szCs w:val="18"/>
          <w:color w:val="auto"/>
        </w:rPr>
        <w:t>Mr. Hennessy is not entitled to any severance benefits under the employment agreement in connection with a voluntary resignation. In addition, Mr. Hennessy is not entitled to severance benefits under the Company’s Severance Plan under the terms of the employment agreement.</w:t>
      </w:r>
    </w:p>
    <w:p>
      <w:pPr>
        <w:spacing w:after="0" w:line="63" w:lineRule="exact"/>
        <w:rPr>
          <w:sz w:val="20"/>
          <w:szCs w:val="20"/>
          <w:color w:val="auto"/>
        </w:rPr>
      </w:pPr>
    </w:p>
    <w:p>
      <w:pPr>
        <w:ind w:right="160" w:firstLine="324"/>
        <w:spacing w:after="0" w:line="262" w:lineRule="auto"/>
        <w:rPr>
          <w:sz w:val="20"/>
          <w:szCs w:val="20"/>
          <w:color w:val="auto"/>
        </w:rPr>
      </w:pPr>
      <w:r>
        <w:rPr>
          <w:rFonts w:ascii="Arial" w:cs="Arial" w:eastAsia="Arial" w:hAnsi="Arial"/>
          <w:sz w:val="18"/>
          <w:szCs w:val="18"/>
          <w:color w:val="auto"/>
        </w:rPr>
        <w:t>Mr. Hennessy is also subject to the Company’s Confidentiality, Non-Disclosure, Inventions, Non-Solicitation and Non-Competition Agreement, which contains customary confidentiality, non-competition, and non-solicitation of employees or customers provision. Under the agreement, Mr. Hennessy cannot compete with the Company for a 12 month period after termination. The non-solicitation covenant also extends for 12 months after termination.</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EF3A35"/>
        </w:rPr>
        <w:t>Rik Powell</w:t>
      </w:r>
    </w:p>
    <w:p>
      <w:pPr>
        <w:spacing w:after="0" w:line="117" w:lineRule="exact"/>
        <w:rPr>
          <w:sz w:val="20"/>
          <w:szCs w:val="20"/>
          <w:color w:val="auto"/>
        </w:rPr>
      </w:pPr>
    </w:p>
    <w:p>
      <w:pPr>
        <w:ind w:right="560" w:firstLine="324"/>
        <w:spacing w:after="0" w:line="287" w:lineRule="auto"/>
        <w:rPr>
          <w:sz w:val="20"/>
          <w:szCs w:val="20"/>
          <w:color w:val="auto"/>
        </w:rPr>
      </w:pPr>
      <w:r>
        <w:rPr>
          <w:rFonts w:ascii="Arial" w:cs="Arial" w:eastAsia="Arial" w:hAnsi="Arial"/>
          <w:sz w:val="18"/>
          <w:szCs w:val="18"/>
          <w:color w:val="auto"/>
        </w:rPr>
        <w:t>Mr. Powell is employed as our Chief Financial Officer pursuant to an employment agreement dated October 30, 2024. Mr. Powell’s employment agreement generally provides for the following key terms:</w:t>
      </w:r>
    </w:p>
    <w:p>
      <w:pPr>
        <w:spacing w:after="0" w:line="45"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at-will employment, which commenced effective November 1, 2024;</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 salary of $450,000;</w:t>
      </w:r>
    </w:p>
    <w:p>
      <w:pPr>
        <w:spacing w:after="0" w:line="117" w:lineRule="exact"/>
        <w:rPr>
          <w:rFonts w:ascii="Arial" w:cs="Arial" w:eastAsia="Arial" w:hAnsi="Arial"/>
          <w:sz w:val="18"/>
          <w:szCs w:val="18"/>
          <w:color w:val="auto"/>
        </w:rPr>
      </w:pPr>
    </w:p>
    <w:p>
      <w:pPr>
        <w:ind w:left="660" w:right="180" w:hanging="328"/>
        <w:spacing w:after="0" w:line="318" w:lineRule="auto"/>
        <w:tabs>
          <w:tab w:leader="none" w:pos="655" w:val="left"/>
        </w:tabs>
        <w:numPr>
          <w:ilvl w:val="0"/>
          <w:numId w:val="33"/>
        </w:numPr>
        <w:rPr>
          <w:rFonts w:ascii="Arial" w:cs="Arial" w:eastAsia="Arial" w:hAnsi="Arial"/>
          <w:sz w:val="17"/>
          <w:szCs w:val="17"/>
          <w:color w:val="auto"/>
        </w:rPr>
      </w:pPr>
      <w:r>
        <w:rPr>
          <w:rFonts w:ascii="Arial" w:cs="Arial" w:eastAsia="Arial" w:hAnsi="Arial"/>
          <w:sz w:val="17"/>
          <w:szCs w:val="17"/>
          <w:color w:val="auto"/>
        </w:rPr>
        <w:t>an annual cash bonus opportunity, with a target award equal to 60% of his base salary, based on the achievement of individual and company performance-based objectives established by our Compensation Committee and pro-rated for his initial year of service;</w:t>
      </w:r>
    </w:p>
    <w:p>
      <w:pPr>
        <w:spacing w:after="0" w:line="21" w:lineRule="exact"/>
        <w:rPr>
          <w:rFonts w:ascii="Arial" w:cs="Arial" w:eastAsia="Arial" w:hAnsi="Arial"/>
          <w:sz w:val="17"/>
          <w:szCs w:val="17"/>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ability to participate in employee benefit plans generally available to those of our other executive officers;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reimbursement for necessary and reasonable business expenses.</w:t>
      </w:r>
    </w:p>
    <w:p>
      <w:pPr>
        <w:spacing w:after="0" w:line="117" w:lineRule="exact"/>
        <w:rPr>
          <w:sz w:val="20"/>
          <w:szCs w:val="20"/>
          <w:color w:val="auto"/>
        </w:rPr>
      </w:pPr>
    </w:p>
    <w:p>
      <w:pPr>
        <w:ind w:right="400" w:firstLine="324"/>
        <w:spacing w:after="0" w:line="287" w:lineRule="auto"/>
        <w:rPr>
          <w:sz w:val="20"/>
          <w:szCs w:val="20"/>
          <w:color w:val="auto"/>
        </w:rPr>
      </w:pPr>
      <w:r>
        <w:rPr>
          <w:rFonts w:ascii="Arial" w:cs="Arial" w:eastAsia="Arial" w:hAnsi="Arial"/>
          <w:sz w:val="18"/>
          <w:szCs w:val="18"/>
          <w:color w:val="auto"/>
        </w:rPr>
        <w:t>The employment agreement provides for the following severance benefits, subject to the execution of a release and compliance with certain restrictive covenants:</w:t>
      </w:r>
    </w:p>
    <w:p>
      <w:pPr>
        <w:spacing w:after="0" w:line="45" w:lineRule="exact"/>
        <w:rPr>
          <w:sz w:val="20"/>
          <w:szCs w:val="20"/>
          <w:color w:val="auto"/>
        </w:rPr>
      </w:pPr>
    </w:p>
    <w:p>
      <w:pPr>
        <w:ind w:left="660" w:right="20" w:hanging="247"/>
        <w:spacing w:after="0" w:line="259"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 the event of a termination by the Company other than “cause” or due to death or “disability” at any time other than during the twelve-month period immediately following a “change of control” (each as defined in the employment agreement), (i) continued payment of his salary for twelve months, (ii) reimbursement for certain medical insurance premiums for up to twelve months, (ii) the immediate vesting of any outstanding equity awards that would have vested within the twelve months following termination, and (iv) a prorated annual bonus based on actual performance.</w:t>
      </w:r>
    </w:p>
    <w:p>
      <w:pPr>
        <w:spacing w:after="0" w:line="71" w:lineRule="exact"/>
        <w:rPr>
          <w:rFonts w:ascii="Arial" w:cs="Arial" w:eastAsia="Arial" w:hAnsi="Arial"/>
          <w:sz w:val="18"/>
          <w:szCs w:val="18"/>
          <w:color w:val="auto"/>
        </w:rPr>
      </w:pPr>
    </w:p>
    <w:p>
      <w:pPr>
        <w:ind w:left="660" w:right="100" w:hanging="247"/>
        <w:spacing w:after="0" w:line="259"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 the event of a termination by the Company other than cause or due to death or disability, or upon a resignation for “good reason” (as defined in the employment agreement) during the twelve-month period immediately following a change of control, (i) a lump sum payment equal to twelve months of base salary, (ii) reimbursement for certain medical insurance premiums for up to twelve months, (iii) the immediate vesting of all unvested equity awards, and (iv) a lump sum payment equal to the target bonus amount for the year of termination.</w:t>
      </w:r>
    </w:p>
    <w:p>
      <w:pPr>
        <w:spacing w:after="0" w:line="71" w:lineRule="exact"/>
        <w:rPr>
          <w:sz w:val="20"/>
          <w:szCs w:val="20"/>
          <w:color w:val="auto"/>
        </w:rPr>
      </w:pPr>
    </w:p>
    <w:p>
      <w:pPr>
        <w:ind w:firstLine="324"/>
        <w:spacing w:after="0" w:line="262" w:lineRule="auto"/>
        <w:rPr>
          <w:sz w:val="20"/>
          <w:szCs w:val="20"/>
          <w:color w:val="auto"/>
        </w:rPr>
      </w:pPr>
      <w:r>
        <w:rPr>
          <w:rFonts w:ascii="Arial" w:cs="Arial" w:eastAsia="Arial" w:hAnsi="Arial"/>
          <w:sz w:val="18"/>
          <w:szCs w:val="18"/>
          <w:color w:val="auto"/>
        </w:rPr>
        <w:t>Mr. Powell is also subject to the Company’s Confidentiality, Non-Disclosure, Inventions, Non-Solicitation and Non-Competition Agreement, which contains customary confidentiality, non-competition, and non-solicitation of employees or customers provision. Under the agreement, Mr. Powell cannot compete with the Company for a 12-month period after termination. The non-solicitation covenant also extends for 12 months after termination.</w:t>
      </w:r>
    </w:p>
    <w:p>
      <w:pPr>
        <w:spacing w:after="0" w:line="68" w:lineRule="exact"/>
        <w:rPr>
          <w:sz w:val="20"/>
          <w:szCs w:val="20"/>
          <w:color w:val="auto"/>
        </w:rPr>
      </w:pPr>
    </w:p>
    <w:p>
      <w:pPr>
        <w:ind w:right="160" w:firstLine="324"/>
        <w:spacing w:after="0" w:line="287" w:lineRule="auto"/>
        <w:rPr>
          <w:sz w:val="20"/>
          <w:szCs w:val="20"/>
          <w:color w:val="auto"/>
        </w:rPr>
      </w:pPr>
      <w:r>
        <w:rPr>
          <w:rFonts w:ascii="Arial" w:cs="Arial" w:eastAsia="Arial" w:hAnsi="Arial"/>
          <w:sz w:val="18"/>
          <w:szCs w:val="18"/>
          <w:color w:val="auto"/>
        </w:rPr>
        <w:t>On January 27, 2025, the Compensation Committee approved the following changes to Mr. Powell’s compensation to align with his role as Chief Financial Officer:</w:t>
      </w:r>
    </w:p>
    <w:p>
      <w:pPr>
        <w:spacing w:after="0" w:line="45" w:lineRule="exact"/>
        <w:rPr>
          <w:sz w:val="20"/>
          <w:szCs w:val="20"/>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 salary of $550,000; and</w:t>
      </w:r>
    </w:p>
    <w:p>
      <w:pPr>
        <w:spacing w:after="0" w:line="117" w:lineRule="exact"/>
        <w:rPr>
          <w:rFonts w:ascii="Arial" w:cs="Arial" w:eastAsia="Arial" w:hAnsi="Arial"/>
          <w:sz w:val="18"/>
          <w:szCs w:val="18"/>
          <w:color w:val="auto"/>
        </w:rPr>
      </w:pPr>
    </w:p>
    <w:p>
      <w:pPr>
        <w:ind w:left="660" w:right="180" w:hanging="328"/>
        <w:spacing w:after="0" w:line="287"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 annual cash bonus opportunity, with a target award equal to 70% of his base salary, based on the achievement of individual and company performance-based objectives established by our Compensation Committee.</w:t>
      </w:r>
    </w:p>
    <w:p>
      <w:pPr>
        <w:sectPr>
          <w:pgSz w:w="11900" w:h="16838" w:orient="portrait"/>
          <w:cols w:equalWidth="0" w:num="1">
            <w:col w:w="11240"/>
          </w:cols>
          <w:pgMar w:left="320" w:top="93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240"/>
          </w:cols>
          <w:pgMar w:left="320" w:top="931" w:right="339" w:bottom="1440" w:gutter="0" w:footer="0" w:header="0"/>
          <w:type w:val="continuous"/>
        </w:sectPr>
      </w:pPr>
    </w:p>
    <w:bookmarkStart w:id="37" w:name="page38"/>
    <w:bookmarkEnd w:id="37"/>
    <w:p>
      <w:pPr>
        <w:spacing w:after="0"/>
        <w:rPr>
          <w:sz w:val="20"/>
          <w:szCs w:val="20"/>
          <w:color w:val="auto"/>
        </w:rPr>
      </w:pPr>
      <w:r>
        <w:rPr>
          <w:rFonts w:ascii="Arial" w:cs="Arial" w:eastAsia="Arial" w:hAnsi="Arial"/>
          <w:sz w:val="21"/>
          <w:szCs w:val="21"/>
          <w:b w:val="1"/>
          <w:bCs w:val="1"/>
          <w:color w:val="EF3A35"/>
        </w:rPr>
        <w:t>Grants of Plan-Based Awards in 2024</w:t>
      </w:r>
    </w:p>
    <w:p>
      <w:pPr>
        <w:sectPr>
          <w:pgSz w:w="11900" w:h="16838" w:orient="portrait"/>
          <w:cols w:equalWidth="0" w:num="1">
            <w:col w:w="11220"/>
          </w:cols>
          <w:pgMar w:left="320" w:top="881" w:right="359" w:bottom="1440" w:gutter="0" w:footer="0" w:header="0"/>
        </w:sectPr>
      </w:pPr>
    </w:p>
    <w:p>
      <w:pPr>
        <w:spacing w:after="0" w:line="200"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8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100" w:type="dxa"/>
            <w:vAlign w:val="bottom"/>
            <w:gridSpan w:val="3"/>
          </w:tcPr>
          <w:p>
            <w:pPr>
              <w:jc w:val="center"/>
              <w:spacing w:after="0"/>
              <w:rPr>
                <w:sz w:val="20"/>
                <w:szCs w:val="20"/>
                <w:color w:val="auto"/>
              </w:rPr>
            </w:pPr>
            <w:r>
              <w:rPr>
                <w:rFonts w:ascii="Arial" w:cs="Arial" w:eastAsia="Arial" w:hAnsi="Arial"/>
                <w:sz w:val="13"/>
                <w:szCs w:val="13"/>
                <w:b w:val="1"/>
                <w:bCs w:val="1"/>
                <w:color w:val="auto"/>
                <w:w w:val="96"/>
              </w:rPr>
              <w:t>Estimated Future Payouts Under Non-Equity</w:t>
            </w:r>
          </w:p>
        </w:tc>
        <w:tc>
          <w:tcPr>
            <w:tcW w:w="2980" w:type="dxa"/>
            <w:vAlign w:val="bottom"/>
            <w:gridSpan w:val="3"/>
          </w:tcPr>
          <w:p>
            <w:pPr>
              <w:jc w:val="center"/>
              <w:spacing w:after="0"/>
              <w:rPr>
                <w:sz w:val="20"/>
                <w:szCs w:val="20"/>
                <w:color w:val="auto"/>
              </w:rPr>
            </w:pPr>
            <w:r>
              <w:rPr>
                <w:rFonts w:ascii="Arial" w:cs="Arial" w:eastAsia="Arial" w:hAnsi="Arial"/>
                <w:sz w:val="13"/>
                <w:szCs w:val="13"/>
                <w:b w:val="1"/>
                <w:bCs w:val="1"/>
                <w:color w:val="auto"/>
                <w:w w:val="97"/>
              </w:rPr>
              <w:t>Estimated Future Payouts Under Equity</w:t>
            </w:r>
          </w:p>
        </w:tc>
        <w:tc>
          <w:tcPr>
            <w:tcW w:w="0" w:type="dxa"/>
            <w:vAlign w:val="bottom"/>
          </w:tcPr>
          <w:p>
            <w:pPr>
              <w:spacing w:after="0"/>
              <w:rPr>
                <w:sz w:val="1"/>
                <w:szCs w:val="1"/>
                <w:color w:val="auto"/>
              </w:rPr>
            </w:pPr>
          </w:p>
        </w:tc>
      </w:tr>
      <w:tr>
        <w:trPr>
          <w:trHeight w:val="193"/>
        </w:trPr>
        <w:tc>
          <w:tcPr>
            <w:tcW w:w="820" w:type="dxa"/>
            <w:vAlign w:val="bottom"/>
          </w:tcPr>
          <w:p>
            <w:pPr>
              <w:spacing w:after="0"/>
              <w:rPr>
                <w:sz w:val="16"/>
                <w:szCs w:val="16"/>
                <w:color w:val="auto"/>
              </w:rPr>
            </w:pPr>
          </w:p>
        </w:tc>
        <w:tc>
          <w:tcPr>
            <w:tcW w:w="1040" w:type="dxa"/>
            <w:vAlign w:val="bottom"/>
            <w:vMerge w:val="restart"/>
          </w:tcPr>
          <w:p>
            <w:pPr>
              <w:jc w:val="center"/>
              <w:ind w:left="197"/>
              <w:spacing w:after="0"/>
              <w:rPr>
                <w:sz w:val="20"/>
                <w:szCs w:val="20"/>
                <w:color w:val="auto"/>
              </w:rPr>
            </w:pPr>
            <w:r>
              <w:rPr>
                <w:rFonts w:ascii="Arial" w:cs="Arial" w:eastAsia="Arial" w:hAnsi="Arial"/>
                <w:sz w:val="13"/>
                <w:szCs w:val="13"/>
                <w:b w:val="1"/>
                <w:bCs w:val="1"/>
                <w:color w:val="auto"/>
                <w:w w:val="97"/>
              </w:rPr>
              <w:t>Grant</w:t>
            </w:r>
          </w:p>
        </w:tc>
        <w:tc>
          <w:tcPr>
            <w:tcW w:w="310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97"/>
              </w:rPr>
              <w:t>Incentive Plan Awards</w:t>
            </w:r>
          </w:p>
        </w:tc>
        <w:tc>
          <w:tcPr>
            <w:tcW w:w="298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93"/>
              </w:rPr>
              <w:t>Incentive Plan Awards</w:t>
            </w:r>
            <w:r>
              <w:rPr>
                <w:rFonts w:ascii="Arial" w:cs="Arial" w:eastAsia="Arial" w:hAnsi="Arial"/>
                <w:sz w:val="16"/>
                <w:szCs w:val="16"/>
                <w:b w:val="1"/>
                <w:bCs w:val="1"/>
                <w:color w:val="auto"/>
                <w:w w:val="93"/>
                <w:vertAlign w:val="superscript"/>
              </w:rPr>
              <w:t>(1)(2)</w:t>
            </w:r>
          </w:p>
        </w:tc>
        <w:tc>
          <w:tcPr>
            <w:tcW w:w="0" w:type="dxa"/>
            <w:vAlign w:val="bottom"/>
          </w:tcPr>
          <w:p>
            <w:pPr>
              <w:spacing w:after="0"/>
              <w:rPr>
                <w:sz w:val="1"/>
                <w:szCs w:val="1"/>
                <w:color w:val="auto"/>
              </w:rPr>
            </w:pPr>
          </w:p>
        </w:tc>
      </w:tr>
      <w:tr>
        <w:trPr>
          <w:trHeight w:val="57"/>
        </w:trPr>
        <w:tc>
          <w:tcPr>
            <w:tcW w:w="82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1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820" w:type="dxa"/>
            <w:vAlign w:val="bottom"/>
          </w:tcPr>
          <w:p>
            <w:pPr>
              <w:spacing w:after="0"/>
              <w:rPr>
                <w:sz w:val="20"/>
                <w:szCs w:val="20"/>
                <w:color w:val="auto"/>
              </w:rPr>
            </w:pPr>
            <w:r>
              <w:rPr>
                <w:rFonts w:ascii="Arial" w:cs="Arial" w:eastAsia="Arial" w:hAnsi="Arial"/>
                <w:sz w:val="13"/>
                <w:szCs w:val="13"/>
                <w:b w:val="1"/>
                <w:bCs w:val="1"/>
                <w:color w:val="auto"/>
              </w:rPr>
              <w:t>Name</w:t>
            </w:r>
          </w:p>
        </w:tc>
        <w:tc>
          <w:tcPr>
            <w:tcW w:w="1040" w:type="dxa"/>
            <w:vAlign w:val="bottom"/>
          </w:tcPr>
          <w:p>
            <w:pPr>
              <w:jc w:val="center"/>
              <w:ind w:left="177"/>
              <w:spacing w:after="0"/>
              <w:rPr>
                <w:sz w:val="20"/>
                <w:szCs w:val="20"/>
                <w:color w:val="auto"/>
              </w:rPr>
            </w:pPr>
            <w:r>
              <w:rPr>
                <w:rFonts w:ascii="Arial" w:cs="Arial" w:eastAsia="Arial" w:hAnsi="Arial"/>
                <w:sz w:val="13"/>
                <w:szCs w:val="13"/>
                <w:b w:val="1"/>
                <w:bCs w:val="1"/>
                <w:color w:val="auto"/>
                <w:w w:val="99"/>
              </w:rPr>
              <w:t>Date</w:t>
            </w:r>
          </w:p>
        </w:tc>
        <w:tc>
          <w:tcPr>
            <w:tcW w:w="1100" w:type="dxa"/>
            <w:vAlign w:val="bottom"/>
          </w:tcPr>
          <w:p>
            <w:pPr>
              <w:ind w:left="120"/>
              <w:spacing w:after="0"/>
              <w:rPr>
                <w:sz w:val="20"/>
                <w:szCs w:val="20"/>
                <w:color w:val="auto"/>
              </w:rPr>
            </w:pPr>
            <w:r>
              <w:rPr>
                <w:rFonts w:ascii="Arial" w:cs="Arial" w:eastAsia="Arial" w:hAnsi="Arial"/>
                <w:sz w:val="13"/>
                <w:szCs w:val="13"/>
                <w:b w:val="1"/>
                <w:bCs w:val="1"/>
                <w:color w:val="auto"/>
              </w:rPr>
              <w:t>Threshold ($)</w:t>
            </w: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w w:val="97"/>
              </w:rPr>
              <w:t>Target ($)</w:t>
            </w:r>
          </w:p>
        </w:tc>
        <w:tc>
          <w:tcPr>
            <w:tcW w:w="1080" w:type="dxa"/>
            <w:vAlign w:val="bottom"/>
          </w:tcPr>
          <w:p>
            <w:pPr>
              <w:ind w:left="180"/>
              <w:spacing w:after="0"/>
              <w:rPr>
                <w:sz w:val="20"/>
                <w:szCs w:val="20"/>
                <w:color w:val="auto"/>
              </w:rPr>
            </w:pPr>
            <w:r>
              <w:rPr>
                <w:rFonts w:ascii="Arial" w:cs="Arial" w:eastAsia="Arial" w:hAnsi="Arial"/>
                <w:sz w:val="13"/>
                <w:szCs w:val="13"/>
                <w:b w:val="1"/>
                <w:bCs w:val="1"/>
                <w:color w:val="auto"/>
              </w:rPr>
              <w:t>Maximum ($)</w:t>
            </w:r>
          </w:p>
        </w:tc>
        <w:tc>
          <w:tcPr>
            <w:tcW w:w="1100" w:type="dxa"/>
            <w:vAlign w:val="bottom"/>
          </w:tcPr>
          <w:p>
            <w:pPr>
              <w:ind w:left="160"/>
              <w:spacing w:after="0"/>
              <w:rPr>
                <w:sz w:val="20"/>
                <w:szCs w:val="20"/>
                <w:color w:val="auto"/>
              </w:rPr>
            </w:pPr>
            <w:r>
              <w:rPr>
                <w:rFonts w:ascii="Arial" w:cs="Arial" w:eastAsia="Arial" w:hAnsi="Arial"/>
                <w:sz w:val="13"/>
                <w:szCs w:val="13"/>
                <w:b w:val="1"/>
                <w:bCs w:val="1"/>
                <w:color w:val="auto"/>
              </w:rPr>
              <w:t>Threshold (#)</w:t>
            </w:r>
          </w:p>
        </w:tc>
        <w:tc>
          <w:tcPr>
            <w:tcW w:w="840" w:type="dxa"/>
            <w:vAlign w:val="bottom"/>
          </w:tcPr>
          <w:p>
            <w:pPr>
              <w:ind w:left="140"/>
              <w:spacing w:after="0"/>
              <w:rPr>
                <w:sz w:val="20"/>
                <w:szCs w:val="20"/>
                <w:color w:val="auto"/>
              </w:rPr>
            </w:pPr>
            <w:r>
              <w:rPr>
                <w:rFonts w:ascii="Arial" w:cs="Arial" w:eastAsia="Arial" w:hAnsi="Arial"/>
                <w:sz w:val="13"/>
                <w:szCs w:val="13"/>
                <w:b w:val="1"/>
                <w:bCs w:val="1"/>
                <w:color w:val="auto"/>
              </w:rPr>
              <w:t>Target (#)</w:t>
            </w:r>
          </w:p>
        </w:tc>
        <w:tc>
          <w:tcPr>
            <w:tcW w:w="1040" w:type="dxa"/>
            <w:vAlign w:val="bottom"/>
          </w:tcPr>
          <w:p>
            <w:pPr>
              <w:ind w:left="120"/>
              <w:spacing w:after="0"/>
              <w:rPr>
                <w:sz w:val="20"/>
                <w:szCs w:val="20"/>
                <w:color w:val="auto"/>
              </w:rPr>
            </w:pPr>
            <w:r>
              <w:rPr>
                <w:rFonts w:ascii="Arial" w:cs="Arial" w:eastAsia="Arial" w:hAnsi="Arial"/>
                <w:sz w:val="13"/>
                <w:szCs w:val="13"/>
                <w:b w:val="1"/>
                <w:bCs w:val="1"/>
                <w:color w:val="auto"/>
              </w:rPr>
              <w:t>Maximum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2343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89" w:lineRule="exact"/>
        <w:rPr>
          <w:sz w:val="20"/>
          <w:szCs w:val="20"/>
          <w:color w:val="auto"/>
        </w:rPr>
      </w:pPr>
    </w:p>
    <w:p>
      <w:pPr>
        <w:ind w:right="40" w:firstLine="78"/>
        <w:spacing w:after="0" w:line="268" w:lineRule="auto"/>
        <w:rPr>
          <w:sz w:val="20"/>
          <w:szCs w:val="20"/>
          <w:color w:val="auto"/>
        </w:rPr>
      </w:pPr>
      <w:r>
        <w:rPr>
          <w:rFonts w:ascii="Arial" w:cs="Arial" w:eastAsia="Arial" w:hAnsi="Arial"/>
          <w:sz w:val="12"/>
          <w:szCs w:val="12"/>
          <w:b w:val="1"/>
          <w:bCs w:val="1"/>
          <w:color w:val="auto"/>
        </w:rPr>
        <w:t>All Other Stock Awards: Grant Date Fair Value of Number of Shares or Units Stock and Option Awards</w:t>
      </w:r>
    </w:p>
    <w:p>
      <w:pPr>
        <w:ind w:left="660"/>
        <w:spacing w:after="0" w:line="181" w:lineRule="auto"/>
        <w:tabs>
          <w:tab w:leader="none" w:pos="2280" w:val="left"/>
        </w:tabs>
        <w:rPr>
          <w:sz w:val="20"/>
          <w:szCs w:val="20"/>
          <w:color w:val="auto"/>
        </w:rPr>
      </w:pPr>
      <w:r>
        <w:rPr>
          <w:rFonts w:ascii="Arial" w:cs="Arial" w:eastAsia="Arial" w:hAnsi="Arial"/>
          <w:sz w:val="20"/>
          <w:szCs w:val="20"/>
          <w:b w:val="1"/>
          <w:bCs w:val="1"/>
          <w:color w:val="auto"/>
          <w:vertAlign w:val="subscript"/>
        </w:rPr>
        <w:t>(#)</w:t>
      </w:r>
      <w:r>
        <w:rPr>
          <w:rFonts w:ascii="Arial" w:cs="Arial" w:eastAsia="Arial" w:hAnsi="Arial"/>
          <w:sz w:val="7"/>
          <w:szCs w:val="7"/>
          <w:b w:val="1"/>
          <w:bCs w:val="1"/>
          <w:color w:val="auto"/>
        </w:rPr>
        <w:t>(3)</w:t>
      </w:r>
      <w:r>
        <w:rPr>
          <w:sz w:val="20"/>
          <w:szCs w:val="20"/>
          <w:color w:val="auto"/>
        </w:rPr>
        <w:tab/>
      </w:r>
      <w:r>
        <w:rPr>
          <w:rFonts w:ascii="Arial" w:cs="Arial" w:eastAsia="Arial" w:hAnsi="Arial"/>
          <w:sz w:val="20"/>
          <w:szCs w:val="20"/>
          <w:b w:val="1"/>
          <w:bCs w:val="1"/>
          <w:color w:val="auto"/>
          <w:vertAlign w:val="subscript"/>
        </w:rPr>
        <w:t>($)</w:t>
      </w:r>
      <w:r>
        <w:rPr>
          <w:rFonts w:ascii="Arial" w:cs="Arial" w:eastAsia="Arial" w:hAnsi="Arial"/>
          <w:sz w:val="7"/>
          <w:szCs w:val="7"/>
          <w:b w:val="1"/>
          <w:bCs w:val="1"/>
          <w:color w:val="auto"/>
        </w:rPr>
        <w:t>(4)</w:t>
      </w:r>
    </w:p>
    <w:p>
      <w:pPr>
        <w:spacing w:after="0" w:line="44" w:lineRule="exact"/>
        <w:rPr>
          <w:sz w:val="20"/>
          <w:szCs w:val="20"/>
          <w:color w:val="auto"/>
        </w:rPr>
      </w:pPr>
    </w:p>
    <w:p>
      <w:pPr>
        <w:sectPr>
          <w:pgSz w:w="11900" w:h="16838" w:orient="portrait"/>
          <w:cols w:equalWidth="0" w:num="2">
            <w:col w:w="7960" w:space="20"/>
            <w:col w:w="3240"/>
          </w:cols>
          <w:pgMar w:left="320" w:top="881" w:right="359" w:bottom="1440" w:gutter="0" w:footer="0" w:header="0"/>
          <w:type w:val="continuous"/>
        </w:sectPr>
      </w:pPr>
    </w:p>
    <w:p>
      <w:pPr>
        <w:ind w:left="60"/>
        <w:spacing w:after="0"/>
        <w:rPr>
          <w:sz w:val="20"/>
          <w:szCs w:val="20"/>
          <w:color w:val="auto"/>
        </w:rPr>
      </w:pPr>
      <w:r>
        <w:rPr>
          <w:rFonts w:ascii="Arial" w:cs="Arial" w:eastAsia="Arial" w:hAnsi="Arial"/>
          <w:sz w:val="13"/>
          <w:szCs w:val="13"/>
          <w:b w:val="1"/>
          <w:bCs w:val="1"/>
          <w:color w:val="auto"/>
        </w:rPr>
        <w:t>Jonathan</w:t>
      </w:r>
    </w:p>
    <w:p>
      <w:pPr>
        <w:spacing w:after="0" w:line="11" w:lineRule="exact"/>
        <w:rPr>
          <w:sz w:val="20"/>
          <w:szCs w:val="20"/>
          <w:color w:val="auto"/>
        </w:rPr>
      </w:pPr>
    </w:p>
    <w:p>
      <w:pPr>
        <w:ind w:left="60"/>
        <w:spacing w:after="0"/>
        <w:rPr>
          <w:sz w:val="20"/>
          <w:szCs w:val="20"/>
          <w:color w:val="auto"/>
        </w:rPr>
      </w:pPr>
      <w:r>
        <w:rPr>
          <w:rFonts w:ascii="Arial" w:cs="Arial" w:eastAsia="Arial" w:hAnsi="Arial"/>
          <w:sz w:val="13"/>
          <w:szCs w:val="13"/>
          <w:b w:val="1"/>
          <w:bCs w:val="1"/>
          <w:color w:val="auto"/>
        </w:rPr>
        <w:t>Oringer</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40" w:type="dxa"/>
            <w:vAlign w:val="bottom"/>
          </w:tcPr>
          <w:p>
            <w:pPr>
              <w:ind w:left="60"/>
              <w:spacing w:after="0"/>
              <w:rPr>
                <w:sz w:val="20"/>
                <w:szCs w:val="20"/>
                <w:color w:val="auto"/>
              </w:rPr>
            </w:pPr>
            <w:r>
              <w:rPr>
                <w:rFonts w:ascii="Arial" w:cs="Arial" w:eastAsia="Arial" w:hAnsi="Arial"/>
                <w:sz w:val="13"/>
                <w:szCs w:val="13"/>
                <w:color w:val="auto"/>
                <w:w w:val="89"/>
              </w:rPr>
              <w:t>2024</w:t>
            </w:r>
          </w:p>
        </w:tc>
        <w:tc>
          <w:tcPr>
            <w:tcW w:w="780" w:type="dxa"/>
            <w:vAlign w:val="bottom"/>
          </w:tcPr>
          <w:p>
            <w:pPr>
              <w:ind w:left="20"/>
              <w:spacing w:after="0"/>
              <w:rPr>
                <w:sz w:val="20"/>
                <w:szCs w:val="20"/>
                <w:color w:val="auto"/>
              </w:rPr>
            </w:pPr>
            <w:r>
              <w:rPr>
                <w:rFonts w:ascii="Arial" w:cs="Arial" w:eastAsia="Arial" w:hAnsi="Arial"/>
                <w:sz w:val="13"/>
                <w:szCs w:val="13"/>
                <w:color w:val="auto"/>
              </w:rPr>
              <w:t>Annual</w:t>
            </w:r>
          </w:p>
        </w:tc>
        <w:tc>
          <w:tcPr>
            <w:tcW w:w="8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1120" w:type="dxa"/>
            <w:vAlign w:val="bottom"/>
            <w:gridSpan w:val="2"/>
          </w:tcPr>
          <w:p>
            <w:pPr>
              <w:ind w:left="60"/>
              <w:spacing w:after="0"/>
              <w:rPr>
                <w:sz w:val="20"/>
                <w:szCs w:val="20"/>
                <w:color w:val="auto"/>
              </w:rPr>
            </w:pPr>
            <w:r>
              <w:rPr>
                <w:rFonts w:ascii="Arial" w:cs="Arial" w:eastAsia="Arial" w:hAnsi="Arial"/>
                <w:sz w:val="13"/>
                <w:szCs w:val="13"/>
                <w:color w:val="auto"/>
              </w:rPr>
              <w:t>Cash Bonus</w:t>
            </w:r>
          </w:p>
        </w:tc>
        <w:tc>
          <w:tcPr>
            <w:tcW w:w="84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3"/>
                <w:szCs w:val="13"/>
                <w:color w:val="auto"/>
                <w:w w:val="92"/>
              </w:rPr>
              <w:t>___</w:t>
            </w:r>
          </w:p>
        </w:tc>
        <w:tc>
          <w:tcPr>
            <w:tcW w:w="1100" w:type="dxa"/>
            <w:vAlign w:val="bottom"/>
          </w:tcPr>
          <w:p>
            <w:pPr>
              <w:jc w:val="center"/>
              <w:spacing w:after="0"/>
              <w:rPr>
                <w:sz w:val="20"/>
                <w:szCs w:val="20"/>
                <w:color w:val="auto"/>
              </w:rPr>
            </w:pPr>
            <w:r>
              <w:rPr>
                <w:rFonts w:ascii="Arial" w:cs="Arial" w:eastAsia="Arial" w:hAnsi="Arial"/>
                <w:sz w:val="13"/>
                <w:szCs w:val="13"/>
                <w:color w:val="auto"/>
              </w:rPr>
              <w:t>___</w:t>
            </w:r>
          </w:p>
        </w:tc>
        <w:tc>
          <w:tcPr>
            <w:tcW w:w="2020" w:type="dxa"/>
            <w:vAlign w:val="bottom"/>
          </w:tcPr>
          <w:p>
            <w:pPr>
              <w:jc w:val="center"/>
              <w:ind w:right="997"/>
              <w:spacing w:after="0"/>
              <w:rPr>
                <w:sz w:val="20"/>
                <w:szCs w:val="20"/>
                <w:color w:val="auto"/>
              </w:rPr>
            </w:pPr>
            <w:r>
              <w:rPr>
                <w:rFonts w:ascii="Arial" w:cs="Arial" w:eastAsia="Arial" w:hAnsi="Arial"/>
                <w:sz w:val="13"/>
                <w:szCs w:val="13"/>
                <w:color w:val="auto"/>
                <w:w w:val="92"/>
              </w:rPr>
              <w:t>___</w:t>
            </w:r>
          </w:p>
        </w:tc>
        <w:tc>
          <w:tcPr>
            <w:tcW w:w="9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120" w:type="dxa"/>
            <w:vAlign w:val="bottom"/>
            <w:gridSpan w:val="2"/>
          </w:tcPr>
          <w:p>
            <w:pPr>
              <w:ind w:left="60"/>
              <w:spacing w:after="0"/>
              <w:rPr>
                <w:sz w:val="20"/>
                <w:szCs w:val="20"/>
                <w:color w:val="auto"/>
              </w:rPr>
            </w:pPr>
            <w:r>
              <w:rPr>
                <w:rFonts w:ascii="Arial" w:cs="Arial" w:eastAsia="Arial" w:hAnsi="Arial"/>
                <w:sz w:val="13"/>
                <w:szCs w:val="13"/>
                <w:color w:val="auto"/>
              </w:rPr>
              <w:t>2024 RSU Grants</w:t>
            </w:r>
          </w:p>
        </w:tc>
        <w:tc>
          <w:tcPr>
            <w:tcW w:w="8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ind w:left="60"/>
              <w:spacing w:after="0"/>
              <w:rPr>
                <w:sz w:val="20"/>
                <w:szCs w:val="20"/>
                <w:color w:val="auto"/>
              </w:rPr>
            </w:pPr>
            <w:r>
              <w:rPr>
                <w:rFonts w:ascii="Arial" w:cs="Arial" w:eastAsia="Arial" w:hAnsi="Arial"/>
                <w:sz w:val="13"/>
                <w:szCs w:val="13"/>
                <w:color w:val="auto"/>
                <w:w w:val="89"/>
              </w:rPr>
              <w:t>2024</w:t>
            </w:r>
          </w:p>
        </w:tc>
        <w:tc>
          <w:tcPr>
            <w:tcW w:w="780" w:type="dxa"/>
            <w:vAlign w:val="bottom"/>
          </w:tcPr>
          <w:p>
            <w:pPr>
              <w:ind w:left="20"/>
              <w:spacing w:after="0"/>
              <w:rPr>
                <w:sz w:val="20"/>
                <w:szCs w:val="20"/>
                <w:color w:val="auto"/>
              </w:rPr>
            </w:pPr>
            <w:r>
              <w:rPr>
                <w:rFonts w:ascii="Arial" w:cs="Arial" w:eastAsia="Arial" w:hAnsi="Arial"/>
                <w:sz w:val="13"/>
                <w:szCs w:val="13"/>
                <w:color w:val="auto"/>
              </w:rPr>
              <w:t>PSU Grants</w:t>
            </w:r>
          </w:p>
        </w:tc>
        <w:tc>
          <w:tcPr>
            <w:tcW w:w="840" w:type="dxa"/>
            <w:vAlign w:val="bottom"/>
          </w:tcPr>
          <w:p>
            <w:pPr>
              <w:jc w:val="center"/>
              <w:ind w:right="37"/>
              <w:spacing w:after="0"/>
              <w:rPr>
                <w:sz w:val="20"/>
                <w:szCs w:val="20"/>
                <w:color w:val="auto"/>
              </w:rPr>
            </w:pPr>
            <w:r>
              <w:rPr>
                <w:rFonts w:ascii="Arial" w:cs="Arial" w:eastAsia="Arial" w:hAnsi="Arial"/>
                <w:sz w:val="13"/>
                <w:szCs w:val="13"/>
                <w:color w:val="auto"/>
                <w:w w:val="98"/>
              </w:rPr>
              <w:t>4/1/2024</w:t>
            </w:r>
          </w:p>
        </w:tc>
        <w:tc>
          <w:tcPr>
            <w:tcW w:w="9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20" w:type="dxa"/>
            <w:vAlign w:val="bottom"/>
          </w:tcPr>
          <w:p>
            <w:pPr>
              <w:jc w:val="right"/>
              <w:ind w:right="217"/>
              <w:spacing w:after="0"/>
              <w:rPr>
                <w:sz w:val="20"/>
                <w:szCs w:val="20"/>
                <w:color w:val="auto"/>
              </w:rPr>
            </w:pPr>
            <w:r>
              <w:rPr>
                <w:rFonts w:ascii="Arial" w:cs="Arial" w:eastAsia="Arial" w:hAnsi="Arial"/>
                <w:sz w:val="13"/>
                <w:szCs w:val="13"/>
                <w:color w:val="auto"/>
              </w:rPr>
              <w:t>81,913</w:t>
            </w:r>
          </w:p>
        </w:tc>
        <w:tc>
          <w:tcPr>
            <w:tcW w:w="960" w:type="dxa"/>
            <w:vAlign w:val="bottom"/>
          </w:tcPr>
          <w:p>
            <w:pPr>
              <w:jc w:val="center"/>
              <w:spacing w:after="0"/>
              <w:rPr>
                <w:sz w:val="20"/>
                <w:szCs w:val="20"/>
                <w:color w:val="auto"/>
              </w:rPr>
            </w:pPr>
            <w:r>
              <w:rPr>
                <w:rFonts w:ascii="Arial" w:cs="Arial" w:eastAsia="Arial" w:hAnsi="Arial"/>
                <w:sz w:val="13"/>
                <w:szCs w:val="13"/>
                <w:color w:val="auto"/>
                <w:w w:val="97"/>
              </w:rPr>
              <w:t>109,218</w:t>
            </w:r>
          </w:p>
        </w:tc>
        <w:tc>
          <w:tcPr>
            <w:tcW w:w="1160" w:type="dxa"/>
            <w:vAlign w:val="bottom"/>
          </w:tcPr>
          <w:p>
            <w:pPr>
              <w:jc w:val="center"/>
              <w:ind w:right="157"/>
              <w:spacing w:after="0"/>
              <w:rPr>
                <w:sz w:val="20"/>
                <w:szCs w:val="20"/>
                <w:color w:val="auto"/>
              </w:rPr>
            </w:pPr>
            <w:r>
              <w:rPr>
                <w:rFonts w:ascii="Arial" w:cs="Arial" w:eastAsia="Arial" w:hAnsi="Arial"/>
                <w:sz w:val="13"/>
                <w:szCs w:val="13"/>
                <w:color w:val="auto"/>
                <w:w w:val="97"/>
              </w:rPr>
              <w:t>163,827</w:t>
            </w:r>
          </w:p>
        </w:tc>
        <w:tc>
          <w:tcPr>
            <w:tcW w:w="142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Arial" w:cs="Arial" w:eastAsia="Arial" w:hAnsi="Arial"/>
                <w:sz w:val="13"/>
                <w:szCs w:val="13"/>
                <w:color w:val="auto"/>
                <w:w w:val="96"/>
              </w:rPr>
              <w:t>4,937,746</w:t>
            </w:r>
          </w:p>
        </w:tc>
        <w:tc>
          <w:tcPr>
            <w:tcW w:w="0" w:type="dxa"/>
            <w:vAlign w:val="bottom"/>
          </w:tcPr>
          <w:p>
            <w:pPr>
              <w:spacing w:after="0"/>
              <w:rPr>
                <w:sz w:val="1"/>
                <w:szCs w:val="1"/>
                <w:color w:val="auto"/>
              </w:rPr>
            </w:pPr>
          </w:p>
        </w:tc>
      </w:tr>
      <w:tr>
        <w:trPr>
          <w:trHeight w:val="28"/>
        </w:trPr>
        <w:tc>
          <w:tcPr>
            <w:tcW w:w="1120" w:type="dxa"/>
            <w:vAlign w:val="bottom"/>
            <w:tcBorders>
              <w:bottom w:val="single" w:sz="8" w:color="auto"/>
            </w:tcBorders>
            <w:gridSpan w:val="2"/>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4"/>
        </w:trPr>
        <w:tc>
          <w:tcPr>
            <w:tcW w:w="1120" w:type="dxa"/>
            <w:vAlign w:val="bottom"/>
            <w:gridSpan w:val="2"/>
          </w:tcPr>
          <w:p>
            <w:pPr>
              <w:ind w:left="60"/>
              <w:spacing w:after="0"/>
              <w:rPr>
                <w:sz w:val="20"/>
                <w:szCs w:val="20"/>
                <w:color w:val="auto"/>
              </w:rPr>
            </w:pPr>
            <w:r>
              <w:rPr>
                <w:rFonts w:ascii="Arial" w:cs="Arial" w:eastAsia="Arial" w:hAnsi="Arial"/>
                <w:sz w:val="13"/>
                <w:szCs w:val="13"/>
                <w:b w:val="1"/>
                <w:bCs w:val="1"/>
                <w:color w:val="auto"/>
              </w:rPr>
              <w:t>Paul Hennessy</w:t>
            </w:r>
          </w:p>
        </w:tc>
        <w:tc>
          <w:tcPr>
            <w:tcW w:w="8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340" w:type="dxa"/>
            <w:vAlign w:val="bottom"/>
          </w:tcPr>
          <w:p>
            <w:pPr>
              <w:ind w:left="60"/>
              <w:spacing w:after="0"/>
              <w:rPr>
                <w:sz w:val="20"/>
                <w:szCs w:val="20"/>
                <w:color w:val="auto"/>
              </w:rPr>
            </w:pPr>
            <w:r>
              <w:rPr>
                <w:rFonts w:ascii="Arial" w:cs="Arial" w:eastAsia="Arial" w:hAnsi="Arial"/>
                <w:sz w:val="13"/>
                <w:szCs w:val="13"/>
                <w:color w:val="auto"/>
                <w:w w:val="89"/>
              </w:rPr>
              <w:t>2024</w:t>
            </w:r>
          </w:p>
        </w:tc>
        <w:tc>
          <w:tcPr>
            <w:tcW w:w="780" w:type="dxa"/>
            <w:vAlign w:val="bottom"/>
          </w:tcPr>
          <w:p>
            <w:pPr>
              <w:ind w:left="20"/>
              <w:spacing w:after="0"/>
              <w:rPr>
                <w:sz w:val="20"/>
                <w:szCs w:val="20"/>
                <w:color w:val="auto"/>
              </w:rPr>
            </w:pPr>
            <w:r>
              <w:rPr>
                <w:rFonts w:ascii="Arial" w:cs="Arial" w:eastAsia="Arial" w:hAnsi="Arial"/>
                <w:sz w:val="13"/>
                <w:szCs w:val="13"/>
                <w:color w:val="auto"/>
              </w:rPr>
              <w:t>Annual</w:t>
            </w:r>
          </w:p>
        </w:tc>
        <w:tc>
          <w:tcPr>
            <w:tcW w:w="8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120" w:type="dxa"/>
            <w:vAlign w:val="bottom"/>
            <w:gridSpan w:val="2"/>
          </w:tcPr>
          <w:p>
            <w:pPr>
              <w:ind w:left="60"/>
              <w:spacing w:after="0"/>
              <w:rPr>
                <w:sz w:val="20"/>
                <w:szCs w:val="20"/>
                <w:color w:val="auto"/>
              </w:rPr>
            </w:pPr>
            <w:r>
              <w:rPr>
                <w:rFonts w:ascii="Arial" w:cs="Arial" w:eastAsia="Arial" w:hAnsi="Arial"/>
                <w:sz w:val="13"/>
                <w:szCs w:val="13"/>
                <w:color w:val="auto"/>
              </w:rPr>
              <w:t>Cash Bonus</w:t>
            </w:r>
          </w:p>
        </w:tc>
        <w:tc>
          <w:tcPr>
            <w:tcW w:w="84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3"/>
                <w:szCs w:val="13"/>
                <w:color w:val="auto"/>
                <w:w w:val="95"/>
              </w:rPr>
              <w:t>$462,000</w:t>
            </w:r>
          </w:p>
        </w:tc>
        <w:tc>
          <w:tcPr>
            <w:tcW w:w="1100" w:type="dxa"/>
            <w:vAlign w:val="bottom"/>
          </w:tcPr>
          <w:p>
            <w:pPr>
              <w:jc w:val="center"/>
              <w:spacing w:after="0"/>
              <w:rPr>
                <w:sz w:val="20"/>
                <w:szCs w:val="20"/>
                <w:color w:val="auto"/>
              </w:rPr>
            </w:pPr>
            <w:r>
              <w:rPr>
                <w:rFonts w:ascii="Arial" w:cs="Arial" w:eastAsia="Arial" w:hAnsi="Arial"/>
                <w:sz w:val="13"/>
                <w:szCs w:val="13"/>
                <w:color w:val="auto"/>
                <w:w w:val="99"/>
              </w:rPr>
              <w:t>$700,000</w:t>
            </w:r>
          </w:p>
        </w:tc>
        <w:tc>
          <w:tcPr>
            <w:tcW w:w="2020" w:type="dxa"/>
            <w:vAlign w:val="bottom"/>
          </w:tcPr>
          <w:p>
            <w:pPr>
              <w:jc w:val="center"/>
              <w:ind w:right="997"/>
              <w:spacing w:after="0"/>
              <w:rPr>
                <w:sz w:val="20"/>
                <w:szCs w:val="20"/>
                <w:color w:val="auto"/>
              </w:rPr>
            </w:pPr>
            <w:r>
              <w:rPr>
                <w:rFonts w:ascii="Arial" w:cs="Arial" w:eastAsia="Arial" w:hAnsi="Arial"/>
                <w:sz w:val="13"/>
                <w:szCs w:val="13"/>
                <w:color w:val="auto"/>
                <w:w w:val="95"/>
              </w:rPr>
              <w:t>$910,000</w:t>
            </w:r>
          </w:p>
        </w:tc>
        <w:tc>
          <w:tcPr>
            <w:tcW w:w="9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120" w:type="dxa"/>
            <w:vAlign w:val="bottom"/>
            <w:gridSpan w:val="2"/>
          </w:tcPr>
          <w:p>
            <w:pPr>
              <w:ind w:left="60"/>
              <w:spacing w:after="0"/>
              <w:rPr>
                <w:sz w:val="20"/>
                <w:szCs w:val="20"/>
                <w:color w:val="auto"/>
              </w:rPr>
            </w:pPr>
            <w:r>
              <w:rPr>
                <w:rFonts w:ascii="Arial" w:cs="Arial" w:eastAsia="Arial" w:hAnsi="Arial"/>
                <w:sz w:val="13"/>
                <w:szCs w:val="13"/>
                <w:color w:val="auto"/>
              </w:rPr>
              <w:t>2024 RSU Grants</w:t>
            </w:r>
          </w:p>
        </w:tc>
        <w:tc>
          <w:tcPr>
            <w:tcW w:w="840" w:type="dxa"/>
            <w:vAlign w:val="bottom"/>
          </w:tcPr>
          <w:p>
            <w:pPr>
              <w:ind w:left="260"/>
              <w:spacing w:after="0"/>
              <w:rPr>
                <w:sz w:val="20"/>
                <w:szCs w:val="20"/>
                <w:color w:val="auto"/>
              </w:rPr>
            </w:pPr>
            <w:r>
              <w:rPr>
                <w:rFonts w:ascii="Arial" w:cs="Arial" w:eastAsia="Arial" w:hAnsi="Arial"/>
                <w:sz w:val="13"/>
                <w:szCs w:val="13"/>
                <w:color w:val="auto"/>
              </w:rPr>
              <w:t>N/A</w:t>
            </w:r>
          </w:p>
        </w:tc>
        <w:tc>
          <w:tcPr>
            <w:tcW w:w="9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40" w:type="dxa"/>
            <w:vAlign w:val="bottom"/>
          </w:tcPr>
          <w:p>
            <w:pPr>
              <w:ind w:left="60"/>
              <w:spacing w:after="0"/>
              <w:rPr>
                <w:sz w:val="20"/>
                <w:szCs w:val="20"/>
                <w:color w:val="auto"/>
              </w:rPr>
            </w:pPr>
            <w:r>
              <w:rPr>
                <w:rFonts w:ascii="Arial" w:cs="Arial" w:eastAsia="Arial" w:hAnsi="Arial"/>
                <w:sz w:val="13"/>
                <w:szCs w:val="13"/>
                <w:color w:val="auto"/>
                <w:w w:val="89"/>
              </w:rPr>
              <w:t>2024</w:t>
            </w:r>
          </w:p>
        </w:tc>
        <w:tc>
          <w:tcPr>
            <w:tcW w:w="780" w:type="dxa"/>
            <w:vAlign w:val="bottom"/>
          </w:tcPr>
          <w:p>
            <w:pPr>
              <w:ind w:left="20"/>
              <w:spacing w:after="0"/>
              <w:rPr>
                <w:sz w:val="20"/>
                <w:szCs w:val="20"/>
                <w:color w:val="auto"/>
              </w:rPr>
            </w:pPr>
            <w:r>
              <w:rPr>
                <w:rFonts w:ascii="Arial" w:cs="Arial" w:eastAsia="Arial" w:hAnsi="Arial"/>
                <w:sz w:val="13"/>
                <w:szCs w:val="13"/>
                <w:color w:val="auto"/>
              </w:rPr>
              <w:t>PSU Grants</w:t>
            </w:r>
          </w:p>
        </w:tc>
        <w:tc>
          <w:tcPr>
            <w:tcW w:w="840" w:type="dxa"/>
            <w:vAlign w:val="bottom"/>
          </w:tcPr>
          <w:p>
            <w:pPr>
              <w:jc w:val="center"/>
              <w:ind w:right="57"/>
              <w:spacing w:after="0"/>
              <w:rPr>
                <w:sz w:val="20"/>
                <w:szCs w:val="20"/>
                <w:color w:val="auto"/>
              </w:rPr>
            </w:pPr>
            <w:r>
              <w:rPr>
                <w:rFonts w:ascii="Arial" w:cs="Arial" w:eastAsia="Arial" w:hAnsi="Arial"/>
                <w:sz w:val="13"/>
                <w:szCs w:val="13"/>
                <w:color w:val="auto"/>
                <w:w w:val="96"/>
              </w:rPr>
              <w:t>2/21/2024</w:t>
            </w:r>
          </w:p>
        </w:tc>
        <w:tc>
          <w:tcPr>
            <w:tcW w:w="9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20" w:type="dxa"/>
            <w:vAlign w:val="bottom"/>
          </w:tcPr>
          <w:p>
            <w:pPr>
              <w:jc w:val="right"/>
              <w:ind w:right="217"/>
              <w:spacing w:after="0"/>
              <w:rPr>
                <w:sz w:val="20"/>
                <w:szCs w:val="20"/>
                <w:color w:val="auto"/>
              </w:rPr>
            </w:pPr>
            <w:r>
              <w:rPr>
                <w:rFonts w:ascii="Arial" w:cs="Arial" w:eastAsia="Arial" w:hAnsi="Arial"/>
                <w:sz w:val="13"/>
                <w:szCs w:val="13"/>
                <w:color w:val="auto"/>
              </w:rPr>
              <w:t>65,697</w:t>
            </w:r>
          </w:p>
        </w:tc>
        <w:tc>
          <w:tcPr>
            <w:tcW w:w="960" w:type="dxa"/>
            <w:vAlign w:val="bottom"/>
          </w:tcPr>
          <w:p>
            <w:pPr>
              <w:jc w:val="center"/>
              <w:spacing w:after="0"/>
              <w:rPr>
                <w:sz w:val="20"/>
                <w:szCs w:val="20"/>
                <w:color w:val="auto"/>
              </w:rPr>
            </w:pPr>
            <w:r>
              <w:rPr>
                <w:rFonts w:ascii="Arial" w:cs="Arial" w:eastAsia="Arial" w:hAnsi="Arial"/>
                <w:sz w:val="13"/>
                <w:szCs w:val="13"/>
                <w:color w:val="auto"/>
                <w:w w:val="95"/>
              </w:rPr>
              <w:t>87,597</w:t>
            </w:r>
          </w:p>
        </w:tc>
        <w:tc>
          <w:tcPr>
            <w:tcW w:w="1160" w:type="dxa"/>
            <w:vAlign w:val="bottom"/>
          </w:tcPr>
          <w:p>
            <w:pPr>
              <w:jc w:val="center"/>
              <w:ind w:right="157"/>
              <w:spacing w:after="0"/>
              <w:rPr>
                <w:sz w:val="20"/>
                <w:szCs w:val="20"/>
                <w:color w:val="auto"/>
              </w:rPr>
            </w:pPr>
            <w:r>
              <w:rPr>
                <w:rFonts w:ascii="Arial" w:cs="Arial" w:eastAsia="Arial" w:hAnsi="Arial"/>
                <w:sz w:val="13"/>
                <w:szCs w:val="13"/>
                <w:color w:val="auto"/>
                <w:w w:val="97"/>
              </w:rPr>
              <w:t>131,395</w:t>
            </w:r>
          </w:p>
        </w:tc>
        <w:tc>
          <w:tcPr>
            <w:tcW w:w="1420" w:type="dxa"/>
            <w:vAlign w:val="bottom"/>
          </w:tcPr>
          <w:p>
            <w:pPr>
              <w:jc w:val="center"/>
              <w:ind w:right="57"/>
              <w:spacing w:after="0"/>
              <w:rPr>
                <w:sz w:val="20"/>
                <w:szCs w:val="20"/>
                <w:color w:val="auto"/>
              </w:rPr>
            </w:pPr>
            <w:r>
              <w:rPr>
                <w:rFonts w:ascii="Arial" w:cs="Arial" w:eastAsia="Arial" w:hAnsi="Arial"/>
                <w:sz w:val="13"/>
                <w:szCs w:val="13"/>
                <w:color w:val="auto"/>
                <w:w w:val="95"/>
              </w:rPr>
              <w:t>54,181</w:t>
            </w:r>
          </w:p>
        </w:tc>
        <w:tc>
          <w:tcPr>
            <w:tcW w:w="1680" w:type="dxa"/>
            <w:vAlign w:val="bottom"/>
          </w:tcPr>
          <w:p>
            <w:pPr>
              <w:jc w:val="center"/>
              <w:spacing w:after="0"/>
              <w:rPr>
                <w:sz w:val="20"/>
                <w:szCs w:val="20"/>
                <w:color w:val="auto"/>
              </w:rPr>
            </w:pPr>
            <w:r>
              <w:rPr>
                <w:rFonts w:ascii="Arial" w:cs="Arial" w:eastAsia="Arial" w:hAnsi="Arial"/>
                <w:sz w:val="13"/>
                <w:szCs w:val="13"/>
                <w:color w:val="auto"/>
                <w:w w:val="96"/>
              </w:rPr>
              <w:t>6,225,471</w:t>
            </w:r>
          </w:p>
        </w:tc>
        <w:tc>
          <w:tcPr>
            <w:tcW w:w="0" w:type="dxa"/>
            <w:vAlign w:val="bottom"/>
          </w:tcPr>
          <w:p>
            <w:pPr>
              <w:spacing w:after="0"/>
              <w:rPr>
                <w:sz w:val="1"/>
                <w:szCs w:val="1"/>
                <w:color w:val="auto"/>
              </w:rPr>
            </w:pPr>
          </w:p>
        </w:tc>
      </w:tr>
      <w:tr>
        <w:trPr>
          <w:trHeight w:val="28"/>
        </w:trPr>
        <w:tc>
          <w:tcPr>
            <w:tcW w:w="1120" w:type="dxa"/>
            <w:vAlign w:val="bottom"/>
            <w:tcBorders>
              <w:bottom w:val="single" w:sz="8" w:color="auto"/>
            </w:tcBorders>
            <w:gridSpan w:val="2"/>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1120" w:type="dxa"/>
            <w:vAlign w:val="bottom"/>
            <w:gridSpan w:val="2"/>
          </w:tcPr>
          <w:p>
            <w:pPr>
              <w:ind w:left="60"/>
              <w:spacing w:after="0"/>
              <w:rPr>
                <w:sz w:val="20"/>
                <w:szCs w:val="20"/>
                <w:color w:val="auto"/>
              </w:rPr>
            </w:pPr>
            <w:r>
              <w:rPr>
                <w:rFonts w:ascii="Arial" w:cs="Arial" w:eastAsia="Arial" w:hAnsi="Arial"/>
                <w:sz w:val="13"/>
                <w:szCs w:val="13"/>
                <w:b w:val="1"/>
                <w:bCs w:val="1"/>
                <w:color w:val="auto"/>
              </w:rPr>
              <w:t>Jarrod Yahes</w:t>
            </w:r>
          </w:p>
        </w:tc>
        <w:tc>
          <w:tcPr>
            <w:tcW w:w="8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40" w:type="dxa"/>
            <w:vAlign w:val="bottom"/>
          </w:tcPr>
          <w:p>
            <w:pPr>
              <w:ind w:left="60"/>
              <w:spacing w:after="0" w:line="135" w:lineRule="exact"/>
              <w:rPr>
                <w:sz w:val="20"/>
                <w:szCs w:val="20"/>
                <w:color w:val="auto"/>
              </w:rPr>
            </w:pPr>
            <w:r>
              <w:rPr>
                <w:rFonts w:ascii="Arial" w:cs="Arial" w:eastAsia="Arial" w:hAnsi="Arial"/>
                <w:sz w:val="13"/>
                <w:szCs w:val="13"/>
                <w:color w:val="auto"/>
                <w:w w:val="89"/>
              </w:rPr>
              <w:t>2024</w:t>
            </w:r>
          </w:p>
        </w:tc>
        <w:tc>
          <w:tcPr>
            <w:tcW w:w="780" w:type="dxa"/>
            <w:vAlign w:val="bottom"/>
          </w:tcPr>
          <w:p>
            <w:pPr>
              <w:ind w:left="20"/>
              <w:spacing w:after="0" w:line="135" w:lineRule="exact"/>
              <w:rPr>
                <w:sz w:val="20"/>
                <w:szCs w:val="20"/>
                <w:color w:val="auto"/>
              </w:rPr>
            </w:pPr>
            <w:r>
              <w:rPr>
                <w:rFonts w:ascii="Arial" w:cs="Arial" w:eastAsia="Arial" w:hAnsi="Arial"/>
                <w:sz w:val="13"/>
                <w:szCs w:val="13"/>
                <w:color w:val="auto"/>
              </w:rPr>
              <w:t>Annual</w:t>
            </w:r>
          </w:p>
        </w:tc>
        <w:tc>
          <w:tcPr>
            <w:tcW w:w="8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1120" w:type="dxa"/>
            <w:vAlign w:val="bottom"/>
            <w:gridSpan w:val="2"/>
          </w:tcPr>
          <w:p>
            <w:pPr>
              <w:ind w:left="60"/>
              <w:spacing w:after="0"/>
              <w:rPr>
                <w:sz w:val="20"/>
                <w:szCs w:val="20"/>
                <w:color w:val="auto"/>
              </w:rPr>
            </w:pPr>
            <w:r>
              <w:rPr>
                <w:rFonts w:ascii="Arial" w:cs="Arial" w:eastAsia="Arial" w:hAnsi="Arial"/>
                <w:sz w:val="13"/>
                <w:szCs w:val="13"/>
                <w:color w:val="auto"/>
              </w:rPr>
              <w:t>Cash Bonus</w:t>
            </w:r>
          </w:p>
        </w:tc>
        <w:tc>
          <w:tcPr>
            <w:tcW w:w="84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3"/>
                <w:szCs w:val="13"/>
                <w:color w:val="auto"/>
                <w:w w:val="95"/>
              </w:rPr>
              <w:t>$290,400</w:t>
            </w:r>
          </w:p>
        </w:tc>
        <w:tc>
          <w:tcPr>
            <w:tcW w:w="1100" w:type="dxa"/>
            <w:vAlign w:val="bottom"/>
          </w:tcPr>
          <w:p>
            <w:pPr>
              <w:jc w:val="center"/>
              <w:spacing w:after="0"/>
              <w:rPr>
                <w:sz w:val="20"/>
                <w:szCs w:val="20"/>
                <w:color w:val="auto"/>
              </w:rPr>
            </w:pPr>
            <w:r>
              <w:rPr>
                <w:rFonts w:ascii="Arial" w:cs="Arial" w:eastAsia="Arial" w:hAnsi="Arial"/>
                <w:sz w:val="13"/>
                <w:szCs w:val="13"/>
                <w:color w:val="auto"/>
                <w:w w:val="99"/>
              </w:rPr>
              <w:t>$440,000</w:t>
            </w:r>
          </w:p>
        </w:tc>
        <w:tc>
          <w:tcPr>
            <w:tcW w:w="2020" w:type="dxa"/>
            <w:vAlign w:val="bottom"/>
          </w:tcPr>
          <w:p>
            <w:pPr>
              <w:jc w:val="center"/>
              <w:ind w:right="997"/>
              <w:spacing w:after="0"/>
              <w:rPr>
                <w:sz w:val="20"/>
                <w:szCs w:val="20"/>
                <w:color w:val="auto"/>
              </w:rPr>
            </w:pPr>
            <w:r>
              <w:rPr>
                <w:rFonts w:ascii="Arial" w:cs="Arial" w:eastAsia="Arial" w:hAnsi="Arial"/>
                <w:sz w:val="13"/>
                <w:szCs w:val="13"/>
                <w:color w:val="auto"/>
                <w:w w:val="95"/>
              </w:rPr>
              <w:t>$572,000</w:t>
            </w:r>
          </w:p>
        </w:tc>
        <w:tc>
          <w:tcPr>
            <w:tcW w:w="9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120" w:type="dxa"/>
            <w:vAlign w:val="bottom"/>
            <w:gridSpan w:val="2"/>
          </w:tcPr>
          <w:p>
            <w:pPr>
              <w:ind w:left="60"/>
              <w:spacing w:after="0"/>
              <w:rPr>
                <w:sz w:val="20"/>
                <w:szCs w:val="20"/>
                <w:color w:val="auto"/>
              </w:rPr>
            </w:pPr>
            <w:r>
              <w:rPr>
                <w:rFonts w:ascii="Arial" w:cs="Arial" w:eastAsia="Arial" w:hAnsi="Arial"/>
                <w:sz w:val="13"/>
                <w:szCs w:val="13"/>
                <w:color w:val="auto"/>
              </w:rPr>
              <w:t>2024 RSU Grants</w:t>
            </w:r>
          </w:p>
        </w:tc>
        <w:tc>
          <w:tcPr>
            <w:tcW w:w="8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40" w:type="dxa"/>
            <w:vAlign w:val="bottom"/>
            <w:tcBorders>
              <w:bottom w:val="single" w:sz="8" w:color="auto"/>
            </w:tcBorders>
          </w:tcPr>
          <w:p>
            <w:pPr>
              <w:ind w:left="60"/>
              <w:spacing w:after="0"/>
              <w:rPr>
                <w:sz w:val="20"/>
                <w:szCs w:val="20"/>
                <w:color w:val="auto"/>
              </w:rPr>
            </w:pPr>
            <w:r>
              <w:rPr>
                <w:rFonts w:ascii="Arial" w:cs="Arial" w:eastAsia="Arial" w:hAnsi="Arial"/>
                <w:sz w:val="13"/>
                <w:szCs w:val="13"/>
                <w:color w:val="auto"/>
                <w:w w:val="89"/>
              </w:rPr>
              <w:t>2024</w:t>
            </w:r>
          </w:p>
        </w:tc>
        <w:tc>
          <w:tcPr>
            <w:tcW w:w="7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PSU Grants</w:t>
            </w:r>
          </w:p>
        </w:tc>
        <w:tc>
          <w:tcPr>
            <w:tcW w:w="84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color w:val="auto"/>
                <w:w w:val="98"/>
              </w:rPr>
              <w:t>4/1/2024</w:t>
            </w:r>
          </w:p>
        </w:tc>
        <w:tc>
          <w:tcPr>
            <w:tcW w:w="9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tcPr>
          <w:p>
            <w:pPr>
              <w:jc w:val="right"/>
              <w:ind w:right="217"/>
              <w:spacing w:after="0"/>
              <w:rPr>
                <w:sz w:val="20"/>
                <w:szCs w:val="20"/>
                <w:color w:val="auto"/>
              </w:rPr>
            </w:pPr>
            <w:r>
              <w:rPr>
                <w:rFonts w:ascii="Arial" w:cs="Arial" w:eastAsia="Arial" w:hAnsi="Arial"/>
                <w:sz w:val="13"/>
                <w:szCs w:val="13"/>
                <w:color w:val="auto"/>
              </w:rPr>
              <w:t>36,449</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5"/>
              </w:rPr>
              <w:t>48,599</w:t>
            </w:r>
          </w:p>
        </w:tc>
        <w:tc>
          <w:tcPr>
            <w:tcW w:w="1160" w:type="dxa"/>
            <w:vAlign w:val="bottom"/>
            <w:tcBorders>
              <w:bottom w:val="single" w:sz="8" w:color="auto"/>
            </w:tcBorders>
          </w:tcPr>
          <w:p>
            <w:pPr>
              <w:jc w:val="center"/>
              <w:ind w:right="157"/>
              <w:spacing w:after="0"/>
              <w:rPr>
                <w:sz w:val="20"/>
                <w:szCs w:val="20"/>
                <w:color w:val="auto"/>
              </w:rPr>
            </w:pPr>
            <w:r>
              <w:rPr>
                <w:rFonts w:ascii="Arial" w:cs="Arial" w:eastAsia="Arial" w:hAnsi="Arial"/>
                <w:sz w:val="13"/>
                <w:szCs w:val="13"/>
                <w:color w:val="auto"/>
                <w:w w:val="95"/>
              </w:rPr>
              <w:t>72,898</w:t>
            </w:r>
          </w:p>
        </w:tc>
        <w:tc>
          <w:tcPr>
            <w:tcW w:w="142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color w:val="auto"/>
                <w:w w:val="95"/>
              </w:rPr>
              <w:t>16,199</w:t>
            </w: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6"/>
              </w:rPr>
              <w:t>2,929,517</w:t>
            </w:r>
          </w:p>
        </w:tc>
        <w:tc>
          <w:tcPr>
            <w:tcW w:w="0" w:type="dxa"/>
            <w:vAlign w:val="bottom"/>
          </w:tcPr>
          <w:p>
            <w:pPr>
              <w:spacing w:after="0"/>
              <w:rPr>
                <w:sz w:val="1"/>
                <w:szCs w:val="1"/>
                <w:color w:val="auto"/>
              </w:rPr>
            </w:pPr>
          </w:p>
        </w:tc>
      </w:tr>
      <w:tr>
        <w:trPr>
          <w:trHeight w:val="171"/>
        </w:trPr>
        <w:tc>
          <w:tcPr>
            <w:tcW w:w="1120" w:type="dxa"/>
            <w:vAlign w:val="bottom"/>
            <w:gridSpan w:val="2"/>
          </w:tcPr>
          <w:p>
            <w:pPr>
              <w:ind w:left="20"/>
              <w:spacing w:after="0"/>
              <w:rPr>
                <w:sz w:val="20"/>
                <w:szCs w:val="20"/>
                <w:color w:val="auto"/>
              </w:rPr>
            </w:pPr>
            <w:r>
              <w:rPr>
                <w:rFonts w:ascii="Arial" w:cs="Arial" w:eastAsia="Arial" w:hAnsi="Arial"/>
                <w:sz w:val="13"/>
                <w:szCs w:val="13"/>
                <w:b w:val="1"/>
                <w:bCs w:val="1"/>
                <w:color w:val="auto"/>
              </w:rPr>
              <w:t>John Caine</w:t>
            </w:r>
          </w:p>
        </w:tc>
        <w:tc>
          <w:tcPr>
            <w:tcW w:w="8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40" w:type="dxa"/>
            <w:vAlign w:val="bottom"/>
          </w:tcPr>
          <w:p>
            <w:pPr>
              <w:ind w:left="60"/>
              <w:spacing w:after="0" w:line="135" w:lineRule="exact"/>
              <w:rPr>
                <w:sz w:val="20"/>
                <w:szCs w:val="20"/>
                <w:color w:val="auto"/>
              </w:rPr>
            </w:pPr>
            <w:r>
              <w:rPr>
                <w:rFonts w:ascii="Arial" w:cs="Arial" w:eastAsia="Arial" w:hAnsi="Arial"/>
                <w:sz w:val="13"/>
                <w:szCs w:val="13"/>
                <w:color w:val="auto"/>
                <w:w w:val="89"/>
              </w:rPr>
              <w:t>2024</w:t>
            </w:r>
          </w:p>
        </w:tc>
        <w:tc>
          <w:tcPr>
            <w:tcW w:w="780" w:type="dxa"/>
            <w:vAlign w:val="bottom"/>
          </w:tcPr>
          <w:p>
            <w:pPr>
              <w:ind w:left="20"/>
              <w:spacing w:after="0" w:line="135" w:lineRule="exact"/>
              <w:rPr>
                <w:sz w:val="20"/>
                <w:szCs w:val="20"/>
                <w:color w:val="auto"/>
              </w:rPr>
            </w:pPr>
            <w:r>
              <w:rPr>
                <w:rFonts w:ascii="Arial" w:cs="Arial" w:eastAsia="Arial" w:hAnsi="Arial"/>
                <w:sz w:val="13"/>
                <w:szCs w:val="13"/>
                <w:color w:val="auto"/>
              </w:rPr>
              <w:t>Annual</w:t>
            </w:r>
          </w:p>
        </w:tc>
        <w:tc>
          <w:tcPr>
            <w:tcW w:w="8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120" w:type="dxa"/>
            <w:vAlign w:val="bottom"/>
            <w:gridSpan w:val="2"/>
          </w:tcPr>
          <w:p>
            <w:pPr>
              <w:ind w:left="60"/>
              <w:spacing w:after="0"/>
              <w:rPr>
                <w:sz w:val="20"/>
                <w:szCs w:val="20"/>
                <w:color w:val="auto"/>
              </w:rPr>
            </w:pPr>
            <w:r>
              <w:rPr>
                <w:rFonts w:ascii="Arial" w:cs="Arial" w:eastAsia="Arial" w:hAnsi="Arial"/>
                <w:sz w:val="13"/>
                <w:szCs w:val="13"/>
                <w:color w:val="auto"/>
              </w:rPr>
              <w:t>Cash Bonus</w:t>
            </w:r>
          </w:p>
        </w:tc>
        <w:tc>
          <w:tcPr>
            <w:tcW w:w="84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Arial" w:cs="Arial" w:eastAsia="Arial" w:hAnsi="Arial"/>
                <w:sz w:val="13"/>
                <w:szCs w:val="13"/>
                <w:color w:val="auto"/>
                <w:w w:val="95"/>
              </w:rPr>
              <w:t>$127,672</w:t>
            </w:r>
          </w:p>
        </w:tc>
        <w:tc>
          <w:tcPr>
            <w:tcW w:w="1100" w:type="dxa"/>
            <w:vAlign w:val="bottom"/>
          </w:tcPr>
          <w:p>
            <w:pPr>
              <w:jc w:val="center"/>
              <w:spacing w:after="0"/>
              <w:rPr>
                <w:sz w:val="20"/>
                <w:szCs w:val="20"/>
                <w:color w:val="auto"/>
              </w:rPr>
            </w:pPr>
            <w:r>
              <w:rPr>
                <w:rFonts w:ascii="Arial" w:cs="Arial" w:eastAsia="Arial" w:hAnsi="Arial"/>
                <w:sz w:val="13"/>
                <w:szCs w:val="13"/>
                <w:color w:val="auto"/>
                <w:w w:val="92"/>
              </w:rPr>
              <w:t>$193,443</w:t>
            </w:r>
            <w:r>
              <w:rPr>
                <w:rFonts w:ascii="Arial" w:cs="Arial" w:eastAsia="Arial" w:hAnsi="Arial"/>
                <w:sz w:val="16"/>
                <w:szCs w:val="16"/>
                <w:color w:val="auto"/>
                <w:w w:val="92"/>
                <w:vertAlign w:val="superscript"/>
              </w:rPr>
              <w:t>(5)</w:t>
            </w:r>
          </w:p>
        </w:tc>
        <w:tc>
          <w:tcPr>
            <w:tcW w:w="2020" w:type="dxa"/>
            <w:vAlign w:val="bottom"/>
          </w:tcPr>
          <w:p>
            <w:pPr>
              <w:jc w:val="center"/>
              <w:ind w:right="997"/>
              <w:spacing w:after="0"/>
              <w:rPr>
                <w:sz w:val="20"/>
                <w:szCs w:val="20"/>
                <w:color w:val="auto"/>
              </w:rPr>
            </w:pPr>
            <w:r>
              <w:rPr>
                <w:rFonts w:ascii="Arial" w:cs="Arial" w:eastAsia="Arial" w:hAnsi="Arial"/>
                <w:sz w:val="13"/>
                <w:szCs w:val="13"/>
                <w:color w:val="auto"/>
                <w:w w:val="95"/>
              </w:rPr>
              <w:t>$251,476</w:t>
            </w:r>
          </w:p>
        </w:tc>
        <w:tc>
          <w:tcPr>
            <w:tcW w:w="9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340" w:type="dxa"/>
            <w:vAlign w:val="bottom"/>
          </w:tcPr>
          <w:p>
            <w:pPr>
              <w:ind w:left="60"/>
              <w:spacing w:after="0"/>
              <w:rPr>
                <w:sz w:val="20"/>
                <w:szCs w:val="20"/>
                <w:color w:val="auto"/>
              </w:rPr>
            </w:pPr>
            <w:r>
              <w:rPr>
                <w:rFonts w:ascii="Arial" w:cs="Arial" w:eastAsia="Arial" w:hAnsi="Arial"/>
                <w:sz w:val="13"/>
                <w:szCs w:val="13"/>
                <w:color w:val="auto"/>
                <w:w w:val="89"/>
              </w:rPr>
              <w:t>2024</w:t>
            </w:r>
          </w:p>
        </w:tc>
        <w:tc>
          <w:tcPr>
            <w:tcW w:w="780" w:type="dxa"/>
            <w:vAlign w:val="bottom"/>
          </w:tcPr>
          <w:p>
            <w:pPr>
              <w:ind w:left="20"/>
              <w:spacing w:after="0"/>
              <w:rPr>
                <w:sz w:val="20"/>
                <w:szCs w:val="20"/>
                <w:color w:val="auto"/>
              </w:rPr>
            </w:pPr>
            <w:r>
              <w:rPr>
                <w:rFonts w:ascii="Arial" w:cs="Arial" w:eastAsia="Arial" w:hAnsi="Arial"/>
                <w:sz w:val="13"/>
                <w:szCs w:val="13"/>
                <w:color w:val="auto"/>
              </w:rPr>
              <w:t>PSU Grants</w:t>
            </w:r>
          </w:p>
        </w:tc>
        <w:tc>
          <w:tcPr>
            <w:tcW w:w="840" w:type="dxa"/>
            <w:vAlign w:val="bottom"/>
          </w:tcPr>
          <w:p>
            <w:pPr>
              <w:jc w:val="center"/>
              <w:ind w:right="37"/>
              <w:spacing w:after="0"/>
              <w:rPr>
                <w:sz w:val="20"/>
                <w:szCs w:val="20"/>
                <w:color w:val="auto"/>
              </w:rPr>
            </w:pPr>
            <w:r>
              <w:rPr>
                <w:rFonts w:ascii="Arial" w:cs="Arial" w:eastAsia="Arial" w:hAnsi="Arial"/>
                <w:sz w:val="13"/>
                <w:szCs w:val="13"/>
                <w:color w:val="auto"/>
                <w:w w:val="98"/>
              </w:rPr>
              <w:t>4/1/2024</w:t>
            </w:r>
          </w:p>
        </w:tc>
        <w:tc>
          <w:tcPr>
            <w:tcW w:w="9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20" w:type="dxa"/>
            <w:vAlign w:val="bottom"/>
          </w:tcPr>
          <w:p>
            <w:pPr>
              <w:jc w:val="right"/>
              <w:ind w:right="217"/>
              <w:spacing w:after="0"/>
              <w:rPr>
                <w:sz w:val="20"/>
                <w:szCs w:val="20"/>
                <w:color w:val="auto"/>
              </w:rPr>
            </w:pPr>
            <w:r>
              <w:rPr>
                <w:rFonts w:ascii="Arial" w:cs="Arial" w:eastAsia="Arial" w:hAnsi="Arial"/>
                <w:sz w:val="13"/>
                <w:szCs w:val="13"/>
                <w:color w:val="auto"/>
              </w:rPr>
              <w:t>11,169</w:t>
            </w:r>
          </w:p>
        </w:tc>
        <w:tc>
          <w:tcPr>
            <w:tcW w:w="960" w:type="dxa"/>
            <w:vAlign w:val="bottom"/>
          </w:tcPr>
          <w:p>
            <w:pPr>
              <w:jc w:val="center"/>
              <w:spacing w:after="0"/>
              <w:rPr>
                <w:sz w:val="20"/>
                <w:szCs w:val="20"/>
                <w:color w:val="auto"/>
              </w:rPr>
            </w:pPr>
            <w:r>
              <w:rPr>
                <w:rFonts w:ascii="Arial" w:cs="Arial" w:eastAsia="Arial" w:hAnsi="Arial"/>
                <w:sz w:val="13"/>
                <w:szCs w:val="13"/>
                <w:color w:val="auto"/>
                <w:w w:val="95"/>
              </w:rPr>
              <w:t>14,893</w:t>
            </w:r>
          </w:p>
        </w:tc>
        <w:tc>
          <w:tcPr>
            <w:tcW w:w="1160" w:type="dxa"/>
            <w:vAlign w:val="bottom"/>
          </w:tcPr>
          <w:p>
            <w:pPr>
              <w:jc w:val="center"/>
              <w:ind w:right="157"/>
              <w:spacing w:after="0"/>
              <w:rPr>
                <w:sz w:val="20"/>
                <w:szCs w:val="20"/>
                <w:color w:val="auto"/>
              </w:rPr>
            </w:pPr>
            <w:r>
              <w:rPr>
                <w:rFonts w:ascii="Arial" w:cs="Arial" w:eastAsia="Arial" w:hAnsi="Arial"/>
                <w:sz w:val="13"/>
                <w:szCs w:val="13"/>
                <w:color w:val="auto"/>
                <w:w w:val="95"/>
              </w:rPr>
              <w:t>22,339</w:t>
            </w:r>
          </w:p>
        </w:tc>
        <w:tc>
          <w:tcPr>
            <w:tcW w:w="1420" w:type="dxa"/>
            <w:vAlign w:val="bottom"/>
          </w:tcPr>
          <w:p>
            <w:pPr>
              <w:jc w:val="center"/>
              <w:ind w:right="37"/>
              <w:spacing w:after="0"/>
              <w:rPr>
                <w:sz w:val="20"/>
                <w:szCs w:val="20"/>
                <w:color w:val="auto"/>
              </w:rPr>
            </w:pPr>
            <w:r>
              <w:rPr>
                <w:rFonts w:ascii="Arial" w:cs="Arial" w:eastAsia="Arial" w:hAnsi="Arial"/>
                <w:sz w:val="13"/>
                <w:szCs w:val="13"/>
                <w:color w:val="auto"/>
                <w:w w:val="98"/>
              </w:rPr>
              <w:t>4,964</w:t>
            </w:r>
          </w:p>
        </w:tc>
        <w:tc>
          <w:tcPr>
            <w:tcW w:w="1680" w:type="dxa"/>
            <w:vAlign w:val="bottom"/>
          </w:tcPr>
          <w:p>
            <w:pPr>
              <w:jc w:val="center"/>
              <w:spacing w:after="0"/>
              <w:rPr>
                <w:sz w:val="20"/>
                <w:szCs w:val="20"/>
                <w:color w:val="auto"/>
              </w:rPr>
            </w:pPr>
            <w:r>
              <w:rPr>
                <w:rFonts w:ascii="Arial" w:cs="Arial" w:eastAsia="Arial" w:hAnsi="Arial"/>
                <w:sz w:val="13"/>
                <w:szCs w:val="13"/>
                <w:color w:val="auto"/>
                <w:w w:val="97"/>
              </w:rPr>
              <w:t>897,735</w:t>
            </w:r>
          </w:p>
        </w:tc>
        <w:tc>
          <w:tcPr>
            <w:tcW w:w="0" w:type="dxa"/>
            <w:vAlign w:val="bottom"/>
          </w:tcPr>
          <w:p>
            <w:pPr>
              <w:spacing w:after="0"/>
              <w:rPr>
                <w:sz w:val="1"/>
                <w:szCs w:val="1"/>
                <w:color w:val="auto"/>
              </w:rPr>
            </w:pPr>
          </w:p>
        </w:tc>
      </w:tr>
      <w:tr>
        <w:trPr>
          <w:trHeight w:val="183"/>
        </w:trPr>
        <w:tc>
          <w:tcPr>
            <w:tcW w:w="112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color w:val="auto"/>
              </w:rPr>
              <w:t>2024 RSU Grants</w:t>
            </w:r>
          </w:p>
        </w:tc>
        <w:tc>
          <w:tcPr>
            <w:tcW w:w="8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1120" w:type="dxa"/>
            <w:vAlign w:val="bottom"/>
            <w:gridSpan w:val="2"/>
          </w:tcPr>
          <w:p>
            <w:pPr>
              <w:ind w:left="20"/>
              <w:spacing w:after="0"/>
              <w:rPr>
                <w:sz w:val="20"/>
                <w:szCs w:val="20"/>
                <w:color w:val="auto"/>
              </w:rPr>
            </w:pPr>
            <w:r>
              <w:rPr>
                <w:rFonts w:ascii="Arial" w:cs="Arial" w:eastAsia="Arial" w:hAnsi="Arial"/>
                <w:sz w:val="13"/>
                <w:szCs w:val="13"/>
                <w:b w:val="1"/>
                <w:bCs w:val="1"/>
                <w:color w:val="auto"/>
              </w:rPr>
              <w:t>Rik Powell</w:t>
            </w:r>
          </w:p>
        </w:tc>
        <w:tc>
          <w:tcPr>
            <w:tcW w:w="8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40" w:type="dxa"/>
            <w:vAlign w:val="bottom"/>
          </w:tcPr>
          <w:p>
            <w:pPr>
              <w:ind w:left="60"/>
              <w:spacing w:after="0" w:line="135" w:lineRule="exact"/>
              <w:rPr>
                <w:sz w:val="20"/>
                <w:szCs w:val="20"/>
                <w:color w:val="auto"/>
              </w:rPr>
            </w:pPr>
            <w:r>
              <w:rPr>
                <w:rFonts w:ascii="Arial" w:cs="Arial" w:eastAsia="Arial" w:hAnsi="Arial"/>
                <w:sz w:val="13"/>
                <w:szCs w:val="13"/>
                <w:color w:val="auto"/>
                <w:w w:val="89"/>
              </w:rPr>
              <w:t>2024</w:t>
            </w:r>
          </w:p>
        </w:tc>
        <w:tc>
          <w:tcPr>
            <w:tcW w:w="780" w:type="dxa"/>
            <w:vAlign w:val="bottom"/>
          </w:tcPr>
          <w:p>
            <w:pPr>
              <w:ind w:left="20"/>
              <w:spacing w:after="0" w:line="135" w:lineRule="exact"/>
              <w:rPr>
                <w:sz w:val="20"/>
                <w:szCs w:val="20"/>
                <w:color w:val="auto"/>
              </w:rPr>
            </w:pPr>
            <w:r>
              <w:rPr>
                <w:rFonts w:ascii="Arial" w:cs="Arial" w:eastAsia="Arial" w:hAnsi="Arial"/>
                <w:sz w:val="13"/>
                <w:szCs w:val="13"/>
                <w:color w:val="auto"/>
              </w:rPr>
              <w:t>Annual</w:t>
            </w:r>
          </w:p>
        </w:tc>
        <w:tc>
          <w:tcPr>
            <w:tcW w:w="8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120" w:type="dxa"/>
            <w:vAlign w:val="bottom"/>
            <w:gridSpan w:val="2"/>
          </w:tcPr>
          <w:p>
            <w:pPr>
              <w:ind w:left="60"/>
              <w:spacing w:after="0"/>
              <w:rPr>
                <w:sz w:val="20"/>
                <w:szCs w:val="20"/>
                <w:color w:val="auto"/>
              </w:rPr>
            </w:pPr>
            <w:r>
              <w:rPr>
                <w:rFonts w:ascii="Arial" w:cs="Arial" w:eastAsia="Arial" w:hAnsi="Arial"/>
                <w:sz w:val="13"/>
                <w:szCs w:val="13"/>
                <w:color w:val="auto"/>
              </w:rPr>
              <w:t>Cash Bonus</w:t>
            </w:r>
          </w:p>
        </w:tc>
        <w:tc>
          <w:tcPr>
            <w:tcW w:w="84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Arial" w:cs="Arial" w:eastAsia="Arial" w:hAnsi="Arial"/>
                <w:sz w:val="13"/>
                <w:szCs w:val="13"/>
                <w:color w:val="auto"/>
                <w:w w:val="95"/>
              </w:rPr>
              <w:t>$103,220</w:t>
            </w:r>
          </w:p>
        </w:tc>
        <w:tc>
          <w:tcPr>
            <w:tcW w:w="1100" w:type="dxa"/>
            <w:vAlign w:val="bottom"/>
          </w:tcPr>
          <w:p>
            <w:pPr>
              <w:jc w:val="center"/>
              <w:spacing w:after="0"/>
              <w:rPr>
                <w:sz w:val="20"/>
                <w:szCs w:val="20"/>
                <w:color w:val="auto"/>
              </w:rPr>
            </w:pPr>
            <w:r>
              <w:rPr>
                <w:rFonts w:ascii="Arial" w:cs="Arial" w:eastAsia="Arial" w:hAnsi="Arial"/>
                <w:sz w:val="13"/>
                <w:szCs w:val="13"/>
                <w:color w:val="auto"/>
                <w:w w:val="92"/>
              </w:rPr>
              <w:t>$156,595</w:t>
            </w:r>
            <w:r>
              <w:rPr>
                <w:rFonts w:ascii="Arial" w:cs="Arial" w:eastAsia="Arial" w:hAnsi="Arial"/>
                <w:sz w:val="16"/>
                <w:szCs w:val="16"/>
                <w:color w:val="auto"/>
                <w:w w:val="92"/>
                <w:vertAlign w:val="superscript"/>
              </w:rPr>
              <w:t>(5)</w:t>
            </w:r>
          </w:p>
        </w:tc>
        <w:tc>
          <w:tcPr>
            <w:tcW w:w="2020" w:type="dxa"/>
            <w:vAlign w:val="bottom"/>
          </w:tcPr>
          <w:p>
            <w:pPr>
              <w:jc w:val="center"/>
              <w:ind w:right="997"/>
              <w:spacing w:after="0"/>
              <w:rPr>
                <w:sz w:val="20"/>
                <w:szCs w:val="20"/>
                <w:color w:val="auto"/>
              </w:rPr>
            </w:pPr>
            <w:r>
              <w:rPr>
                <w:rFonts w:ascii="Arial" w:cs="Arial" w:eastAsia="Arial" w:hAnsi="Arial"/>
                <w:sz w:val="13"/>
                <w:szCs w:val="13"/>
                <w:color w:val="auto"/>
                <w:w w:val="95"/>
              </w:rPr>
              <w:t>$203,311</w:t>
            </w:r>
          </w:p>
        </w:tc>
        <w:tc>
          <w:tcPr>
            <w:tcW w:w="9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1120" w:type="dxa"/>
            <w:vAlign w:val="bottom"/>
            <w:gridSpan w:val="2"/>
            <w:vMerge w:val="restart"/>
          </w:tcPr>
          <w:p>
            <w:pPr>
              <w:ind w:left="20"/>
              <w:spacing w:after="0"/>
              <w:rPr>
                <w:sz w:val="20"/>
                <w:szCs w:val="20"/>
                <w:color w:val="auto"/>
              </w:rPr>
            </w:pPr>
            <w:r>
              <w:rPr>
                <w:rFonts w:ascii="Arial" w:cs="Arial" w:eastAsia="Arial" w:hAnsi="Arial"/>
                <w:sz w:val="13"/>
                <w:szCs w:val="13"/>
                <w:color w:val="auto"/>
              </w:rPr>
              <w:t>2024 RSU Grants</w:t>
            </w:r>
          </w:p>
        </w:tc>
        <w:tc>
          <w:tcPr>
            <w:tcW w:w="840" w:type="dxa"/>
            <w:vAlign w:val="bottom"/>
          </w:tcPr>
          <w:p>
            <w:pPr>
              <w:jc w:val="center"/>
              <w:ind w:right="37"/>
              <w:spacing w:after="0"/>
              <w:rPr>
                <w:sz w:val="20"/>
                <w:szCs w:val="20"/>
                <w:color w:val="auto"/>
              </w:rPr>
            </w:pPr>
            <w:r>
              <w:rPr>
                <w:rFonts w:ascii="Arial" w:cs="Arial" w:eastAsia="Arial" w:hAnsi="Arial"/>
                <w:sz w:val="13"/>
                <w:szCs w:val="13"/>
                <w:color w:val="auto"/>
                <w:w w:val="98"/>
              </w:rPr>
              <w:t>7/1/2024</w:t>
            </w:r>
          </w:p>
        </w:tc>
        <w:tc>
          <w:tcPr>
            <w:tcW w:w="9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20" w:type="dxa"/>
            <w:vAlign w:val="bottom"/>
          </w:tcPr>
          <w:p>
            <w:pPr>
              <w:jc w:val="center"/>
              <w:ind w:right="37"/>
              <w:spacing w:after="0"/>
              <w:rPr>
                <w:sz w:val="20"/>
                <w:szCs w:val="20"/>
                <w:color w:val="auto"/>
              </w:rPr>
            </w:pPr>
            <w:r>
              <w:rPr>
                <w:rFonts w:ascii="Arial" w:cs="Arial" w:eastAsia="Arial" w:hAnsi="Arial"/>
                <w:sz w:val="13"/>
                <w:szCs w:val="13"/>
                <w:color w:val="auto"/>
                <w:w w:val="98"/>
              </w:rPr>
              <w:t>8,924</w:t>
            </w:r>
          </w:p>
        </w:tc>
        <w:tc>
          <w:tcPr>
            <w:tcW w:w="1680" w:type="dxa"/>
            <w:vAlign w:val="bottom"/>
          </w:tcPr>
          <w:p>
            <w:pPr>
              <w:jc w:val="center"/>
              <w:spacing w:after="0"/>
              <w:rPr>
                <w:sz w:val="20"/>
                <w:szCs w:val="20"/>
                <w:color w:val="auto"/>
              </w:rPr>
            </w:pPr>
            <w:r>
              <w:rPr>
                <w:rFonts w:ascii="Arial" w:cs="Arial" w:eastAsia="Arial" w:hAnsi="Arial"/>
                <w:sz w:val="13"/>
                <w:szCs w:val="13"/>
                <w:color w:val="auto"/>
                <w:w w:val="97"/>
              </w:rPr>
              <w:t>333,579</w:t>
            </w:r>
          </w:p>
        </w:tc>
        <w:tc>
          <w:tcPr>
            <w:tcW w:w="0" w:type="dxa"/>
            <w:vAlign w:val="bottom"/>
          </w:tcPr>
          <w:p>
            <w:pPr>
              <w:spacing w:after="0"/>
              <w:rPr>
                <w:sz w:val="1"/>
                <w:szCs w:val="1"/>
                <w:color w:val="auto"/>
              </w:rPr>
            </w:pPr>
          </w:p>
        </w:tc>
      </w:tr>
      <w:tr>
        <w:trPr>
          <w:trHeight w:val="95"/>
        </w:trPr>
        <w:tc>
          <w:tcPr>
            <w:tcW w:w="1120" w:type="dxa"/>
            <w:vAlign w:val="bottom"/>
            <w:gridSpan w:val="2"/>
            <w:vMerge w:val="continue"/>
          </w:tcPr>
          <w:p>
            <w:pPr>
              <w:spacing w:after="0"/>
              <w:rPr>
                <w:sz w:val="8"/>
                <w:szCs w:val="8"/>
                <w:color w:val="auto"/>
              </w:rPr>
            </w:pPr>
          </w:p>
        </w:tc>
        <w:tc>
          <w:tcPr>
            <w:tcW w:w="840" w:type="dxa"/>
            <w:vAlign w:val="bottom"/>
            <w:vMerge w:val="restart"/>
          </w:tcPr>
          <w:p>
            <w:pPr>
              <w:jc w:val="center"/>
              <w:ind w:right="37"/>
              <w:spacing w:after="0"/>
              <w:rPr>
                <w:sz w:val="20"/>
                <w:szCs w:val="20"/>
                <w:color w:val="auto"/>
              </w:rPr>
            </w:pPr>
            <w:r>
              <w:rPr>
                <w:rFonts w:ascii="Arial" w:cs="Arial" w:eastAsia="Arial" w:hAnsi="Arial"/>
                <w:sz w:val="13"/>
                <w:szCs w:val="13"/>
                <w:color w:val="auto"/>
                <w:w w:val="93"/>
              </w:rPr>
              <w:t>11/1/2024</w:t>
            </w:r>
          </w:p>
        </w:tc>
        <w:tc>
          <w:tcPr>
            <w:tcW w:w="9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20" w:type="dxa"/>
            <w:vAlign w:val="bottom"/>
          </w:tcPr>
          <w:p>
            <w:pPr>
              <w:spacing w:after="0"/>
              <w:rPr>
                <w:sz w:val="8"/>
                <w:szCs w:val="8"/>
                <w:color w:val="auto"/>
              </w:rPr>
            </w:pPr>
          </w:p>
        </w:tc>
        <w:tc>
          <w:tcPr>
            <w:tcW w:w="9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420" w:type="dxa"/>
            <w:vAlign w:val="bottom"/>
            <w:vMerge w:val="restart"/>
          </w:tcPr>
          <w:p>
            <w:pPr>
              <w:jc w:val="center"/>
              <w:ind w:right="57"/>
              <w:spacing w:after="0"/>
              <w:rPr>
                <w:sz w:val="20"/>
                <w:szCs w:val="20"/>
                <w:color w:val="auto"/>
              </w:rPr>
            </w:pPr>
            <w:r>
              <w:rPr>
                <w:rFonts w:ascii="Arial" w:cs="Arial" w:eastAsia="Arial" w:hAnsi="Arial"/>
                <w:sz w:val="13"/>
                <w:szCs w:val="13"/>
                <w:color w:val="auto"/>
                <w:w w:val="95"/>
              </w:rPr>
              <w:t>10,906</w:t>
            </w:r>
          </w:p>
        </w:tc>
        <w:tc>
          <w:tcPr>
            <w:tcW w:w="1680" w:type="dxa"/>
            <w:vAlign w:val="bottom"/>
            <w:vMerge w:val="restart"/>
          </w:tcPr>
          <w:p>
            <w:pPr>
              <w:jc w:val="center"/>
              <w:spacing w:after="0"/>
              <w:rPr>
                <w:sz w:val="20"/>
                <w:szCs w:val="20"/>
                <w:color w:val="auto"/>
              </w:rPr>
            </w:pPr>
            <w:r>
              <w:rPr>
                <w:rFonts w:ascii="Arial" w:cs="Arial" w:eastAsia="Arial" w:hAnsi="Arial"/>
                <w:sz w:val="13"/>
                <w:szCs w:val="13"/>
                <w:color w:val="auto"/>
                <w:w w:val="97"/>
              </w:rPr>
              <w:t>350,410</w:t>
            </w:r>
          </w:p>
        </w:tc>
        <w:tc>
          <w:tcPr>
            <w:tcW w:w="0" w:type="dxa"/>
            <w:vAlign w:val="bottom"/>
          </w:tcPr>
          <w:p>
            <w:pPr>
              <w:spacing w:after="0"/>
              <w:rPr>
                <w:sz w:val="1"/>
                <w:szCs w:val="1"/>
                <w:color w:val="auto"/>
              </w:rPr>
            </w:pPr>
          </w:p>
        </w:tc>
      </w:tr>
      <w:tr>
        <w:trPr>
          <w:trHeight w:val="108"/>
        </w:trPr>
        <w:tc>
          <w:tcPr>
            <w:tcW w:w="340" w:type="dxa"/>
            <w:vAlign w:val="bottom"/>
          </w:tcPr>
          <w:p>
            <w:pPr>
              <w:spacing w:after="0"/>
              <w:rPr>
                <w:sz w:val="9"/>
                <w:szCs w:val="9"/>
                <w:color w:val="auto"/>
              </w:rPr>
            </w:pPr>
          </w:p>
        </w:tc>
        <w:tc>
          <w:tcPr>
            <w:tcW w:w="78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9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420" w:type="dxa"/>
            <w:vAlign w:val="bottom"/>
            <w:vMerge w:val="continue"/>
          </w:tcPr>
          <w:p>
            <w:pPr>
              <w:spacing w:after="0"/>
              <w:rPr>
                <w:sz w:val="9"/>
                <w:szCs w:val="9"/>
                <w:color w:val="auto"/>
              </w:rPr>
            </w:pPr>
          </w:p>
        </w:tc>
        <w:tc>
          <w:tcPr>
            <w:tcW w:w="16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24"/>
        </w:trPr>
        <w:tc>
          <w:tcPr>
            <w:tcW w:w="112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color w:val="auto"/>
              </w:rPr>
              <w:t>2024 PSU Grants</w:t>
            </w:r>
          </w:p>
        </w:tc>
        <w:tc>
          <w:tcPr>
            <w:tcW w:w="840" w:type="dxa"/>
            <w:vAlign w:val="bottom"/>
            <w:tcBorders>
              <w:bottom w:val="single" w:sz="8" w:color="auto"/>
            </w:tcBorders>
          </w:tcPr>
          <w:p>
            <w:pPr>
              <w:ind w:left="260"/>
              <w:spacing w:after="0"/>
              <w:rPr>
                <w:sz w:val="20"/>
                <w:szCs w:val="20"/>
                <w:color w:val="auto"/>
              </w:rPr>
            </w:pPr>
            <w:r>
              <w:rPr>
                <w:rFonts w:ascii="Arial" w:cs="Arial" w:eastAsia="Arial" w:hAnsi="Arial"/>
                <w:sz w:val="13"/>
                <w:szCs w:val="13"/>
                <w:color w:val="auto"/>
              </w:rPr>
              <w:t>N/A</w:t>
            </w:r>
          </w:p>
        </w:tc>
        <w:tc>
          <w:tcPr>
            <w:tcW w:w="9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47" w:lineRule="exact"/>
        <w:rPr>
          <w:sz w:val="20"/>
          <w:szCs w:val="20"/>
          <w:color w:val="auto"/>
        </w:rPr>
      </w:pPr>
    </w:p>
    <w:p>
      <w:pPr>
        <w:ind w:left="440" w:right="20" w:hanging="414"/>
        <w:spacing w:after="0" w:line="262" w:lineRule="auto"/>
        <w:tabs>
          <w:tab w:leader="none" w:pos="4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These figures represent threshold, target and maximum potential future payouts under the PSUs granted to each of our named executive officers in fiscal 2024. The PSUs are eligible to vest based on the achievement of certain performance targets. Vesting of the PSU award is contingent upon the Company’s achievement of Adjusted EBITDA margin and revenue growth targets for fiscal 2023, as well as the NEO’s continued employment with the Company at the time of vesting. Each PSU will be settled in shares of the Company’s stock. NEOs do not have voting or dividend rights with respect to unvested PSUs. See “Compensation Discussion and Analysis - Section 3 - Elements of 2024 Compensation - Long Term Incentive Compensation” for further information regarding the PSUs. For Mr. Oringer, Mr. Yahes and Mr. Caine, the “2024 PSU Grant” reflects three annual tranches, as the performance targets for these three tranches are set at the start of the three-year performance period. For the PSUs granted to Mr. Hennessy in 2024, the performance target is set for the 2025 performance period, and therefore, only one annual tranche of the PSUs is considered granted in 2024 under FASB Topic 718 and included in this table.</w:t>
      </w:r>
    </w:p>
    <w:p>
      <w:pPr>
        <w:spacing w:after="0" w:line="24" w:lineRule="exact"/>
        <w:rPr>
          <w:rFonts w:ascii="Arial" w:cs="Arial" w:eastAsia="Arial" w:hAnsi="Arial"/>
          <w:sz w:val="14"/>
          <w:szCs w:val="14"/>
          <w:color w:val="auto"/>
        </w:rPr>
      </w:pPr>
    </w:p>
    <w:p>
      <w:pPr>
        <w:ind w:left="440" w:right="200" w:hanging="414"/>
        <w:spacing w:after="0" w:line="301" w:lineRule="auto"/>
        <w:tabs>
          <w:tab w:leader="none" w:pos="4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In connection with his departure, the PSUs granted in 2024 to Mr. Yahes were forfeited as of November 1, 2024. With respect to Mr. Caine, his PSUs earned based on 2024 performance vested, but his PSUs vesting based on future performance were forfeited as of September 11, 2024.</w:t>
      </w:r>
    </w:p>
    <w:p>
      <w:pPr>
        <w:spacing w:after="0" w:line="1" w:lineRule="exact"/>
        <w:rPr>
          <w:rFonts w:ascii="Arial" w:cs="Arial" w:eastAsia="Arial" w:hAnsi="Arial"/>
          <w:sz w:val="14"/>
          <w:szCs w:val="14"/>
          <w:color w:val="auto"/>
        </w:rPr>
      </w:pPr>
    </w:p>
    <w:p>
      <w:pPr>
        <w:ind w:left="440" w:right="320" w:hanging="414"/>
        <w:spacing w:after="0" w:line="301" w:lineRule="auto"/>
        <w:tabs>
          <w:tab w:leader="none" w:pos="4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In connection with Mr. Yahes’s resignation, RSUs granted to him in 2024 were forfeited as of November 1, 2024, and in connection with Mr. Caine’s termination, two-thirds of the RSUs granted to him in 2024 were forfeited and one-third vested as of September 11, 2024.</w:t>
      </w:r>
    </w:p>
    <w:p>
      <w:pPr>
        <w:spacing w:after="0" w:line="1" w:lineRule="exact"/>
        <w:rPr>
          <w:rFonts w:ascii="Arial" w:cs="Arial" w:eastAsia="Arial" w:hAnsi="Arial"/>
          <w:sz w:val="14"/>
          <w:szCs w:val="14"/>
          <w:color w:val="auto"/>
        </w:rPr>
      </w:pPr>
    </w:p>
    <w:p>
      <w:pPr>
        <w:ind w:left="440" w:right="120" w:hanging="414"/>
        <w:spacing w:after="0" w:line="273" w:lineRule="auto"/>
        <w:tabs>
          <w:tab w:leader="none" w:pos="4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Amounts reflect the aggregate grant date fair value computed in accordance with ASC Topic 718, assuming achievement of target-level performance with respect to the 2024 PSU grants. A discussion of the assumptions used in determining grant date fair value may be found in Note 1 to our audited consolidated financial statements included in our Annual Report on Form 10-K for the year ended December 31, 2024.</w:t>
      </w:r>
    </w:p>
    <w:p>
      <w:pPr>
        <w:spacing w:after="0" w:line="17" w:lineRule="exact"/>
        <w:rPr>
          <w:rFonts w:ascii="Arial" w:cs="Arial" w:eastAsia="Arial" w:hAnsi="Arial"/>
          <w:sz w:val="14"/>
          <w:szCs w:val="14"/>
          <w:color w:val="auto"/>
        </w:rPr>
      </w:pPr>
    </w:p>
    <w:p>
      <w:pPr>
        <w:ind w:left="440" w:hanging="414"/>
        <w:spacing w:after="0"/>
        <w:tabs>
          <w:tab w:leader="none" w:pos="4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Prorated portion of bonus reflecting service provided in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220"/>
          </w:cols>
          <w:pgMar w:left="320" w:top="881" w:right="359" w:bottom="1440" w:gutter="0" w:footer="0" w:header="0"/>
          <w:type w:val="continuous"/>
        </w:sectPr>
      </w:pPr>
    </w:p>
    <w:bookmarkStart w:id="38" w:name="page39"/>
    <w:bookmarkEnd w:id="38"/>
    <w:p>
      <w:pPr>
        <w:spacing w:after="0"/>
        <w:rPr>
          <w:sz w:val="20"/>
          <w:szCs w:val="20"/>
          <w:color w:val="auto"/>
        </w:rPr>
      </w:pPr>
      <w:r>
        <w:rPr>
          <w:rFonts w:ascii="Arial" w:cs="Arial" w:eastAsia="Arial" w:hAnsi="Arial"/>
          <w:sz w:val="22"/>
          <w:szCs w:val="22"/>
          <w:b w:val="1"/>
          <w:bCs w:val="1"/>
          <w:color w:val="EF3A35"/>
        </w:rPr>
        <w:t>Outstanding Equity Awards at Fiscal Year-End</w:t>
      </w:r>
    </w:p>
    <w:p>
      <w:pPr>
        <w:spacing w:after="0" w:line="10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shows all outstanding equity awards held by each of the named executive officers at December 31, 2024:</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b w:val="1"/>
                <w:bCs w:val="1"/>
                <w:color w:val="auto"/>
              </w:rPr>
              <w:t>OPTIONS</w:t>
            </w: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320" w:type="dxa"/>
            <w:vAlign w:val="bottom"/>
            <w:gridSpan w:val="2"/>
          </w:tcPr>
          <w:p>
            <w:pPr>
              <w:ind w:left="860"/>
              <w:spacing w:after="0"/>
              <w:rPr>
                <w:sz w:val="20"/>
                <w:szCs w:val="20"/>
                <w:color w:val="auto"/>
              </w:rPr>
            </w:pPr>
            <w:r>
              <w:rPr>
                <w:rFonts w:ascii="Arial" w:cs="Arial" w:eastAsia="Arial" w:hAnsi="Arial"/>
                <w:sz w:val="13"/>
                <w:szCs w:val="13"/>
                <w:b w:val="1"/>
                <w:bCs w:val="1"/>
                <w:color w:val="auto"/>
              </w:rPr>
              <w:t>STOCK AWARDS</w:t>
            </w: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8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9"/>
        </w:trPr>
        <w:tc>
          <w:tcPr>
            <w:tcW w:w="8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6"/>
              </w:rPr>
              <w:t>Equity Incentive Plan</w:t>
            </w:r>
          </w:p>
        </w:tc>
        <w:tc>
          <w:tcPr>
            <w:tcW w:w="7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6"/>
              </w:rPr>
              <w:t>Equity Incentive</w:t>
            </w:r>
          </w:p>
        </w:tc>
        <w:tc>
          <w:tcPr>
            <w:tcW w:w="1240" w:type="dxa"/>
            <w:vAlign w:val="bottom"/>
          </w:tcPr>
          <w:p>
            <w:pPr>
              <w:jc w:val="center"/>
              <w:spacing w:after="0"/>
              <w:rPr>
                <w:sz w:val="20"/>
                <w:szCs w:val="20"/>
                <w:color w:val="auto"/>
              </w:rPr>
            </w:pPr>
            <w:r>
              <w:rPr>
                <w:rFonts w:ascii="Arial" w:cs="Arial" w:eastAsia="Arial" w:hAnsi="Arial"/>
                <w:sz w:val="13"/>
                <w:szCs w:val="13"/>
                <w:b w:val="1"/>
                <w:bCs w:val="1"/>
                <w:color w:val="auto"/>
                <w:w w:val="96"/>
              </w:rPr>
              <w:t>Equity Incentive</w:t>
            </w:r>
          </w:p>
        </w:tc>
        <w:tc>
          <w:tcPr>
            <w:tcW w:w="0" w:type="dxa"/>
            <w:vAlign w:val="bottom"/>
          </w:tcPr>
          <w:p>
            <w:pPr>
              <w:spacing w:after="0"/>
              <w:rPr>
                <w:sz w:val="1"/>
                <w:szCs w:val="1"/>
                <w:color w:val="auto"/>
              </w:rPr>
            </w:pPr>
          </w:p>
        </w:tc>
      </w:tr>
      <w:tr>
        <w:trPr>
          <w:trHeight w:val="126"/>
        </w:trPr>
        <w:tc>
          <w:tcPr>
            <w:tcW w:w="8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8"/>
              </w:rPr>
              <w:t>Number of</w:t>
            </w:r>
          </w:p>
        </w:tc>
        <w:tc>
          <w:tcPr>
            <w:tcW w:w="1100" w:type="dxa"/>
            <w:vAlign w:val="bottom"/>
            <w:vMerge w:val="restart"/>
          </w:tcPr>
          <w:p>
            <w:pPr>
              <w:jc w:val="center"/>
              <w:ind w:left="17"/>
              <w:spacing w:after="0"/>
              <w:rPr>
                <w:sz w:val="20"/>
                <w:szCs w:val="20"/>
                <w:color w:val="auto"/>
              </w:rPr>
            </w:pPr>
            <w:r>
              <w:rPr>
                <w:rFonts w:ascii="Arial" w:cs="Arial" w:eastAsia="Arial" w:hAnsi="Arial"/>
                <w:sz w:val="13"/>
                <w:szCs w:val="13"/>
                <w:b w:val="1"/>
                <w:bCs w:val="1"/>
                <w:color w:val="auto"/>
                <w:w w:val="95"/>
              </w:rPr>
              <w:t>Number of</w:t>
            </w:r>
          </w:p>
        </w:tc>
        <w:tc>
          <w:tcPr>
            <w:tcW w:w="1400" w:type="dxa"/>
            <w:vAlign w:val="bottom"/>
            <w:vMerge w:val="continue"/>
          </w:tcPr>
          <w:p>
            <w:pPr>
              <w:spacing w:after="0"/>
              <w:rPr>
                <w:sz w:val="10"/>
                <w:szCs w:val="10"/>
                <w:color w:val="auto"/>
              </w:rPr>
            </w:pPr>
          </w:p>
        </w:tc>
        <w:tc>
          <w:tcPr>
            <w:tcW w:w="7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8"/>
              </w:rPr>
              <w:t>Number of</w:t>
            </w:r>
          </w:p>
        </w:tc>
        <w:tc>
          <w:tcPr>
            <w:tcW w:w="118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124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w w:val="97"/>
              </w:rPr>
              <w:t>Plan Awards:</w:t>
            </w:r>
          </w:p>
        </w:tc>
        <w:tc>
          <w:tcPr>
            <w:tcW w:w="0" w:type="dxa"/>
            <w:vAlign w:val="bottom"/>
          </w:tcPr>
          <w:p>
            <w:pPr>
              <w:spacing w:after="0"/>
              <w:rPr>
                <w:sz w:val="1"/>
                <w:szCs w:val="1"/>
                <w:color w:val="auto"/>
              </w:rPr>
            </w:pPr>
          </w:p>
        </w:tc>
      </w:tr>
      <w:tr>
        <w:trPr>
          <w:trHeight w:val="131"/>
        </w:trPr>
        <w:tc>
          <w:tcPr>
            <w:tcW w:w="8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8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1400" w:type="dxa"/>
            <w:vAlign w:val="bottom"/>
          </w:tcPr>
          <w:p>
            <w:pPr>
              <w:jc w:val="center"/>
              <w:spacing w:after="0" w:line="131" w:lineRule="exact"/>
              <w:rPr>
                <w:sz w:val="20"/>
                <w:szCs w:val="20"/>
                <w:color w:val="auto"/>
              </w:rPr>
            </w:pPr>
            <w:r>
              <w:rPr>
                <w:rFonts w:ascii="Arial" w:cs="Arial" w:eastAsia="Arial" w:hAnsi="Arial"/>
                <w:sz w:val="13"/>
                <w:szCs w:val="13"/>
                <w:b w:val="1"/>
                <w:bCs w:val="1"/>
                <w:color w:val="auto"/>
                <w:w w:val="96"/>
              </w:rPr>
              <w:t>Awards: Number of</w:t>
            </w: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1180" w:type="dxa"/>
            <w:vAlign w:val="bottom"/>
          </w:tcPr>
          <w:p>
            <w:pPr>
              <w:spacing w:after="0"/>
              <w:rPr>
                <w:sz w:val="11"/>
                <w:szCs w:val="11"/>
                <w:color w:val="auto"/>
              </w:rPr>
            </w:pPr>
          </w:p>
        </w:tc>
        <w:tc>
          <w:tcPr>
            <w:tcW w:w="1140" w:type="dxa"/>
            <w:vAlign w:val="bottom"/>
          </w:tcPr>
          <w:p>
            <w:pPr>
              <w:jc w:val="center"/>
              <w:spacing w:after="0" w:line="131" w:lineRule="exact"/>
              <w:rPr>
                <w:sz w:val="20"/>
                <w:szCs w:val="20"/>
                <w:color w:val="auto"/>
              </w:rPr>
            </w:pPr>
            <w:r>
              <w:rPr>
                <w:rFonts w:ascii="Arial" w:cs="Arial" w:eastAsia="Arial" w:hAnsi="Arial"/>
                <w:sz w:val="13"/>
                <w:szCs w:val="13"/>
                <w:b w:val="1"/>
                <w:bCs w:val="1"/>
                <w:color w:val="auto"/>
                <w:w w:val="97"/>
              </w:rPr>
              <w:t>Plan Awards:</w:t>
            </w:r>
          </w:p>
        </w:tc>
        <w:tc>
          <w:tcPr>
            <w:tcW w:w="12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6"/>
              </w:rPr>
              <w:t>Market or Payout</w:t>
            </w:r>
          </w:p>
        </w:tc>
        <w:tc>
          <w:tcPr>
            <w:tcW w:w="0" w:type="dxa"/>
            <w:vAlign w:val="bottom"/>
          </w:tcPr>
          <w:p>
            <w:pPr>
              <w:spacing w:after="0"/>
              <w:rPr>
                <w:sz w:val="1"/>
                <w:szCs w:val="1"/>
                <w:color w:val="auto"/>
              </w:rPr>
            </w:pPr>
          </w:p>
        </w:tc>
      </w:tr>
      <w:tr>
        <w:trPr>
          <w:trHeight w:val="54"/>
        </w:trPr>
        <w:tc>
          <w:tcPr>
            <w:tcW w:w="8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6"/>
              </w:rPr>
              <w:t>Securities</w:t>
            </w:r>
          </w:p>
        </w:tc>
        <w:tc>
          <w:tcPr>
            <w:tcW w:w="1100" w:type="dxa"/>
            <w:vAlign w:val="bottom"/>
            <w:vMerge w:val="restart"/>
          </w:tcPr>
          <w:p>
            <w:pPr>
              <w:jc w:val="center"/>
              <w:ind w:left="17"/>
              <w:spacing w:after="0"/>
              <w:rPr>
                <w:sz w:val="20"/>
                <w:szCs w:val="20"/>
                <w:color w:val="auto"/>
              </w:rPr>
            </w:pPr>
            <w:r>
              <w:rPr>
                <w:rFonts w:ascii="Arial" w:cs="Arial" w:eastAsia="Arial" w:hAnsi="Arial"/>
                <w:sz w:val="13"/>
                <w:szCs w:val="13"/>
                <w:b w:val="1"/>
                <w:bCs w:val="1"/>
                <w:color w:val="auto"/>
                <w:w w:val="99"/>
              </w:rPr>
              <w:t>Securities</w:t>
            </w:r>
          </w:p>
        </w:tc>
        <w:tc>
          <w:tcPr>
            <w:tcW w:w="14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6"/>
              </w:rPr>
              <w:t>Securities</w:t>
            </w:r>
          </w:p>
        </w:tc>
        <w:tc>
          <w:tcPr>
            <w:tcW w:w="700" w:type="dxa"/>
            <w:vAlign w:val="bottom"/>
          </w:tcPr>
          <w:p>
            <w:pPr>
              <w:spacing w:after="0"/>
              <w:rPr>
                <w:sz w:val="4"/>
                <w:szCs w:val="4"/>
                <w:color w:val="auto"/>
              </w:rPr>
            </w:pPr>
          </w:p>
        </w:tc>
        <w:tc>
          <w:tcPr>
            <w:tcW w:w="840" w:type="dxa"/>
            <w:vAlign w:val="bottom"/>
          </w:tcPr>
          <w:p>
            <w:pPr>
              <w:spacing w:after="0"/>
              <w:rPr>
                <w:sz w:val="4"/>
                <w:szCs w:val="4"/>
                <w:color w:val="auto"/>
              </w:rPr>
            </w:pPr>
          </w:p>
        </w:tc>
        <w:tc>
          <w:tcPr>
            <w:tcW w:w="8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6"/>
              </w:rPr>
              <w:t>Shares or</w:t>
            </w:r>
          </w:p>
        </w:tc>
        <w:tc>
          <w:tcPr>
            <w:tcW w:w="1180" w:type="dxa"/>
            <w:vAlign w:val="bottom"/>
          </w:tcPr>
          <w:p>
            <w:pPr>
              <w:spacing w:after="0"/>
              <w:rPr>
                <w:sz w:val="4"/>
                <w:szCs w:val="4"/>
                <w:color w:val="auto"/>
              </w:rPr>
            </w:pPr>
          </w:p>
        </w:tc>
        <w:tc>
          <w:tcPr>
            <w:tcW w:w="11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8"/>
              </w:rPr>
              <w:t>Number of</w:t>
            </w:r>
          </w:p>
        </w:tc>
        <w:tc>
          <w:tcPr>
            <w:tcW w:w="12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6"/>
        </w:trPr>
        <w:tc>
          <w:tcPr>
            <w:tcW w:w="8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80" w:type="dxa"/>
            <w:vAlign w:val="bottom"/>
            <w:vMerge w:val="continue"/>
          </w:tcPr>
          <w:p>
            <w:pPr>
              <w:spacing w:after="0"/>
              <w:rPr>
                <w:sz w:val="10"/>
                <w:szCs w:val="10"/>
                <w:color w:val="auto"/>
              </w:rPr>
            </w:pPr>
          </w:p>
        </w:tc>
        <w:tc>
          <w:tcPr>
            <w:tcW w:w="1100" w:type="dxa"/>
            <w:vAlign w:val="bottom"/>
            <w:vMerge w:val="continue"/>
          </w:tcPr>
          <w:p>
            <w:pPr>
              <w:spacing w:after="0"/>
              <w:rPr>
                <w:sz w:val="10"/>
                <w:szCs w:val="10"/>
                <w:color w:val="auto"/>
              </w:rPr>
            </w:pPr>
          </w:p>
        </w:tc>
        <w:tc>
          <w:tcPr>
            <w:tcW w:w="1400" w:type="dxa"/>
            <w:vAlign w:val="bottom"/>
            <w:vMerge w:val="continue"/>
          </w:tcPr>
          <w:p>
            <w:pPr>
              <w:spacing w:after="0"/>
              <w:rPr>
                <w:sz w:val="10"/>
                <w:szCs w:val="10"/>
                <w:color w:val="auto"/>
              </w:rPr>
            </w:pPr>
          </w:p>
        </w:tc>
        <w:tc>
          <w:tcPr>
            <w:tcW w:w="7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11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5"/>
              </w:rPr>
              <w:t>Market Value of</w:t>
            </w:r>
          </w:p>
        </w:tc>
        <w:tc>
          <w:tcPr>
            <w:tcW w:w="1140" w:type="dxa"/>
            <w:vAlign w:val="bottom"/>
            <w:vMerge w:val="continue"/>
          </w:tcPr>
          <w:p>
            <w:pPr>
              <w:spacing w:after="0"/>
              <w:rPr>
                <w:sz w:val="10"/>
                <w:szCs w:val="10"/>
                <w:color w:val="auto"/>
              </w:rPr>
            </w:pPr>
          </w:p>
        </w:tc>
        <w:tc>
          <w:tcPr>
            <w:tcW w:w="124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w w:val="96"/>
              </w:rPr>
              <w:t>Value of Unearned</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80" w:type="dxa"/>
            <w:vAlign w:val="bottom"/>
          </w:tcPr>
          <w:p>
            <w:pPr>
              <w:jc w:val="center"/>
              <w:spacing w:after="0"/>
              <w:rPr>
                <w:sz w:val="20"/>
                <w:szCs w:val="20"/>
                <w:color w:val="auto"/>
              </w:rPr>
            </w:pPr>
            <w:r>
              <w:rPr>
                <w:rFonts w:ascii="Arial" w:cs="Arial" w:eastAsia="Arial" w:hAnsi="Arial"/>
                <w:sz w:val="13"/>
                <w:szCs w:val="13"/>
                <w:b w:val="1"/>
                <w:bCs w:val="1"/>
                <w:color w:val="auto"/>
                <w:w w:val="97"/>
              </w:rPr>
              <w:t>Underlying</w:t>
            </w:r>
          </w:p>
        </w:tc>
        <w:tc>
          <w:tcPr>
            <w:tcW w:w="1100" w:type="dxa"/>
            <w:vAlign w:val="bottom"/>
          </w:tcPr>
          <w:p>
            <w:pPr>
              <w:jc w:val="center"/>
              <w:ind w:left="17"/>
              <w:spacing w:after="0"/>
              <w:rPr>
                <w:sz w:val="20"/>
                <w:szCs w:val="20"/>
                <w:color w:val="auto"/>
              </w:rPr>
            </w:pPr>
            <w:r>
              <w:rPr>
                <w:rFonts w:ascii="Arial" w:cs="Arial" w:eastAsia="Arial" w:hAnsi="Arial"/>
                <w:sz w:val="13"/>
                <w:szCs w:val="13"/>
                <w:b w:val="1"/>
                <w:bCs w:val="1"/>
                <w:color w:val="auto"/>
                <w:w w:val="97"/>
              </w:rPr>
              <w:t>Underlying</w:t>
            </w:r>
          </w:p>
        </w:tc>
        <w:tc>
          <w:tcPr>
            <w:tcW w:w="1400" w:type="dxa"/>
            <w:vAlign w:val="bottom"/>
          </w:tcPr>
          <w:p>
            <w:pPr>
              <w:jc w:val="center"/>
              <w:spacing w:after="0"/>
              <w:rPr>
                <w:sz w:val="20"/>
                <w:szCs w:val="20"/>
                <w:color w:val="auto"/>
              </w:rPr>
            </w:pPr>
            <w:r>
              <w:rPr>
                <w:rFonts w:ascii="Arial" w:cs="Arial" w:eastAsia="Arial" w:hAnsi="Arial"/>
                <w:sz w:val="13"/>
                <w:szCs w:val="13"/>
                <w:b w:val="1"/>
                <w:bCs w:val="1"/>
                <w:color w:val="auto"/>
                <w:w w:val="97"/>
              </w:rPr>
              <w:t>Underlying</w:t>
            </w:r>
          </w:p>
        </w:tc>
        <w:tc>
          <w:tcPr>
            <w:tcW w:w="7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20" w:type="dxa"/>
            <w:vAlign w:val="bottom"/>
          </w:tcPr>
          <w:p>
            <w:pPr>
              <w:jc w:val="center"/>
              <w:spacing w:after="0"/>
              <w:rPr>
                <w:sz w:val="20"/>
                <w:szCs w:val="20"/>
                <w:color w:val="auto"/>
              </w:rPr>
            </w:pPr>
            <w:r>
              <w:rPr>
                <w:rFonts w:ascii="Arial" w:cs="Arial" w:eastAsia="Arial" w:hAnsi="Arial"/>
                <w:sz w:val="13"/>
                <w:szCs w:val="13"/>
                <w:b w:val="1"/>
                <w:bCs w:val="1"/>
                <w:color w:val="auto"/>
                <w:w w:val="99"/>
              </w:rPr>
              <w:t>Units of</w:t>
            </w:r>
          </w:p>
        </w:tc>
        <w:tc>
          <w:tcPr>
            <w:tcW w:w="1180" w:type="dxa"/>
            <w:vAlign w:val="bottom"/>
            <w:vMerge w:val="continue"/>
          </w:tcPr>
          <w:p>
            <w:pPr>
              <w:spacing w:after="0"/>
              <w:rPr>
                <w:sz w:val="12"/>
                <w:szCs w:val="12"/>
                <w:color w:val="auto"/>
              </w:rPr>
            </w:pPr>
          </w:p>
        </w:tc>
        <w:tc>
          <w:tcPr>
            <w:tcW w:w="1140" w:type="dxa"/>
            <w:vAlign w:val="bottom"/>
          </w:tcPr>
          <w:p>
            <w:pPr>
              <w:jc w:val="center"/>
              <w:spacing w:after="0"/>
              <w:rPr>
                <w:sz w:val="20"/>
                <w:szCs w:val="20"/>
                <w:color w:val="auto"/>
              </w:rPr>
            </w:pPr>
            <w:r>
              <w:rPr>
                <w:rFonts w:ascii="Arial" w:cs="Arial" w:eastAsia="Arial" w:hAnsi="Arial"/>
                <w:sz w:val="13"/>
                <w:szCs w:val="13"/>
                <w:b w:val="1"/>
                <w:bCs w:val="1"/>
                <w:color w:val="auto"/>
                <w:w w:val="97"/>
              </w:rPr>
              <w:t>Unearned Shares,</w:t>
            </w:r>
          </w:p>
        </w:tc>
        <w:tc>
          <w:tcPr>
            <w:tcW w:w="1240" w:type="dxa"/>
            <w:vAlign w:val="bottom"/>
          </w:tcPr>
          <w:p>
            <w:pPr>
              <w:jc w:val="center"/>
              <w:spacing w:after="0"/>
              <w:rPr>
                <w:sz w:val="20"/>
                <w:szCs w:val="20"/>
                <w:color w:val="auto"/>
              </w:rPr>
            </w:pPr>
            <w:r>
              <w:rPr>
                <w:rFonts w:ascii="Arial" w:cs="Arial" w:eastAsia="Arial" w:hAnsi="Arial"/>
                <w:sz w:val="13"/>
                <w:szCs w:val="13"/>
                <w:b w:val="1"/>
                <w:bCs w:val="1"/>
                <w:color w:val="auto"/>
                <w:w w:val="96"/>
              </w:rPr>
              <w:t>Shares, Units or</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80" w:type="dxa"/>
            <w:vAlign w:val="bottom"/>
          </w:tcPr>
          <w:p>
            <w:pPr>
              <w:jc w:val="center"/>
              <w:spacing w:after="0"/>
              <w:rPr>
                <w:sz w:val="20"/>
                <w:szCs w:val="20"/>
                <w:color w:val="auto"/>
              </w:rPr>
            </w:pPr>
            <w:r>
              <w:rPr>
                <w:rFonts w:ascii="Arial" w:cs="Arial" w:eastAsia="Arial" w:hAnsi="Arial"/>
                <w:sz w:val="13"/>
                <w:szCs w:val="13"/>
                <w:b w:val="1"/>
                <w:bCs w:val="1"/>
                <w:color w:val="auto"/>
                <w:w w:val="98"/>
              </w:rPr>
              <w:t>Unexercised</w:t>
            </w:r>
          </w:p>
        </w:tc>
        <w:tc>
          <w:tcPr>
            <w:tcW w:w="1100" w:type="dxa"/>
            <w:vAlign w:val="bottom"/>
          </w:tcPr>
          <w:p>
            <w:pPr>
              <w:jc w:val="center"/>
              <w:ind w:left="17"/>
              <w:spacing w:after="0"/>
              <w:rPr>
                <w:sz w:val="20"/>
                <w:szCs w:val="20"/>
                <w:color w:val="auto"/>
              </w:rPr>
            </w:pPr>
            <w:r>
              <w:rPr>
                <w:rFonts w:ascii="Arial" w:cs="Arial" w:eastAsia="Arial" w:hAnsi="Arial"/>
                <w:sz w:val="13"/>
                <w:szCs w:val="13"/>
                <w:b w:val="1"/>
                <w:bCs w:val="1"/>
                <w:color w:val="auto"/>
                <w:w w:val="95"/>
              </w:rPr>
              <w:t>Unexercised</w:t>
            </w:r>
          </w:p>
        </w:tc>
        <w:tc>
          <w:tcPr>
            <w:tcW w:w="1400" w:type="dxa"/>
            <w:vAlign w:val="bottom"/>
          </w:tcPr>
          <w:p>
            <w:pPr>
              <w:jc w:val="center"/>
              <w:spacing w:after="0"/>
              <w:rPr>
                <w:sz w:val="20"/>
                <w:szCs w:val="20"/>
                <w:color w:val="auto"/>
              </w:rPr>
            </w:pPr>
            <w:r>
              <w:rPr>
                <w:rFonts w:ascii="Arial" w:cs="Arial" w:eastAsia="Arial" w:hAnsi="Arial"/>
                <w:sz w:val="13"/>
                <w:szCs w:val="13"/>
                <w:b w:val="1"/>
                <w:bCs w:val="1"/>
                <w:color w:val="auto"/>
                <w:w w:val="95"/>
              </w:rPr>
              <w:t>Unexercised</w:t>
            </w:r>
          </w:p>
        </w:tc>
        <w:tc>
          <w:tcPr>
            <w:tcW w:w="700" w:type="dxa"/>
            <w:vAlign w:val="bottom"/>
          </w:tcPr>
          <w:p>
            <w:pPr>
              <w:jc w:val="center"/>
              <w:spacing w:after="0"/>
              <w:rPr>
                <w:sz w:val="20"/>
                <w:szCs w:val="20"/>
                <w:color w:val="auto"/>
              </w:rPr>
            </w:pPr>
            <w:r>
              <w:rPr>
                <w:rFonts w:ascii="Arial" w:cs="Arial" w:eastAsia="Arial" w:hAnsi="Arial"/>
                <w:sz w:val="13"/>
                <w:szCs w:val="13"/>
                <w:b w:val="1"/>
                <w:bCs w:val="1"/>
                <w:color w:val="auto"/>
              </w:rPr>
              <w:t>Option</w:t>
            </w: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w w:val="95"/>
              </w:rPr>
              <w:t>Option</w:t>
            </w:r>
          </w:p>
        </w:tc>
        <w:tc>
          <w:tcPr>
            <w:tcW w:w="820" w:type="dxa"/>
            <w:vAlign w:val="bottom"/>
          </w:tcPr>
          <w:p>
            <w:pPr>
              <w:jc w:val="center"/>
              <w:spacing w:after="0"/>
              <w:rPr>
                <w:sz w:val="20"/>
                <w:szCs w:val="20"/>
                <w:color w:val="auto"/>
              </w:rPr>
            </w:pPr>
            <w:r>
              <w:rPr>
                <w:rFonts w:ascii="Arial" w:cs="Arial" w:eastAsia="Arial" w:hAnsi="Arial"/>
                <w:sz w:val="13"/>
                <w:szCs w:val="13"/>
                <w:b w:val="1"/>
                <w:bCs w:val="1"/>
                <w:color w:val="auto"/>
                <w:w w:val="96"/>
              </w:rPr>
              <w:t>Stock That</w:t>
            </w:r>
          </w:p>
        </w:tc>
        <w:tc>
          <w:tcPr>
            <w:tcW w:w="1180" w:type="dxa"/>
            <w:vAlign w:val="bottom"/>
          </w:tcPr>
          <w:p>
            <w:pPr>
              <w:jc w:val="center"/>
              <w:spacing w:after="0"/>
              <w:rPr>
                <w:sz w:val="20"/>
                <w:szCs w:val="20"/>
                <w:color w:val="auto"/>
              </w:rPr>
            </w:pPr>
            <w:r>
              <w:rPr>
                <w:rFonts w:ascii="Arial" w:cs="Arial" w:eastAsia="Arial" w:hAnsi="Arial"/>
                <w:sz w:val="13"/>
                <w:szCs w:val="13"/>
                <w:b w:val="1"/>
                <w:bCs w:val="1"/>
                <w:color w:val="auto"/>
                <w:w w:val="96"/>
              </w:rPr>
              <w:t>Shares or Units of</w:t>
            </w:r>
          </w:p>
        </w:tc>
        <w:tc>
          <w:tcPr>
            <w:tcW w:w="1140" w:type="dxa"/>
            <w:vAlign w:val="bottom"/>
          </w:tcPr>
          <w:p>
            <w:pPr>
              <w:jc w:val="center"/>
              <w:spacing w:after="0"/>
              <w:rPr>
                <w:sz w:val="20"/>
                <w:szCs w:val="20"/>
                <w:color w:val="auto"/>
              </w:rPr>
            </w:pPr>
            <w:r>
              <w:rPr>
                <w:rFonts w:ascii="Arial" w:cs="Arial" w:eastAsia="Arial" w:hAnsi="Arial"/>
                <w:sz w:val="13"/>
                <w:szCs w:val="13"/>
                <w:b w:val="1"/>
                <w:bCs w:val="1"/>
                <w:color w:val="auto"/>
                <w:w w:val="96"/>
              </w:rPr>
              <w:t>Units or Other</w:t>
            </w:r>
          </w:p>
        </w:tc>
        <w:tc>
          <w:tcPr>
            <w:tcW w:w="1240" w:type="dxa"/>
            <w:vAlign w:val="bottom"/>
          </w:tcPr>
          <w:p>
            <w:pPr>
              <w:jc w:val="center"/>
              <w:spacing w:after="0"/>
              <w:rPr>
                <w:sz w:val="20"/>
                <w:szCs w:val="20"/>
                <w:color w:val="auto"/>
              </w:rPr>
            </w:pPr>
            <w:r>
              <w:rPr>
                <w:rFonts w:ascii="Arial" w:cs="Arial" w:eastAsia="Arial" w:hAnsi="Arial"/>
                <w:sz w:val="13"/>
                <w:szCs w:val="13"/>
                <w:b w:val="1"/>
                <w:bCs w:val="1"/>
                <w:color w:val="auto"/>
                <w:w w:val="96"/>
              </w:rPr>
              <w:t>Other Rights That</w:t>
            </w:r>
          </w:p>
        </w:tc>
        <w:tc>
          <w:tcPr>
            <w:tcW w:w="0" w:type="dxa"/>
            <w:vAlign w:val="bottom"/>
          </w:tcPr>
          <w:p>
            <w:pPr>
              <w:spacing w:after="0"/>
              <w:rPr>
                <w:sz w:val="1"/>
                <w:szCs w:val="1"/>
                <w:color w:val="auto"/>
              </w:rPr>
            </w:pPr>
          </w:p>
        </w:tc>
      </w:tr>
      <w:tr>
        <w:trPr>
          <w:trHeight w:val="148"/>
        </w:trPr>
        <w:tc>
          <w:tcPr>
            <w:tcW w:w="880" w:type="dxa"/>
            <w:vAlign w:val="bottom"/>
          </w:tcPr>
          <w:p>
            <w:pPr>
              <w:ind w:left="20"/>
              <w:spacing w:after="0"/>
              <w:rPr>
                <w:sz w:val="20"/>
                <w:szCs w:val="20"/>
                <w:color w:val="auto"/>
              </w:rPr>
            </w:pPr>
            <w:r>
              <w:rPr>
                <w:rFonts w:ascii="Arial" w:cs="Arial" w:eastAsia="Arial" w:hAnsi="Arial"/>
                <w:sz w:val="13"/>
                <w:szCs w:val="13"/>
                <w:b w:val="1"/>
                <w:bCs w:val="1"/>
                <w:color w:val="auto"/>
              </w:rPr>
              <w:t>Executive</w:t>
            </w:r>
          </w:p>
        </w:tc>
        <w:tc>
          <w:tcPr>
            <w:tcW w:w="840" w:type="dxa"/>
            <w:vAlign w:val="bottom"/>
            <w:vMerge w:val="restart"/>
          </w:tcPr>
          <w:p>
            <w:pPr>
              <w:jc w:val="right"/>
              <w:ind w:right="57"/>
              <w:spacing w:after="0"/>
              <w:rPr>
                <w:sz w:val="20"/>
                <w:szCs w:val="20"/>
                <w:color w:val="auto"/>
              </w:rPr>
            </w:pPr>
            <w:r>
              <w:rPr>
                <w:rFonts w:ascii="Arial" w:cs="Arial" w:eastAsia="Arial" w:hAnsi="Arial"/>
                <w:sz w:val="13"/>
                <w:szCs w:val="13"/>
                <w:b w:val="1"/>
                <w:bCs w:val="1"/>
                <w:color w:val="auto"/>
              </w:rPr>
              <w:t>Grant Date</w:t>
            </w:r>
          </w:p>
        </w:tc>
        <w:tc>
          <w:tcPr>
            <w:tcW w:w="1080" w:type="dxa"/>
            <w:vAlign w:val="bottom"/>
          </w:tcPr>
          <w:p>
            <w:pPr>
              <w:jc w:val="center"/>
              <w:spacing w:after="0"/>
              <w:rPr>
                <w:sz w:val="20"/>
                <w:szCs w:val="20"/>
                <w:color w:val="auto"/>
              </w:rPr>
            </w:pPr>
            <w:r>
              <w:rPr>
                <w:rFonts w:ascii="Arial" w:cs="Arial" w:eastAsia="Arial" w:hAnsi="Arial"/>
                <w:sz w:val="13"/>
                <w:szCs w:val="13"/>
                <w:b w:val="1"/>
                <w:bCs w:val="1"/>
                <w:color w:val="auto"/>
                <w:w w:val="96"/>
              </w:rPr>
              <w:t>Options (#)</w:t>
            </w:r>
          </w:p>
        </w:tc>
        <w:tc>
          <w:tcPr>
            <w:tcW w:w="1100" w:type="dxa"/>
            <w:vAlign w:val="bottom"/>
          </w:tcPr>
          <w:p>
            <w:pPr>
              <w:jc w:val="center"/>
              <w:ind w:left="17"/>
              <w:spacing w:after="0"/>
              <w:rPr>
                <w:sz w:val="20"/>
                <w:szCs w:val="20"/>
                <w:color w:val="auto"/>
              </w:rPr>
            </w:pPr>
            <w:r>
              <w:rPr>
                <w:rFonts w:ascii="Arial" w:cs="Arial" w:eastAsia="Arial" w:hAnsi="Arial"/>
                <w:sz w:val="13"/>
                <w:szCs w:val="13"/>
                <w:b w:val="1"/>
                <w:bCs w:val="1"/>
                <w:color w:val="auto"/>
                <w:w w:val="96"/>
              </w:rPr>
              <w:t>Options (#)</w:t>
            </w:r>
          </w:p>
        </w:tc>
        <w:tc>
          <w:tcPr>
            <w:tcW w:w="1400" w:type="dxa"/>
            <w:vAlign w:val="bottom"/>
          </w:tcPr>
          <w:p>
            <w:pPr>
              <w:jc w:val="center"/>
              <w:spacing w:after="0"/>
              <w:rPr>
                <w:sz w:val="20"/>
                <w:szCs w:val="20"/>
                <w:color w:val="auto"/>
              </w:rPr>
            </w:pPr>
            <w:r>
              <w:rPr>
                <w:rFonts w:ascii="Arial" w:cs="Arial" w:eastAsia="Arial" w:hAnsi="Arial"/>
                <w:sz w:val="13"/>
                <w:szCs w:val="13"/>
                <w:b w:val="1"/>
                <w:bCs w:val="1"/>
                <w:color w:val="auto"/>
                <w:w w:val="97"/>
              </w:rPr>
              <w:t>Unearned Options</w:t>
            </w:r>
          </w:p>
        </w:tc>
        <w:tc>
          <w:tcPr>
            <w:tcW w:w="700" w:type="dxa"/>
            <w:vAlign w:val="bottom"/>
          </w:tcPr>
          <w:p>
            <w:pPr>
              <w:jc w:val="center"/>
              <w:spacing w:after="0"/>
              <w:rPr>
                <w:sz w:val="20"/>
                <w:szCs w:val="20"/>
                <w:color w:val="auto"/>
              </w:rPr>
            </w:pPr>
            <w:r>
              <w:rPr>
                <w:rFonts w:ascii="Arial" w:cs="Arial" w:eastAsia="Arial" w:hAnsi="Arial"/>
                <w:sz w:val="13"/>
                <w:szCs w:val="13"/>
                <w:b w:val="1"/>
                <w:bCs w:val="1"/>
                <w:color w:val="auto"/>
                <w:w w:val="93"/>
              </w:rPr>
              <w:t>Exercise</w:t>
            </w: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w w:val="94"/>
              </w:rPr>
              <w:t>Expiration</w:t>
            </w:r>
          </w:p>
        </w:tc>
        <w:tc>
          <w:tcPr>
            <w:tcW w:w="820" w:type="dxa"/>
            <w:vAlign w:val="bottom"/>
          </w:tcPr>
          <w:p>
            <w:pPr>
              <w:jc w:val="center"/>
              <w:spacing w:after="0"/>
              <w:rPr>
                <w:sz w:val="20"/>
                <w:szCs w:val="20"/>
                <w:color w:val="auto"/>
              </w:rPr>
            </w:pPr>
            <w:r>
              <w:rPr>
                <w:rFonts w:ascii="Arial" w:cs="Arial" w:eastAsia="Arial" w:hAnsi="Arial"/>
                <w:sz w:val="13"/>
                <w:szCs w:val="13"/>
                <w:b w:val="1"/>
                <w:bCs w:val="1"/>
                <w:color w:val="auto"/>
                <w:w w:val="95"/>
              </w:rPr>
              <w:t>Have Not</w:t>
            </w:r>
          </w:p>
        </w:tc>
        <w:tc>
          <w:tcPr>
            <w:tcW w:w="1180" w:type="dxa"/>
            <w:vAlign w:val="bottom"/>
          </w:tcPr>
          <w:p>
            <w:pPr>
              <w:jc w:val="center"/>
              <w:spacing w:after="0"/>
              <w:rPr>
                <w:sz w:val="20"/>
                <w:szCs w:val="20"/>
                <w:color w:val="auto"/>
              </w:rPr>
            </w:pPr>
            <w:r>
              <w:rPr>
                <w:rFonts w:ascii="Arial" w:cs="Arial" w:eastAsia="Arial" w:hAnsi="Arial"/>
                <w:sz w:val="13"/>
                <w:szCs w:val="13"/>
                <w:b w:val="1"/>
                <w:bCs w:val="1"/>
                <w:color w:val="auto"/>
                <w:w w:val="96"/>
              </w:rPr>
              <w:t>Stock That Have</w:t>
            </w:r>
          </w:p>
        </w:tc>
        <w:tc>
          <w:tcPr>
            <w:tcW w:w="1140" w:type="dxa"/>
            <w:vAlign w:val="bottom"/>
          </w:tcPr>
          <w:p>
            <w:pPr>
              <w:jc w:val="center"/>
              <w:spacing w:after="0"/>
              <w:rPr>
                <w:sz w:val="20"/>
                <w:szCs w:val="20"/>
                <w:color w:val="auto"/>
              </w:rPr>
            </w:pPr>
            <w:r>
              <w:rPr>
                <w:rFonts w:ascii="Arial" w:cs="Arial" w:eastAsia="Arial" w:hAnsi="Arial"/>
                <w:sz w:val="13"/>
                <w:szCs w:val="13"/>
                <w:b w:val="1"/>
                <w:bCs w:val="1"/>
                <w:color w:val="auto"/>
                <w:w w:val="97"/>
              </w:rPr>
              <w:t>Rights That Have</w:t>
            </w:r>
          </w:p>
        </w:tc>
        <w:tc>
          <w:tcPr>
            <w:tcW w:w="1240" w:type="dxa"/>
            <w:vAlign w:val="bottom"/>
          </w:tcPr>
          <w:p>
            <w:pPr>
              <w:jc w:val="center"/>
              <w:spacing w:after="0"/>
              <w:rPr>
                <w:sz w:val="20"/>
                <w:szCs w:val="20"/>
                <w:color w:val="auto"/>
              </w:rPr>
            </w:pPr>
            <w:r>
              <w:rPr>
                <w:rFonts w:ascii="Arial" w:cs="Arial" w:eastAsia="Arial" w:hAnsi="Arial"/>
                <w:sz w:val="13"/>
                <w:szCs w:val="13"/>
                <w:b w:val="1"/>
                <w:bCs w:val="1"/>
                <w:color w:val="auto"/>
                <w:w w:val="96"/>
              </w:rPr>
              <w:t>Have Not Vested ($)</w:t>
            </w:r>
          </w:p>
        </w:tc>
        <w:tc>
          <w:tcPr>
            <w:tcW w:w="0" w:type="dxa"/>
            <w:vAlign w:val="bottom"/>
          </w:tcPr>
          <w:p>
            <w:pPr>
              <w:spacing w:after="0"/>
              <w:rPr>
                <w:sz w:val="1"/>
                <w:szCs w:val="1"/>
                <w:color w:val="auto"/>
              </w:rPr>
            </w:pPr>
          </w:p>
        </w:tc>
      </w:tr>
      <w:tr>
        <w:trPr>
          <w:trHeight w:val="176"/>
        </w:trPr>
        <w:tc>
          <w:tcPr>
            <w:tcW w:w="8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Officer</w:t>
            </w:r>
          </w:p>
        </w:tc>
        <w:tc>
          <w:tcPr>
            <w:tcW w:w="840" w:type="dxa"/>
            <w:vAlign w:val="bottom"/>
            <w:tcBorders>
              <w:bottom w:val="single" w:sz="8" w:color="auto"/>
            </w:tcBorders>
            <w:vMerge w:val="continue"/>
          </w:tcPr>
          <w:p>
            <w:pPr>
              <w:spacing w:after="0"/>
              <w:rPr>
                <w:sz w:val="15"/>
                <w:szCs w:val="15"/>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Exercisable</w:t>
            </w:r>
          </w:p>
        </w:tc>
        <w:tc>
          <w:tcPr>
            <w:tcW w:w="1100" w:type="dxa"/>
            <w:vAlign w:val="bottom"/>
            <w:tcBorders>
              <w:bottom w:val="single" w:sz="8" w:color="auto"/>
            </w:tcBorders>
          </w:tcPr>
          <w:p>
            <w:pPr>
              <w:jc w:val="center"/>
              <w:ind w:left="17"/>
              <w:spacing w:after="0"/>
              <w:rPr>
                <w:sz w:val="20"/>
                <w:szCs w:val="20"/>
                <w:color w:val="auto"/>
              </w:rPr>
            </w:pPr>
            <w:r>
              <w:rPr>
                <w:rFonts w:ascii="Arial" w:cs="Arial" w:eastAsia="Arial" w:hAnsi="Arial"/>
                <w:sz w:val="13"/>
                <w:szCs w:val="13"/>
                <w:b w:val="1"/>
                <w:bCs w:val="1"/>
                <w:color w:val="auto"/>
                <w:w w:val="97"/>
              </w:rPr>
              <w:t>Unexercisable</w:t>
            </w: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Price ($)</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Date</w:t>
            </w: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Vested (#)</w:t>
            </w:r>
          </w:p>
        </w:tc>
        <w:tc>
          <w:tcPr>
            <w:tcW w:w="1180" w:type="dxa"/>
            <w:vAlign w:val="bottom"/>
            <w:tcBorders>
              <w:bottom w:val="single" w:sz="8" w:color="auto"/>
            </w:tcBorders>
          </w:tcPr>
          <w:p>
            <w:pPr>
              <w:jc w:val="center"/>
              <w:spacing w:after="0" w:line="175" w:lineRule="exact"/>
              <w:rPr>
                <w:sz w:val="20"/>
                <w:szCs w:val="20"/>
                <w:color w:val="auto"/>
              </w:rPr>
            </w:pPr>
            <w:r>
              <w:rPr>
                <w:rFonts w:ascii="Arial" w:cs="Arial" w:eastAsia="Arial" w:hAnsi="Arial"/>
                <w:sz w:val="13"/>
                <w:szCs w:val="13"/>
                <w:b w:val="1"/>
                <w:bCs w:val="1"/>
                <w:color w:val="auto"/>
                <w:w w:val="93"/>
              </w:rPr>
              <w:t>Not Vested ($)</w:t>
            </w:r>
            <w:r>
              <w:rPr>
                <w:rFonts w:ascii="Arial" w:cs="Arial" w:eastAsia="Arial" w:hAnsi="Arial"/>
                <w:sz w:val="16"/>
                <w:szCs w:val="16"/>
                <w:b w:val="1"/>
                <w:bCs w:val="1"/>
                <w:color w:val="auto"/>
                <w:w w:val="93"/>
                <w:vertAlign w:val="superscript"/>
              </w:rPr>
              <w:t>(1)</w:t>
            </w:r>
          </w:p>
        </w:tc>
        <w:tc>
          <w:tcPr>
            <w:tcW w:w="1140" w:type="dxa"/>
            <w:vAlign w:val="bottom"/>
            <w:tcBorders>
              <w:bottom w:val="single" w:sz="8" w:color="auto"/>
            </w:tcBorders>
          </w:tcPr>
          <w:p>
            <w:pPr>
              <w:jc w:val="center"/>
              <w:spacing w:after="0" w:line="175" w:lineRule="exact"/>
              <w:rPr>
                <w:sz w:val="20"/>
                <w:szCs w:val="20"/>
                <w:color w:val="auto"/>
              </w:rPr>
            </w:pPr>
            <w:r>
              <w:rPr>
                <w:rFonts w:ascii="Arial" w:cs="Arial" w:eastAsia="Arial" w:hAnsi="Arial"/>
                <w:sz w:val="13"/>
                <w:szCs w:val="13"/>
                <w:b w:val="1"/>
                <w:bCs w:val="1"/>
                <w:color w:val="auto"/>
                <w:w w:val="93"/>
              </w:rPr>
              <w:t>Not Vested (#)</w:t>
            </w:r>
            <w:r>
              <w:rPr>
                <w:rFonts w:ascii="Arial" w:cs="Arial" w:eastAsia="Arial" w:hAnsi="Arial"/>
                <w:sz w:val="16"/>
                <w:szCs w:val="16"/>
                <w:b w:val="1"/>
                <w:bCs w:val="1"/>
                <w:color w:val="auto"/>
                <w:w w:val="93"/>
                <w:vertAlign w:val="superscript"/>
              </w:rPr>
              <w:t>(2)</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8"/>
                <w:szCs w:val="8"/>
                <w:b w:val="1"/>
                <w:bCs w:val="1"/>
                <w:color w:val="auto"/>
              </w:rPr>
              <w:t>(1)</w:t>
            </w:r>
          </w:p>
        </w:tc>
        <w:tc>
          <w:tcPr>
            <w:tcW w:w="0" w:type="dxa"/>
            <w:vAlign w:val="bottom"/>
          </w:tcPr>
          <w:p>
            <w:pPr>
              <w:spacing w:after="0"/>
              <w:rPr>
                <w:sz w:val="1"/>
                <w:szCs w:val="1"/>
                <w:color w:val="auto"/>
              </w:rPr>
            </w:pPr>
          </w:p>
        </w:tc>
      </w:tr>
      <w:tr>
        <w:trPr>
          <w:trHeight w:val="168"/>
        </w:trPr>
        <w:tc>
          <w:tcPr>
            <w:tcW w:w="880" w:type="dxa"/>
            <w:vAlign w:val="bottom"/>
          </w:tcPr>
          <w:p>
            <w:pPr>
              <w:ind w:left="60"/>
              <w:spacing w:after="0"/>
              <w:rPr>
                <w:sz w:val="20"/>
                <w:szCs w:val="20"/>
                <w:color w:val="auto"/>
              </w:rPr>
            </w:pPr>
            <w:r>
              <w:rPr>
                <w:rFonts w:ascii="Arial" w:cs="Arial" w:eastAsia="Arial" w:hAnsi="Arial"/>
                <w:sz w:val="13"/>
                <w:szCs w:val="13"/>
                <w:color w:val="auto"/>
              </w:rPr>
              <w:t>Jon Oringer</w:t>
            </w:r>
          </w:p>
        </w:tc>
        <w:tc>
          <w:tcPr>
            <w:tcW w:w="840" w:type="dxa"/>
            <w:vAlign w:val="bottom"/>
          </w:tcPr>
          <w:p>
            <w:pPr>
              <w:jc w:val="right"/>
              <w:spacing w:after="0"/>
              <w:rPr>
                <w:sz w:val="20"/>
                <w:szCs w:val="20"/>
                <w:color w:val="auto"/>
              </w:rPr>
            </w:pPr>
            <w:r>
              <w:rPr>
                <w:rFonts w:ascii="Arial" w:cs="Arial" w:eastAsia="Arial" w:hAnsi="Arial"/>
                <w:sz w:val="13"/>
                <w:szCs w:val="13"/>
                <w:color w:val="auto"/>
              </w:rPr>
              <w:t>3/1/2016</w:t>
            </w:r>
          </w:p>
        </w:tc>
        <w:tc>
          <w:tcPr>
            <w:tcW w:w="1080" w:type="dxa"/>
            <w:vAlign w:val="bottom"/>
          </w:tcPr>
          <w:p>
            <w:pPr>
              <w:jc w:val="right"/>
              <w:ind w:right="237"/>
              <w:spacing w:after="0"/>
              <w:rPr>
                <w:sz w:val="20"/>
                <w:szCs w:val="20"/>
                <w:color w:val="auto"/>
              </w:rPr>
            </w:pPr>
            <w:r>
              <w:rPr>
                <w:rFonts w:ascii="Arial" w:cs="Arial" w:eastAsia="Arial" w:hAnsi="Arial"/>
                <w:sz w:val="13"/>
                <w:szCs w:val="13"/>
                <w:color w:val="auto"/>
              </w:rPr>
              <w:t>263,742</w:t>
            </w:r>
          </w:p>
        </w:tc>
        <w:tc>
          <w:tcPr>
            <w:tcW w:w="1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3"/>
                <w:szCs w:val="13"/>
                <w:color w:val="auto"/>
                <w:w w:val="92"/>
              </w:rPr>
              <w:t>32.95</w:t>
            </w:r>
          </w:p>
        </w:tc>
        <w:tc>
          <w:tcPr>
            <w:tcW w:w="840" w:type="dxa"/>
            <w:vAlign w:val="bottom"/>
          </w:tcPr>
          <w:p>
            <w:pPr>
              <w:jc w:val="right"/>
              <w:ind w:right="117"/>
              <w:spacing w:after="0"/>
              <w:rPr>
                <w:sz w:val="20"/>
                <w:szCs w:val="20"/>
                <w:color w:val="auto"/>
              </w:rPr>
            </w:pPr>
            <w:r>
              <w:rPr>
                <w:rFonts w:ascii="Arial" w:cs="Arial" w:eastAsia="Arial" w:hAnsi="Arial"/>
                <w:sz w:val="13"/>
                <w:szCs w:val="13"/>
                <w:color w:val="auto"/>
              </w:rPr>
              <w:t>3/1/2026</w:t>
            </w:r>
          </w:p>
        </w:tc>
        <w:tc>
          <w:tcPr>
            <w:tcW w:w="8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4/1/2022</w:t>
            </w: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3"/>
                <w:szCs w:val="13"/>
                <w:color w:val="auto"/>
                <w:w w:val="95"/>
              </w:rPr>
              <w:t>20,116</w:t>
            </w:r>
          </w:p>
        </w:tc>
        <w:tc>
          <w:tcPr>
            <w:tcW w:w="1240" w:type="dxa"/>
            <w:vAlign w:val="bottom"/>
          </w:tcPr>
          <w:p>
            <w:pPr>
              <w:jc w:val="center"/>
              <w:spacing w:after="0"/>
              <w:rPr>
                <w:sz w:val="20"/>
                <w:szCs w:val="20"/>
                <w:color w:val="auto"/>
              </w:rPr>
            </w:pPr>
            <w:r>
              <w:rPr>
                <w:rFonts w:ascii="Arial" w:cs="Arial" w:eastAsia="Arial" w:hAnsi="Arial"/>
                <w:sz w:val="13"/>
                <w:szCs w:val="13"/>
                <w:color w:val="auto"/>
                <w:w w:val="97"/>
              </w:rPr>
              <w:t>610,521</w:t>
            </w: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4/3/2023</w:t>
            </w:r>
          </w:p>
        </w:tc>
        <w:tc>
          <w:tcPr>
            <w:tcW w:w="10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Arial" w:cs="Arial" w:eastAsia="Arial" w:hAnsi="Arial"/>
                <w:sz w:val="13"/>
                <w:szCs w:val="13"/>
                <w:color w:val="auto"/>
                <w:w w:val="95"/>
              </w:rPr>
              <w:t>50,401</w:t>
            </w:r>
          </w:p>
        </w:tc>
        <w:tc>
          <w:tcPr>
            <w:tcW w:w="1240" w:type="dxa"/>
            <w:vAlign w:val="bottom"/>
          </w:tcPr>
          <w:p>
            <w:pPr>
              <w:jc w:val="center"/>
              <w:spacing w:after="0"/>
              <w:rPr>
                <w:sz w:val="20"/>
                <w:szCs w:val="20"/>
                <w:color w:val="auto"/>
              </w:rPr>
            </w:pPr>
            <w:r>
              <w:rPr>
                <w:rFonts w:ascii="Arial" w:cs="Arial" w:eastAsia="Arial" w:hAnsi="Arial"/>
                <w:sz w:val="13"/>
                <w:szCs w:val="13"/>
                <w:color w:val="auto"/>
                <w:w w:val="96"/>
              </w:rPr>
              <w:t>1,529,670</w:t>
            </w:r>
          </w:p>
        </w:tc>
        <w:tc>
          <w:tcPr>
            <w:tcW w:w="0" w:type="dxa"/>
            <w:vAlign w:val="bottom"/>
          </w:tcPr>
          <w:p>
            <w:pPr>
              <w:spacing w:after="0"/>
              <w:rPr>
                <w:sz w:val="1"/>
                <w:szCs w:val="1"/>
                <w:color w:val="auto"/>
              </w:rPr>
            </w:pPr>
          </w:p>
        </w:tc>
      </w:tr>
      <w:tr>
        <w:trPr>
          <w:trHeight w:val="210"/>
        </w:trPr>
        <w:tc>
          <w:tcPr>
            <w:tcW w:w="8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4/1/2024</w:t>
            </w:r>
          </w:p>
        </w:tc>
        <w:tc>
          <w:tcPr>
            <w:tcW w:w="10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7"/>
              </w:rPr>
              <w:t>109,218</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6"/>
              </w:rPr>
              <w:t>3,314,766</w:t>
            </w:r>
          </w:p>
        </w:tc>
        <w:tc>
          <w:tcPr>
            <w:tcW w:w="0" w:type="dxa"/>
            <w:vAlign w:val="bottom"/>
          </w:tcPr>
          <w:p>
            <w:pPr>
              <w:spacing w:after="0"/>
              <w:rPr>
                <w:sz w:val="1"/>
                <w:szCs w:val="1"/>
                <w:color w:val="auto"/>
              </w:rPr>
            </w:pPr>
          </w:p>
        </w:tc>
      </w:tr>
      <w:tr>
        <w:trPr>
          <w:trHeight w:val="158"/>
        </w:trPr>
        <w:tc>
          <w:tcPr>
            <w:tcW w:w="880" w:type="dxa"/>
            <w:vAlign w:val="bottom"/>
          </w:tcPr>
          <w:p>
            <w:pPr>
              <w:ind w:left="60"/>
              <w:spacing w:after="0"/>
              <w:rPr>
                <w:sz w:val="20"/>
                <w:szCs w:val="20"/>
                <w:color w:val="auto"/>
              </w:rPr>
            </w:pPr>
            <w:r>
              <w:rPr>
                <w:rFonts w:ascii="Arial" w:cs="Arial" w:eastAsia="Arial" w:hAnsi="Arial"/>
                <w:sz w:val="13"/>
                <w:szCs w:val="13"/>
                <w:color w:val="auto"/>
              </w:rPr>
              <w:t>Paul</w:t>
            </w:r>
          </w:p>
        </w:tc>
        <w:tc>
          <w:tcPr>
            <w:tcW w:w="8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880" w:type="dxa"/>
            <w:vAlign w:val="bottom"/>
          </w:tcPr>
          <w:p>
            <w:pPr>
              <w:ind w:left="60"/>
              <w:spacing w:after="0"/>
              <w:rPr>
                <w:sz w:val="20"/>
                <w:szCs w:val="20"/>
                <w:color w:val="auto"/>
              </w:rPr>
            </w:pPr>
            <w:r>
              <w:rPr>
                <w:rFonts w:ascii="Arial" w:cs="Arial" w:eastAsia="Arial" w:hAnsi="Arial"/>
                <w:sz w:val="13"/>
                <w:szCs w:val="13"/>
                <w:color w:val="auto"/>
              </w:rPr>
              <w:t>Hennessy</w:t>
            </w:r>
          </w:p>
        </w:tc>
        <w:tc>
          <w:tcPr>
            <w:tcW w:w="840" w:type="dxa"/>
            <w:vAlign w:val="bottom"/>
          </w:tcPr>
          <w:p>
            <w:pPr>
              <w:jc w:val="right"/>
              <w:spacing w:after="0"/>
              <w:rPr>
                <w:sz w:val="20"/>
                <w:szCs w:val="20"/>
                <w:color w:val="auto"/>
              </w:rPr>
            </w:pPr>
            <w:r>
              <w:rPr>
                <w:rFonts w:ascii="Arial" w:cs="Arial" w:eastAsia="Arial" w:hAnsi="Arial"/>
                <w:sz w:val="13"/>
                <w:szCs w:val="13"/>
                <w:color w:val="auto"/>
              </w:rPr>
              <w:t>7/1/2022</w:t>
            </w:r>
          </w:p>
        </w:tc>
        <w:tc>
          <w:tcPr>
            <w:tcW w:w="10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Arial" w:cs="Arial" w:eastAsia="Arial" w:hAnsi="Arial"/>
                <w:sz w:val="13"/>
                <w:szCs w:val="13"/>
                <w:color w:val="auto"/>
                <w:w w:val="95"/>
              </w:rPr>
              <w:t>87,597</w:t>
            </w:r>
          </w:p>
        </w:tc>
        <w:tc>
          <w:tcPr>
            <w:tcW w:w="1180" w:type="dxa"/>
            <w:vAlign w:val="bottom"/>
          </w:tcPr>
          <w:p>
            <w:pPr>
              <w:jc w:val="center"/>
              <w:spacing w:after="0"/>
              <w:rPr>
                <w:sz w:val="20"/>
                <w:szCs w:val="20"/>
                <w:color w:val="auto"/>
              </w:rPr>
            </w:pPr>
            <w:r>
              <w:rPr>
                <w:rFonts w:ascii="Arial" w:cs="Arial" w:eastAsia="Arial" w:hAnsi="Arial"/>
                <w:sz w:val="13"/>
                <w:szCs w:val="13"/>
                <w:color w:val="auto"/>
                <w:w w:val="93"/>
              </w:rPr>
              <w:t>2,658,569</w:t>
            </w:r>
            <w:r>
              <w:rPr>
                <w:rFonts w:ascii="Arial" w:cs="Arial" w:eastAsia="Arial" w:hAnsi="Arial"/>
                <w:sz w:val="16"/>
                <w:szCs w:val="16"/>
                <w:color w:val="auto"/>
                <w:w w:val="93"/>
                <w:vertAlign w:val="superscript"/>
              </w:rPr>
              <w:t>(3)</w:t>
            </w:r>
          </w:p>
        </w:tc>
        <w:tc>
          <w:tcPr>
            <w:tcW w:w="1140" w:type="dxa"/>
            <w:vAlign w:val="bottom"/>
          </w:tcPr>
          <w:p>
            <w:pPr>
              <w:jc w:val="center"/>
              <w:spacing w:after="0"/>
              <w:rPr>
                <w:sz w:val="20"/>
                <w:szCs w:val="20"/>
                <w:color w:val="auto"/>
              </w:rPr>
            </w:pPr>
            <w:r>
              <w:rPr>
                <w:rFonts w:ascii="Arial" w:cs="Arial" w:eastAsia="Arial" w:hAnsi="Arial"/>
                <w:sz w:val="13"/>
                <w:szCs w:val="13"/>
                <w:color w:val="auto"/>
                <w:w w:val="95"/>
              </w:rPr>
              <w:t>65,697</w:t>
            </w:r>
          </w:p>
        </w:tc>
        <w:tc>
          <w:tcPr>
            <w:tcW w:w="1240" w:type="dxa"/>
            <w:vAlign w:val="bottom"/>
          </w:tcPr>
          <w:p>
            <w:pPr>
              <w:jc w:val="center"/>
              <w:spacing w:after="0"/>
              <w:rPr>
                <w:sz w:val="20"/>
                <w:szCs w:val="20"/>
                <w:color w:val="auto"/>
              </w:rPr>
            </w:pPr>
            <w:r>
              <w:rPr>
                <w:rFonts w:ascii="Arial" w:cs="Arial" w:eastAsia="Arial" w:hAnsi="Arial"/>
                <w:sz w:val="13"/>
                <w:szCs w:val="13"/>
                <w:color w:val="auto"/>
                <w:w w:val="96"/>
              </w:rPr>
              <w:t>1,993,904</w:t>
            </w:r>
          </w:p>
        </w:tc>
        <w:tc>
          <w:tcPr>
            <w:tcW w:w="0" w:type="dxa"/>
            <w:vAlign w:val="bottom"/>
          </w:tcPr>
          <w:p>
            <w:pPr>
              <w:spacing w:after="0"/>
              <w:rPr>
                <w:sz w:val="1"/>
                <w:szCs w:val="1"/>
                <w:color w:val="auto"/>
              </w:rPr>
            </w:pPr>
          </w:p>
        </w:tc>
      </w:tr>
      <w:tr>
        <w:trPr>
          <w:trHeight w:val="179"/>
        </w:trPr>
        <w:tc>
          <w:tcPr>
            <w:tcW w:w="8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2/23/2023</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Arial" w:cs="Arial" w:eastAsia="Arial" w:hAnsi="Arial"/>
                <w:sz w:val="13"/>
                <w:szCs w:val="13"/>
                <w:color w:val="auto"/>
                <w:w w:val="97"/>
              </w:rPr>
              <w:t>102,837</w:t>
            </w:r>
          </w:p>
        </w:tc>
        <w:tc>
          <w:tcPr>
            <w:tcW w:w="1240" w:type="dxa"/>
            <w:vAlign w:val="bottom"/>
          </w:tcPr>
          <w:p>
            <w:pPr>
              <w:jc w:val="center"/>
              <w:spacing w:after="0"/>
              <w:rPr>
                <w:sz w:val="20"/>
                <w:szCs w:val="20"/>
                <w:color w:val="auto"/>
              </w:rPr>
            </w:pPr>
            <w:r>
              <w:rPr>
                <w:rFonts w:ascii="Arial" w:cs="Arial" w:eastAsia="Arial" w:hAnsi="Arial"/>
                <w:sz w:val="13"/>
                <w:szCs w:val="13"/>
                <w:color w:val="auto"/>
                <w:w w:val="96"/>
              </w:rPr>
              <w:t>3,121,103</w:t>
            </w: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2/21/2024</w:t>
            </w:r>
          </w:p>
        </w:tc>
        <w:tc>
          <w:tcPr>
            <w:tcW w:w="10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Arial" w:cs="Arial" w:eastAsia="Arial" w:hAnsi="Arial"/>
                <w:sz w:val="13"/>
                <w:szCs w:val="13"/>
                <w:color w:val="auto"/>
                <w:w w:val="95"/>
              </w:rPr>
              <w:t>87,597</w:t>
            </w:r>
          </w:p>
        </w:tc>
        <w:tc>
          <w:tcPr>
            <w:tcW w:w="1240" w:type="dxa"/>
            <w:vAlign w:val="bottom"/>
          </w:tcPr>
          <w:p>
            <w:pPr>
              <w:jc w:val="center"/>
              <w:spacing w:after="0"/>
              <w:rPr>
                <w:sz w:val="20"/>
                <w:szCs w:val="20"/>
                <w:color w:val="auto"/>
              </w:rPr>
            </w:pPr>
            <w:r>
              <w:rPr>
                <w:rFonts w:ascii="Arial" w:cs="Arial" w:eastAsia="Arial" w:hAnsi="Arial"/>
                <w:sz w:val="13"/>
                <w:szCs w:val="13"/>
                <w:color w:val="auto"/>
                <w:w w:val="96"/>
              </w:rPr>
              <w:t>2,658,569</w:t>
            </w:r>
          </w:p>
        </w:tc>
        <w:tc>
          <w:tcPr>
            <w:tcW w:w="0" w:type="dxa"/>
            <w:vAlign w:val="bottom"/>
          </w:tcPr>
          <w:p>
            <w:pPr>
              <w:spacing w:after="0"/>
              <w:rPr>
                <w:sz w:val="1"/>
                <w:szCs w:val="1"/>
                <w:color w:val="auto"/>
              </w:rPr>
            </w:pPr>
          </w:p>
        </w:tc>
      </w:tr>
      <w:tr>
        <w:trPr>
          <w:trHeight w:val="216"/>
        </w:trPr>
        <w:tc>
          <w:tcPr>
            <w:tcW w:w="8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7/1/2024</w:t>
            </w:r>
          </w:p>
        </w:tc>
        <w:tc>
          <w:tcPr>
            <w:tcW w:w="10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5"/>
              </w:rPr>
              <w:t>54,181</w:t>
            </w: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3"/>
              </w:rPr>
              <w:t>1,644,394</w:t>
            </w:r>
            <w:r>
              <w:rPr>
                <w:rFonts w:ascii="Arial" w:cs="Arial" w:eastAsia="Arial" w:hAnsi="Arial"/>
                <w:sz w:val="16"/>
                <w:szCs w:val="16"/>
                <w:color w:val="auto"/>
                <w:w w:val="93"/>
                <w:vertAlign w:val="superscript"/>
              </w:rPr>
              <w:t>(4)</w:t>
            </w:r>
          </w:p>
        </w:tc>
        <w:tc>
          <w:tcPr>
            <w:tcW w:w="1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80" w:type="dxa"/>
            <w:vAlign w:val="bottom"/>
            <w:tcBorders>
              <w:bottom w:val="single" w:sz="8" w:color="auto"/>
            </w:tcBorders>
          </w:tcPr>
          <w:p>
            <w:pPr>
              <w:ind w:left="60"/>
              <w:spacing w:after="0"/>
              <w:rPr>
                <w:sz w:val="20"/>
                <w:szCs w:val="20"/>
                <w:color w:val="auto"/>
              </w:rPr>
            </w:pPr>
            <w:r>
              <w:rPr>
                <w:rFonts w:ascii="Arial" w:cs="Arial" w:eastAsia="Arial" w:hAnsi="Arial"/>
                <w:sz w:val="13"/>
                <w:szCs w:val="13"/>
                <w:color w:val="auto"/>
              </w:rPr>
              <w:t>Jarrod Yahes</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1/6/2020</w:t>
            </w:r>
          </w:p>
        </w:tc>
        <w:tc>
          <w:tcPr>
            <w:tcW w:w="1080" w:type="dxa"/>
            <w:vAlign w:val="bottom"/>
            <w:tcBorders>
              <w:bottom w:val="single" w:sz="8" w:color="auto"/>
            </w:tcBorders>
          </w:tcPr>
          <w:p>
            <w:pPr>
              <w:jc w:val="center"/>
              <w:ind w:right="197"/>
              <w:spacing w:after="0"/>
              <w:rPr>
                <w:sz w:val="20"/>
                <w:szCs w:val="20"/>
                <w:color w:val="auto"/>
              </w:rPr>
            </w:pPr>
            <w:r>
              <w:rPr>
                <w:rFonts w:ascii="Arial" w:cs="Arial" w:eastAsia="Arial" w:hAnsi="Arial"/>
                <w:sz w:val="13"/>
                <w:szCs w:val="13"/>
                <w:color w:val="auto"/>
              </w:rPr>
              <w:t>35,525</w:t>
            </w:r>
            <w:r>
              <w:rPr>
                <w:rFonts w:ascii="Arial" w:cs="Arial" w:eastAsia="Arial" w:hAnsi="Arial"/>
                <w:sz w:val="16"/>
                <w:szCs w:val="16"/>
                <w:color w:val="auto"/>
                <w:vertAlign w:val="superscript"/>
              </w:rPr>
              <w:t>(5)</w:t>
            </w:r>
          </w:p>
        </w:tc>
        <w:tc>
          <w:tcPr>
            <w:tcW w:w="11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2"/>
              </w:rPr>
              <w:t>42.96</w:t>
            </w:r>
          </w:p>
        </w:tc>
        <w:tc>
          <w:tcPr>
            <w:tcW w:w="84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3/31/2025</w:t>
            </w:r>
          </w:p>
        </w:tc>
        <w:tc>
          <w:tcPr>
            <w:tcW w:w="8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880" w:type="dxa"/>
            <w:vAlign w:val="bottom"/>
            <w:vMerge w:val="restart"/>
          </w:tcPr>
          <w:p>
            <w:pPr>
              <w:ind w:left="60"/>
              <w:spacing w:after="0"/>
              <w:rPr>
                <w:sz w:val="20"/>
                <w:szCs w:val="20"/>
                <w:color w:val="auto"/>
              </w:rPr>
            </w:pPr>
            <w:r>
              <w:rPr>
                <w:rFonts w:ascii="Arial" w:cs="Arial" w:eastAsia="Arial" w:hAnsi="Arial"/>
                <w:sz w:val="13"/>
                <w:szCs w:val="13"/>
                <w:color w:val="auto"/>
              </w:rPr>
              <w:t>John Caine</w:t>
            </w:r>
          </w:p>
        </w:tc>
        <w:tc>
          <w:tcPr>
            <w:tcW w:w="840" w:type="dxa"/>
            <w:vAlign w:val="bottom"/>
          </w:tcPr>
          <w:p>
            <w:pPr>
              <w:jc w:val="right"/>
              <w:spacing w:after="0"/>
              <w:rPr>
                <w:sz w:val="20"/>
                <w:szCs w:val="20"/>
                <w:color w:val="auto"/>
              </w:rPr>
            </w:pPr>
            <w:r>
              <w:rPr>
                <w:rFonts w:ascii="Arial" w:cs="Arial" w:eastAsia="Arial" w:hAnsi="Arial"/>
                <w:sz w:val="13"/>
                <w:szCs w:val="13"/>
                <w:color w:val="auto"/>
              </w:rPr>
              <w:t>4/3/2023</w:t>
            </w:r>
          </w:p>
        </w:tc>
        <w:tc>
          <w:tcPr>
            <w:tcW w:w="10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Arial" w:cs="Arial" w:eastAsia="Arial" w:hAnsi="Arial"/>
                <w:sz w:val="13"/>
                <w:szCs w:val="13"/>
                <w:color w:val="auto"/>
                <w:w w:val="92"/>
              </w:rPr>
              <w:t>4,431</w:t>
            </w:r>
            <w:r>
              <w:rPr>
                <w:rFonts w:ascii="Arial" w:cs="Arial" w:eastAsia="Arial" w:hAnsi="Arial"/>
                <w:sz w:val="16"/>
                <w:szCs w:val="16"/>
                <w:color w:val="auto"/>
                <w:w w:val="92"/>
                <w:vertAlign w:val="superscript"/>
              </w:rPr>
              <w:t>(6)</w:t>
            </w:r>
          </w:p>
        </w:tc>
        <w:tc>
          <w:tcPr>
            <w:tcW w:w="1240" w:type="dxa"/>
            <w:vAlign w:val="bottom"/>
          </w:tcPr>
          <w:p>
            <w:pPr>
              <w:jc w:val="center"/>
              <w:spacing w:after="0"/>
              <w:rPr>
                <w:sz w:val="20"/>
                <w:szCs w:val="20"/>
                <w:color w:val="auto"/>
              </w:rPr>
            </w:pPr>
            <w:r>
              <w:rPr>
                <w:rFonts w:ascii="Arial" w:cs="Arial" w:eastAsia="Arial" w:hAnsi="Arial"/>
                <w:sz w:val="13"/>
                <w:szCs w:val="13"/>
                <w:color w:val="auto"/>
                <w:w w:val="97"/>
              </w:rPr>
              <w:t>134,481</w:t>
            </w:r>
          </w:p>
        </w:tc>
        <w:tc>
          <w:tcPr>
            <w:tcW w:w="0" w:type="dxa"/>
            <w:vAlign w:val="bottom"/>
          </w:tcPr>
          <w:p>
            <w:pPr>
              <w:spacing w:after="0"/>
              <w:rPr>
                <w:sz w:val="1"/>
                <w:szCs w:val="1"/>
                <w:color w:val="auto"/>
              </w:rPr>
            </w:pPr>
          </w:p>
        </w:tc>
      </w:tr>
      <w:tr>
        <w:trPr>
          <w:trHeight w:val="58"/>
        </w:trPr>
        <w:tc>
          <w:tcPr>
            <w:tcW w:w="880" w:type="dxa"/>
            <w:vAlign w:val="bottom"/>
            <w:vMerge w:val="continue"/>
          </w:tcPr>
          <w:p>
            <w:pPr>
              <w:spacing w:after="0"/>
              <w:rPr>
                <w:sz w:val="5"/>
                <w:szCs w:val="5"/>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4/1/2024</w:t>
            </w: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140" w:type="dxa"/>
            <w:vAlign w:val="bottom"/>
            <w:vMerge w:val="restart"/>
          </w:tcPr>
          <w:p>
            <w:pPr>
              <w:jc w:val="center"/>
              <w:spacing w:after="0"/>
              <w:rPr>
                <w:sz w:val="20"/>
                <w:szCs w:val="20"/>
                <w:color w:val="auto"/>
              </w:rPr>
            </w:pPr>
            <w:r>
              <w:rPr>
                <w:rFonts w:ascii="Arial" w:cs="Arial" w:eastAsia="Arial" w:hAnsi="Arial"/>
                <w:sz w:val="13"/>
                <w:szCs w:val="13"/>
                <w:color w:val="auto"/>
                <w:w w:val="92"/>
              </w:rPr>
              <w:t>3,200</w:t>
            </w:r>
            <w:r>
              <w:rPr>
                <w:rFonts w:ascii="Arial" w:cs="Arial" w:eastAsia="Arial" w:hAnsi="Arial"/>
                <w:sz w:val="16"/>
                <w:szCs w:val="16"/>
                <w:color w:val="auto"/>
                <w:w w:val="92"/>
                <w:vertAlign w:val="superscript"/>
              </w:rPr>
              <w:t>(6)</w:t>
            </w:r>
          </w:p>
        </w:tc>
        <w:tc>
          <w:tcPr>
            <w:tcW w:w="1240" w:type="dxa"/>
            <w:vAlign w:val="bottom"/>
            <w:vMerge w:val="restart"/>
          </w:tcPr>
          <w:p>
            <w:pPr>
              <w:jc w:val="center"/>
              <w:spacing w:after="0"/>
              <w:rPr>
                <w:sz w:val="20"/>
                <w:szCs w:val="20"/>
                <w:color w:val="auto"/>
              </w:rPr>
            </w:pPr>
            <w:r>
              <w:rPr>
                <w:rFonts w:ascii="Arial" w:cs="Arial" w:eastAsia="Arial" w:hAnsi="Arial"/>
                <w:sz w:val="13"/>
                <w:szCs w:val="13"/>
                <w:color w:val="auto"/>
                <w:w w:val="95"/>
              </w:rPr>
              <w:t>97,120</w:t>
            </w:r>
          </w:p>
        </w:tc>
        <w:tc>
          <w:tcPr>
            <w:tcW w:w="0" w:type="dxa"/>
            <w:vAlign w:val="bottom"/>
          </w:tcPr>
          <w:p>
            <w:pPr>
              <w:spacing w:after="0"/>
              <w:rPr>
                <w:sz w:val="1"/>
                <w:szCs w:val="1"/>
                <w:color w:val="auto"/>
              </w:rPr>
            </w:pPr>
          </w:p>
        </w:tc>
      </w:tr>
      <w:tr>
        <w:trPr>
          <w:trHeight w:val="136"/>
        </w:trPr>
        <w:tc>
          <w:tcPr>
            <w:tcW w:w="8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vMerge w:val="continue"/>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vMerge w:val="continue"/>
          </w:tcPr>
          <w:p>
            <w:pPr>
              <w:spacing w:after="0"/>
              <w:rPr>
                <w:sz w:val="11"/>
                <w:szCs w:val="11"/>
                <w:color w:val="auto"/>
              </w:rPr>
            </w:pPr>
          </w:p>
        </w:tc>
        <w:tc>
          <w:tcPr>
            <w:tcW w:w="124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5"/>
        </w:trPr>
        <w:tc>
          <w:tcPr>
            <w:tcW w:w="880" w:type="dxa"/>
            <w:vAlign w:val="bottom"/>
            <w:vMerge w:val="restart"/>
          </w:tcPr>
          <w:p>
            <w:pPr>
              <w:ind w:left="60"/>
              <w:spacing w:after="0"/>
              <w:rPr>
                <w:sz w:val="20"/>
                <w:szCs w:val="20"/>
                <w:color w:val="auto"/>
              </w:rPr>
            </w:pPr>
            <w:r>
              <w:rPr>
                <w:rFonts w:ascii="Arial" w:cs="Arial" w:eastAsia="Arial" w:hAnsi="Arial"/>
                <w:sz w:val="13"/>
                <w:szCs w:val="13"/>
                <w:color w:val="auto"/>
              </w:rPr>
              <w:t>Rik Powell</w:t>
            </w:r>
          </w:p>
        </w:tc>
        <w:tc>
          <w:tcPr>
            <w:tcW w:w="840" w:type="dxa"/>
            <w:vAlign w:val="bottom"/>
          </w:tcPr>
          <w:p>
            <w:pPr>
              <w:jc w:val="right"/>
              <w:spacing w:after="0"/>
              <w:rPr>
                <w:sz w:val="20"/>
                <w:szCs w:val="20"/>
                <w:color w:val="auto"/>
              </w:rPr>
            </w:pPr>
            <w:r>
              <w:rPr>
                <w:rFonts w:ascii="Arial" w:cs="Arial" w:eastAsia="Arial" w:hAnsi="Arial"/>
                <w:sz w:val="13"/>
                <w:szCs w:val="13"/>
                <w:color w:val="auto"/>
              </w:rPr>
              <w:t>7/1/2024</w:t>
            </w:r>
          </w:p>
        </w:tc>
        <w:tc>
          <w:tcPr>
            <w:tcW w:w="10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Arial" w:cs="Arial" w:eastAsia="Arial" w:hAnsi="Arial"/>
                <w:sz w:val="13"/>
                <w:szCs w:val="13"/>
                <w:color w:val="auto"/>
                <w:w w:val="98"/>
              </w:rPr>
              <w:t>8,924</w:t>
            </w:r>
          </w:p>
        </w:tc>
        <w:tc>
          <w:tcPr>
            <w:tcW w:w="1180" w:type="dxa"/>
            <w:vAlign w:val="bottom"/>
          </w:tcPr>
          <w:p>
            <w:pPr>
              <w:jc w:val="center"/>
              <w:spacing w:after="0"/>
              <w:rPr>
                <w:sz w:val="20"/>
                <w:szCs w:val="20"/>
                <w:color w:val="auto"/>
              </w:rPr>
            </w:pPr>
            <w:r>
              <w:rPr>
                <w:rFonts w:ascii="Arial" w:cs="Arial" w:eastAsia="Arial" w:hAnsi="Arial"/>
                <w:sz w:val="13"/>
                <w:szCs w:val="13"/>
                <w:color w:val="auto"/>
                <w:w w:val="93"/>
              </w:rPr>
              <w:t>270,843</w:t>
            </w:r>
            <w:r>
              <w:rPr>
                <w:rFonts w:ascii="Arial" w:cs="Arial" w:eastAsia="Arial" w:hAnsi="Arial"/>
                <w:sz w:val="16"/>
                <w:szCs w:val="16"/>
                <w:color w:val="auto"/>
                <w:w w:val="93"/>
                <w:vertAlign w:val="superscript"/>
              </w:rPr>
              <w:t>(7)</w:t>
            </w:r>
          </w:p>
        </w:tc>
        <w:tc>
          <w:tcPr>
            <w:tcW w:w="1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8"/>
        </w:trPr>
        <w:tc>
          <w:tcPr>
            <w:tcW w:w="880" w:type="dxa"/>
            <w:vAlign w:val="bottom"/>
            <w:vMerge w:val="continue"/>
          </w:tcPr>
          <w:p>
            <w:pPr>
              <w:spacing w:after="0"/>
              <w:rPr>
                <w:sz w:val="5"/>
                <w:szCs w:val="5"/>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11/1/2024</w:t>
            </w: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20" w:type="dxa"/>
            <w:vAlign w:val="bottom"/>
            <w:vMerge w:val="restart"/>
          </w:tcPr>
          <w:p>
            <w:pPr>
              <w:jc w:val="center"/>
              <w:spacing w:after="0"/>
              <w:rPr>
                <w:sz w:val="20"/>
                <w:szCs w:val="20"/>
                <w:color w:val="auto"/>
              </w:rPr>
            </w:pPr>
            <w:r>
              <w:rPr>
                <w:rFonts w:ascii="Arial" w:cs="Arial" w:eastAsia="Arial" w:hAnsi="Arial"/>
                <w:sz w:val="13"/>
                <w:szCs w:val="13"/>
                <w:color w:val="auto"/>
                <w:w w:val="95"/>
              </w:rPr>
              <w:t>10,906</w:t>
            </w:r>
          </w:p>
        </w:tc>
        <w:tc>
          <w:tcPr>
            <w:tcW w:w="1180" w:type="dxa"/>
            <w:vAlign w:val="bottom"/>
            <w:vMerge w:val="restart"/>
          </w:tcPr>
          <w:p>
            <w:pPr>
              <w:jc w:val="center"/>
              <w:spacing w:after="0"/>
              <w:rPr>
                <w:sz w:val="20"/>
                <w:szCs w:val="20"/>
                <w:color w:val="auto"/>
              </w:rPr>
            </w:pPr>
            <w:r>
              <w:rPr>
                <w:rFonts w:ascii="Arial" w:cs="Arial" w:eastAsia="Arial" w:hAnsi="Arial"/>
                <w:sz w:val="13"/>
                <w:szCs w:val="13"/>
                <w:color w:val="auto"/>
                <w:w w:val="93"/>
              </w:rPr>
              <w:t>330,997</w:t>
            </w:r>
            <w:r>
              <w:rPr>
                <w:rFonts w:ascii="Arial" w:cs="Arial" w:eastAsia="Arial" w:hAnsi="Arial"/>
                <w:sz w:val="16"/>
                <w:szCs w:val="16"/>
                <w:color w:val="auto"/>
                <w:w w:val="93"/>
                <w:vertAlign w:val="superscript"/>
              </w:rPr>
              <w:t>(8)</w:t>
            </w:r>
          </w:p>
        </w:tc>
        <w:tc>
          <w:tcPr>
            <w:tcW w:w="1140" w:type="dxa"/>
            <w:vAlign w:val="bottom"/>
          </w:tcPr>
          <w:p>
            <w:pPr>
              <w:spacing w:after="0"/>
              <w:rPr>
                <w:sz w:val="5"/>
                <w:szCs w:val="5"/>
                <w:color w:val="auto"/>
              </w:rPr>
            </w:pPr>
          </w:p>
        </w:tc>
        <w:tc>
          <w:tcPr>
            <w:tcW w:w="1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6"/>
        </w:trPr>
        <w:tc>
          <w:tcPr>
            <w:tcW w:w="8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vMerge w:val="continue"/>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vMerge w:val="continue"/>
          </w:tcPr>
          <w:p>
            <w:pPr>
              <w:spacing w:after="0"/>
              <w:rPr>
                <w:sz w:val="11"/>
                <w:szCs w:val="11"/>
                <w:color w:val="auto"/>
              </w:rPr>
            </w:pPr>
          </w:p>
        </w:tc>
        <w:tc>
          <w:tcPr>
            <w:tcW w:w="1180" w:type="dxa"/>
            <w:vAlign w:val="bottom"/>
            <w:tcBorders>
              <w:bottom w:val="single" w:sz="8" w:color="auto"/>
            </w:tcBorders>
            <w:vMerge w:val="continue"/>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47" w:lineRule="exact"/>
        <w:rPr>
          <w:sz w:val="20"/>
          <w:szCs w:val="20"/>
          <w:color w:val="auto"/>
        </w:rPr>
      </w:pPr>
    </w:p>
    <w:p>
      <w:pPr>
        <w:ind w:left="440" w:hanging="414"/>
        <w:spacing w:after="0"/>
        <w:tabs>
          <w:tab w:leader="none" w:pos="4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Assumes a price per share of our Common Stock of $30.35, which represents the closing price per share of our Common Stock on the NYSE on December 31, 2024.</w:t>
      </w:r>
    </w:p>
    <w:p>
      <w:pPr>
        <w:spacing w:after="0" w:line="68" w:lineRule="exact"/>
        <w:rPr>
          <w:rFonts w:ascii="Arial" w:cs="Arial" w:eastAsia="Arial" w:hAnsi="Arial"/>
          <w:sz w:val="14"/>
          <w:szCs w:val="14"/>
          <w:color w:val="auto"/>
        </w:rPr>
      </w:pPr>
    </w:p>
    <w:p>
      <w:pPr>
        <w:ind w:left="440" w:right="80" w:hanging="414"/>
        <w:spacing w:after="0" w:line="273" w:lineRule="auto"/>
        <w:tabs>
          <w:tab w:leader="none" w:pos="4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Except as otherwise set forth for Mr. Oringer, represents the target number of PSUs granted to each of our named executive officers in fiscal 2024. Vesting of the PSU award is contingent upon the Company’s achievement of annual Revenue and Adjusted EBITDA targets, as well as the NEO’s continued employment with the Company at the time of vesting.</w:t>
      </w:r>
    </w:p>
    <w:p>
      <w:pPr>
        <w:spacing w:after="0" w:line="17" w:lineRule="exact"/>
        <w:rPr>
          <w:rFonts w:ascii="Arial" w:cs="Arial" w:eastAsia="Arial" w:hAnsi="Arial"/>
          <w:sz w:val="14"/>
          <w:szCs w:val="14"/>
          <w:color w:val="auto"/>
        </w:rPr>
      </w:pPr>
    </w:p>
    <w:p>
      <w:pPr>
        <w:ind w:left="440" w:hanging="414"/>
        <w:spacing w:after="0"/>
        <w:tabs>
          <w:tab w:leader="none" w:pos="4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This RSU vests in three annual installments of 33.3%, 33.3% and 33.4%, respectively, beginning July 1, 2022.</w:t>
      </w:r>
    </w:p>
    <w:p>
      <w:pPr>
        <w:spacing w:after="0" w:line="68" w:lineRule="exact"/>
        <w:rPr>
          <w:rFonts w:ascii="Arial" w:cs="Arial" w:eastAsia="Arial" w:hAnsi="Arial"/>
          <w:sz w:val="14"/>
          <w:szCs w:val="14"/>
          <w:color w:val="auto"/>
        </w:rPr>
      </w:pPr>
    </w:p>
    <w:p>
      <w:pPr>
        <w:ind w:left="440" w:hanging="414"/>
        <w:spacing w:after="0"/>
        <w:tabs>
          <w:tab w:leader="none" w:pos="4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This RSU vests in three annual installments of 33.3%, 33.3% and 33.4%, respectively, beginning July 1, 2024.</w:t>
      </w:r>
    </w:p>
    <w:p>
      <w:pPr>
        <w:spacing w:after="0" w:line="68" w:lineRule="exact"/>
        <w:rPr>
          <w:rFonts w:ascii="Arial" w:cs="Arial" w:eastAsia="Arial" w:hAnsi="Arial"/>
          <w:sz w:val="14"/>
          <w:szCs w:val="14"/>
          <w:color w:val="auto"/>
        </w:rPr>
      </w:pPr>
    </w:p>
    <w:p>
      <w:pPr>
        <w:ind w:left="440" w:hanging="414"/>
        <w:spacing w:after="0"/>
        <w:tabs>
          <w:tab w:leader="none" w:pos="4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According to the terms of the option agreement, Mr. Yahes has 90 days to exercise post termination of employment.</w:t>
      </w:r>
    </w:p>
    <w:p>
      <w:pPr>
        <w:spacing w:after="0" w:line="68" w:lineRule="exact"/>
        <w:rPr>
          <w:rFonts w:ascii="Arial" w:cs="Arial" w:eastAsia="Arial" w:hAnsi="Arial"/>
          <w:sz w:val="14"/>
          <w:szCs w:val="14"/>
          <w:color w:val="auto"/>
        </w:rPr>
      </w:pPr>
    </w:p>
    <w:p>
      <w:pPr>
        <w:ind w:left="440" w:right="380" w:hanging="414"/>
        <w:spacing w:after="0" w:line="301" w:lineRule="auto"/>
        <w:tabs>
          <w:tab w:leader="none" w:pos="4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Represents outstanding equity awards to vest on April 1, 2025 in connection with separation from employment. For more information, see “Mr. Caine and Mr. Yahes Arrangements” below.</w:t>
      </w:r>
    </w:p>
    <w:p>
      <w:pPr>
        <w:spacing w:after="0" w:line="1" w:lineRule="exact"/>
        <w:rPr>
          <w:rFonts w:ascii="Arial" w:cs="Arial" w:eastAsia="Arial" w:hAnsi="Arial"/>
          <w:sz w:val="14"/>
          <w:szCs w:val="14"/>
          <w:color w:val="auto"/>
        </w:rPr>
      </w:pPr>
    </w:p>
    <w:p>
      <w:pPr>
        <w:ind w:left="440" w:right="260" w:hanging="414"/>
        <w:spacing w:after="0" w:line="301" w:lineRule="auto"/>
        <w:tabs>
          <w:tab w:leader="none" w:pos="4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This RSU vests multiple over 4 years. 25% of the grant will vest annually no later than the first and second anniversaries of the original grant date and 6.25% will vest quarterly after the second and third anniversaries.</w:t>
      </w:r>
    </w:p>
    <w:p>
      <w:pPr>
        <w:spacing w:after="0" w:line="1" w:lineRule="exact"/>
        <w:rPr>
          <w:rFonts w:ascii="Arial" w:cs="Arial" w:eastAsia="Arial" w:hAnsi="Arial"/>
          <w:sz w:val="14"/>
          <w:szCs w:val="14"/>
          <w:color w:val="auto"/>
        </w:rPr>
      </w:pPr>
    </w:p>
    <w:p>
      <w:pPr>
        <w:ind w:left="440" w:hanging="414"/>
        <w:spacing w:after="0"/>
        <w:tabs>
          <w:tab w:leader="none" w:pos="4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This RSU vests in three annual installments of 33.3%, 33.3% and 33.4%, respectively, beginning November 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220"/>
          </w:cols>
          <w:pgMar w:left="320" w:top="881" w:right="359" w:bottom="1440" w:gutter="0" w:footer="0" w:header="0"/>
        </w:sectPr>
      </w:pPr>
    </w:p>
    <w:bookmarkStart w:id="39" w:name="page40"/>
    <w:bookmarkEnd w:id="39"/>
    <w:p>
      <w:pPr>
        <w:spacing w:after="0"/>
        <w:rPr>
          <w:sz w:val="20"/>
          <w:szCs w:val="20"/>
          <w:color w:val="auto"/>
        </w:rPr>
      </w:pPr>
      <w:r>
        <w:rPr>
          <w:rFonts w:ascii="Arial" w:cs="Arial" w:eastAsia="Arial" w:hAnsi="Arial"/>
          <w:sz w:val="22"/>
          <w:szCs w:val="22"/>
          <w:b w:val="1"/>
          <w:bCs w:val="1"/>
          <w:color w:val="EF3A35"/>
        </w:rPr>
        <w:t>Option Exercises and Stock Vested in 2024</w:t>
      </w:r>
    </w:p>
    <w:p>
      <w:pPr>
        <w:spacing w:after="0" w:line="108" w:lineRule="exact"/>
        <w:rPr>
          <w:sz w:val="20"/>
          <w:szCs w:val="20"/>
          <w:color w:val="auto"/>
        </w:rPr>
      </w:pPr>
    </w:p>
    <w:p>
      <w:pPr>
        <w:ind w:right="340" w:firstLine="324"/>
        <w:spacing w:after="0" w:line="287" w:lineRule="auto"/>
        <w:rPr>
          <w:sz w:val="20"/>
          <w:szCs w:val="20"/>
          <w:color w:val="auto"/>
        </w:rPr>
      </w:pPr>
      <w:r>
        <w:rPr>
          <w:rFonts w:ascii="Arial" w:cs="Arial" w:eastAsia="Arial" w:hAnsi="Arial"/>
          <w:sz w:val="18"/>
          <w:szCs w:val="18"/>
          <w:color w:val="auto"/>
        </w:rPr>
        <w:t>The following table presents information concerning each exercise of stock options and vesting of stock awards during fiscal 2024 for each of our named executive officers.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1500" w:type="dxa"/>
            <w:vAlign w:val="bottom"/>
          </w:tcPr>
          <w:p>
            <w:pPr>
              <w:spacing w:after="0"/>
              <w:rPr>
                <w:sz w:val="22"/>
                <w:szCs w:val="22"/>
                <w:color w:val="auto"/>
              </w:rPr>
            </w:pPr>
          </w:p>
        </w:tc>
        <w:tc>
          <w:tcPr>
            <w:tcW w:w="4760" w:type="dxa"/>
            <w:vAlign w:val="bottom"/>
            <w:tcBorders>
              <w:bottom w:val="single" w:sz="8" w:color="auto"/>
            </w:tcBorders>
            <w:gridSpan w:val="2"/>
          </w:tcPr>
          <w:p>
            <w:pPr>
              <w:ind w:left="1800"/>
              <w:spacing w:after="0"/>
              <w:rPr>
                <w:sz w:val="20"/>
                <w:szCs w:val="20"/>
                <w:color w:val="auto"/>
              </w:rPr>
            </w:pPr>
            <w:r>
              <w:rPr>
                <w:rFonts w:ascii="Arial" w:cs="Arial" w:eastAsia="Arial" w:hAnsi="Arial"/>
                <w:sz w:val="18"/>
                <w:szCs w:val="18"/>
                <w:b w:val="1"/>
                <w:bCs w:val="1"/>
                <w:color w:val="auto"/>
              </w:rPr>
              <w:t>Option Awards</w:t>
            </w:r>
          </w:p>
        </w:tc>
        <w:tc>
          <w:tcPr>
            <w:tcW w:w="3160" w:type="dxa"/>
            <w:vAlign w:val="bottom"/>
            <w:tcBorders>
              <w:bottom w:val="single" w:sz="8" w:color="auto"/>
            </w:tcBorders>
          </w:tcPr>
          <w:p>
            <w:pPr>
              <w:ind w:left="1940"/>
              <w:spacing w:after="0"/>
              <w:rPr>
                <w:sz w:val="20"/>
                <w:szCs w:val="20"/>
                <w:color w:val="auto"/>
              </w:rPr>
            </w:pPr>
            <w:r>
              <w:rPr>
                <w:rFonts w:ascii="Arial" w:cs="Arial" w:eastAsia="Arial" w:hAnsi="Arial"/>
                <w:sz w:val="18"/>
                <w:szCs w:val="18"/>
                <w:b w:val="1"/>
                <w:bCs w:val="1"/>
                <w:color w:val="auto"/>
              </w:rPr>
              <w:t>Stock Awards</w:t>
            </w:r>
          </w:p>
        </w:tc>
        <w:tc>
          <w:tcPr>
            <w:tcW w:w="1800" w:type="dxa"/>
            <w:vAlign w:val="bottom"/>
            <w:tcBorders>
              <w:bottom w:val="single" w:sz="8" w:color="auto"/>
            </w:tcBorders>
          </w:tcPr>
          <w:p>
            <w:pPr>
              <w:spacing w:after="0"/>
              <w:rPr>
                <w:sz w:val="22"/>
                <w:szCs w:val="22"/>
                <w:color w:val="auto"/>
              </w:rPr>
            </w:pPr>
          </w:p>
        </w:tc>
      </w:tr>
      <w:tr>
        <w:trPr>
          <w:trHeight w:val="224"/>
        </w:trPr>
        <w:tc>
          <w:tcPr>
            <w:tcW w:w="1500" w:type="dxa"/>
            <w:vAlign w:val="bottom"/>
          </w:tcPr>
          <w:p>
            <w:pPr>
              <w:spacing w:after="0"/>
              <w:rPr>
                <w:sz w:val="19"/>
                <w:szCs w:val="19"/>
                <w:color w:val="auto"/>
              </w:rPr>
            </w:pPr>
          </w:p>
        </w:tc>
        <w:tc>
          <w:tcPr>
            <w:tcW w:w="2880" w:type="dxa"/>
            <w:vAlign w:val="bottom"/>
          </w:tcPr>
          <w:p>
            <w:pPr>
              <w:jc w:val="center"/>
              <w:ind w:right="30"/>
              <w:spacing w:after="0"/>
              <w:rPr>
                <w:sz w:val="20"/>
                <w:szCs w:val="20"/>
                <w:color w:val="auto"/>
              </w:rPr>
            </w:pPr>
            <w:r>
              <w:rPr>
                <w:rFonts w:ascii="Arial" w:cs="Arial" w:eastAsia="Arial" w:hAnsi="Arial"/>
                <w:sz w:val="18"/>
                <w:szCs w:val="18"/>
                <w:b w:val="1"/>
                <w:bCs w:val="1"/>
                <w:color w:val="auto"/>
                <w:w w:val="99"/>
              </w:rPr>
              <w:t>Number of Shares Acquired on</w:t>
            </w:r>
          </w:p>
        </w:tc>
        <w:tc>
          <w:tcPr>
            <w:tcW w:w="1880" w:type="dxa"/>
            <w:vAlign w:val="bottom"/>
          </w:tcPr>
          <w:p>
            <w:pPr>
              <w:jc w:val="center"/>
              <w:spacing w:after="0"/>
              <w:rPr>
                <w:sz w:val="20"/>
                <w:szCs w:val="20"/>
                <w:color w:val="auto"/>
              </w:rPr>
            </w:pPr>
            <w:r>
              <w:rPr>
                <w:rFonts w:ascii="Arial" w:cs="Arial" w:eastAsia="Arial" w:hAnsi="Arial"/>
                <w:sz w:val="18"/>
                <w:szCs w:val="18"/>
                <w:b w:val="1"/>
                <w:bCs w:val="1"/>
                <w:color w:val="auto"/>
                <w:w w:val="99"/>
              </w:rPr>
              <w:t>Value Realized on</w:t>
            </w:r>
          </w:p>
        </w:tc>
        <w:tc>
          <w:tcPr>
            <w:tcW w:w="3160" w:type="dxa"/>
            <w:vAlign w:val="bottom"/>
          </w:tcPr>
          <w:p>
            <w:pPr>
              <w:jc w:val="center"/>
              <w:ind w:right="30"/>
              <w:spacing w:after="0"/>
              <w:rPr>
                <w:sz w:val="20"/>
                <w:szCs w:val="20"/>
                <w:color w:val="auto"/>
              </w:rPr>
            </w:pPr>
            <w:r>
              <w:rPr>
                <w:rFonts w:ascii="Arial" w:cs="Arial" w:eastAsia="Arial" w:hAnsi="Arial"/>
                <w:sz w:val="18"/>
                <w:szCs w:val="18"/>
                <w:b w:val="1"/>
                <w:bCs w:val="1"/>
                <w:color w:val="auto"/>
                <w:w w:val="99"/>
              </w:rPr>
              <w:t>Number of Shares Acquired on</w:t>
            </w:r>
          </w:p>
        </w:tc>
        <w:tc>
          <w:tcPr>
            <w:tcW w:w="1800" w:type="dxa"/>
            <w:vAlign w:val="bottom"/>
          </w:tcPr>
          <w:p>
            <w:pPr>
              <w:jc w:val="center"/>
              <w:ind w:right="110"/>
              <w:spacing w:after="0"/>
              <w:rPr>
                <w:sz w:val="20"/>
                <w:szCs w:val="20"/>
                <w:color w:val="auto"/>
              </w:rPr>
            </w:pPr>
            <w:r>
              <w:rPr>
                <w:rFonts w:ascii="Arial" w:cs="Arial" w:eastAsia="Arial" w:hAnsi="Arial"/>
                <w:sz w:val="18"/>
                <w:szCs w:val="18"/>
                <w:b w:val="1"/>
                <w:bCs w:val="1"/>
                <w:color w:val="auto"/>
                <w:w w:val="99"/>
              </w:rPr>
              <w:t>Value Realized on</w:t>
            </w:r>
          </w:p>
        </w:tc>
      </w:tr>
      <w:tr>
        <w:trPr>
          <w:trHeight w:val="216"/>
        </w:trPr>
        <w:tc>
          <w:tcPr>
            <w:tcW w:w="1500" w:type="dxa"/>
            <w:vAlign w:val="bottom"/>
          </w:tcPr>
          <w:p>
            <w:pPr>
              <w:ind w:left="20"/>
              <w:spacing w:after="0"/>
              <w:rPr>
                <w:sz w:val="20"/>
                <w:szCs w:val="20"/>
                <w:color w:val="auto"/>
              </w:rPr>
            </w:pPr>
            <w:r>
              <w:rPr>
                <w:rFonts w:ascii="Arial" w:cs="Arial" w:eastAsia="Arial" w:hAnsi="Arial"/>
                <w:sz w:val="18"/>
                <w:szCs w:val="18"/>
                <w:b w:val="1"/>
                <w:bCs w:val="1"/>
                <w:color w:val="auto"/>
              </w:rPr>
              <w:t>Executive</w:t>
            </w:r>
          </w:p>
        </w:tc>
        <w:tc>
          <w:tcPr>
            <w:tcW w:w="2880" w:type="dxa"/>
            <w:vAlign w:val="bottom"/>
          </w:tcPr>
          <w:p>
            <w:pPr>
              <w:jc w:val="center"/>
              <w:ind w:right="10"/>
              <w:spacing w:after="0"/>
              <w:rPr>
                <w:sz w:val="20"/>
                <w:szCs w:val="20"/>
                <w:color w:val="auto"/>
              </w:rPr>
            </w:pPr>
            <w:r>
              <w:rPr>
                <w:rFonts w:ascii="Arial" w:cs="Arial" w:eastAsia="Arial" w:hAnsi="Arial"/>
                <w:sz w:val="18"/>
                <w:szCs w:val="18"/>
                <w:b w:val="1"/>
                <w:bCs w:val="1"/>
                <w:color w:val="auto"/>
                <w:w w:val="99"/>
              </w:rPr>
              <w:t>Exercise</w:t>
            </w:r>
          </w:p>
        </w:tc>
        <w:tc>
          <w:tcPr>
            <w:tcW w:w="1880" w:type="dxa"/>
            <w:vAlign w:val="bottom"/>
          </w:tcPr>
          <w:p>
            <w:pPr>
              <w:jc w:val="center"/>
              <w:spacing w:after="0"/>
              <w:rPr>
                <w:sz w:val="20"/>
                <w:szCs w:val="20"/>
                <w:color w:val="auto"/>
              </w:rPr>
            </w:pPr>
            <w:r>
              <w:rPr>
                <w:rFonts w:ascii="Arial" w:cs="Arial" w:eastAsia="Arial" w:hAnsi="Arial"/>
                <w:sz w:val="18"/>
                <w:szCs w:val="18"/>
                <w:b w:val="1"/>
                <w:bCs w:val="1"/>
                <w:color w:val="auto"/>
                <w:w w:val="99"/>
              </w:rPr>
              <w:t>Exercise</w:t>
            </w:r>
          </w:p>
        </w:tc>
        <w:tc>
          <w:tcPr>
            <w:tcW w:w="3160" w:type="dxa"/>
            <w:vAlign w:val="bottom"/>
          </w:tcPr>
          <w:p>
            <w:pPr>
              <w:jc w:val="center"/>
              <w:ind w:right="30"/>
              <w:spacing w:after="0"/>
              <w:rPr>
                <w:sz w:val="20"/>
                <w:szCs w:val="20"/>
                <w:color w:val="auto"/>
              </w:rPr>
            </w:pPr>
            <w:r>
              <w:rPr>
                <w:rFonts w:ascii="Arial" w:cs="Arial" w:eastAsia="Arial" w:hAnsi="Arial"/>
                <w:sz w:val="18"/>
                <w:szCs w:val="18"/>
                <w:b w:val="1"/>
                <w:bCs w:val="1"/>
                <w:color w:val="auto"/>
                <w:w w:val="98"/>
              </w:rPr>
              <w:t>Vesting</w:t>
            </w:r>
          </w:p>
        </w:tc>
        <w:tc>
          <w:tcPr>
            <w:tcW w:w="1800" w:type="dxa"/>
            <w:vAlign w:val="bottom"/>
          </w:tcPr>
          <w:p>
            <w:pPr>
              <w:jc w:val="center"/>
              <w:ind w:right="110"/>
              <w:spacing w:after="0"/>
              <w:rPr>
                <w:sz w:val="20"/>
                <w:szCs w:val="20"/>
                <w:color w:val="auto"/>
              </w:rPr>
            </w:pPr>
            <w:r>
              <w:rPr>
                <w:rFonts w:ascii="Arial" w:cs="Arial" w:eastAsia="Arial" w:hAnsi="Arial"/>
                <w:sz w:val="18"/>
                <w:szCs w:val="18"/>
                <w:b w:val="1"/>
                <w:bCs w:val="1"/>
                <w:color w:val="auto"/>
                <w:w w:val="98"/>
              </w:rPr>
              <w:t>Vesting</w:t>
            </w:r>
          </w:p>
        </w:tc>
      </w:tr>
      <w:tr>
        <w:trPr>
          <w:trHeight w:val="262"/>
        </w:trPr>
        <w:tc>
          <w:tcPr>
            <w:tcW w:w="15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Officer</w:t>
            </w:r>
          </w:p>
        </w:tc>
        <w:tc>
          <w:tcPr>
            <w:tcW w:w="28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9"/>
              </w:rPr>
              <w:t>(#)</w:t>
            </w:r>
          </w:p>
        </w:tc>
        <w:tc>
          <w:tcPr>
            <w:tcW w:w="1880" w:type="dxa"/>
            <w:vAlign w:val="bottom"/>
            <w:tcBorders>
              <w:bottom w:val="single" w:sz="8" w:color="auto"/>
            </w:tcBorders>
          </w:tcPr>
          <w:p>
            <w:pPr>
              <w:jc w:val="center"/>
              <w:spacing w:after="0" w:line="262" w:lineRule="exact"/>
              <w:rPr>
                <w:sz w:val="20"/>
                <w:szCs w:val="20"/>
                <w:color w:val="auto"/>
              </w:rPr>
            </w:pPr>
            <w:r>
              <w:rPr>
                <w:rFonts w:ascii="Arial" w:cs="Arial" w:eastAsia="Arial" w:hAnsi="Arial"/>
                <w:sz w:val="18"/>
                <w:szCs w:val="18"/>
                <w:b w:val="1"/>
                <w:bCs w:val="1"/>
                <w:color w:val="auto"/>
                <w:w w:val="88"/>
              </w:rPr>
              <w:t>($)</w:t>
            </w:r>
            <w:r>
              <w:rPr>
                <w:rFonts w:ascii="Arial" w:cs="Arial" w:eastAsia="Arial" w:hAnsi="Arial"/>
                <w:sz w:val="23"/>
                <w:szCs w:val="23"/>
                <w:b w:val="1"/>
                <w:bCs w:val="1"/>
                <w:color w:val="auto"/>
                <w:w w:val="88"/>
                <w:vertAlign w:val="superscript"/>
              </w:rPr>
              <w:t>(1)</w:t>
            </w:r>
          </w:p>
        </w:tc>
        <w:tc>
          <w:tcPr>
            <w:tcW w:w="31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9"/>
              </w:rPr>
              <w:t>(#)</w:t>
            </w:r>
          </w:p>
        </w:tc>
        <w:tc>
          <w:tcPr>
            <w:tcW w:w="1800" w:type="dxa"/>
            <w:vAlign w:val="bottom"/>
            <w:tcBorders>
              <w:bottom w:val="single" w:sz="8" w:color="auto"/>
            </w:tcBorders>
          </w:tcPr>
          <w:p>
            <w:pPr>
              <w:jc w:val="center"/>
              <w:ind w:right="110"/>
              <w:spacing w:after="0" w:line="262" w:lineRule="exact"/>
              <w:rPr>
                <w:sz w:val="20"/>
                <w:szCs w:val="20"/>
                <w:color w:val="auto"/>
              </w:rPr>
            </w:pPr>
            <w:r>
              <w:rPr>
                <w:rFonts w:ascii="Arial" w:cs="Arial" w:eastAsia="Arial" w:hAnsi="Arial"/>
                <w:sz w:val="18"/>
                <w:szCs w:val="18"/>
                <w:b w:val="1"/>
                <w:bCs w:val="1"/>
                <w:color w:val="auto"/>
                <w:w w:val="88"/>
              </w:rPr>
              <w:t>($)</w:t>
            </w:r>
            <w:r>
              <w:rPr>
                <w:rFonts w:ascii="Arial" w:cs="Arial" w:eastAsia="Arial" w:hAnsi="Arial"/>
                <w:sz w:val="23"/>
                <w:szCs w:val="23"/>
                <w:b w:val="1"/>
                <w:bCs w:val="1"/>
                <w:color w:val="auto"/>
                <w:w w:val="88"/>
                <w:vertAlign w:val="superscript"/>
              </w:rPr>
              <w:t>(2)</w:t>
            </w:r>
          </w:p>
        </w:tc>
      </w:tr>
      <w:tr>
        <w:trPr>
          <w:trHeight w:val="263"/>
        </w:trPr>
        <w:tc>
          <w:tcPr>
            <w:tcW w:w="150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Jon Oringer</w:t>
            </w:r>
          </w:p>
        </w:tc>
        <w:tc>
          <w:tcPr>
            <w:tcW w:w="28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31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4"/>
              </w:rPr>
              <w:t>58,803</w:t>
            </w:r>
            <w:r>
              <w:rPr>
                <w:rFonts w:ascii="Arial" w:cs="Arial" w:eastAsia="Arial" w:hAnsi="Arial"/>
                <w:sz w:val="23"/>
                <w:szCs w:val="23"/>
                <w:color w:val="auto"/>
                <w:w w:val="94"/>
                <w:vertAlign w:val="superscript"/>
              </w:rPr>
              <w:t>(3)</w:t>
            </w:r>
          </w:p>
        </w:tc>
        <w:tc>
          <w:tcPr>
            <w:tcW w:w="18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99"/>
              </w:rPr>
              <w:t>2,658,484</w:t>
            </w:r>
          </w:p>
        </w:tc>
      </w:tr>
      <w:tr>
        <w:trPr>
          <w:trHeight w:val="264"/>
        </w:trPr>
        <w:tc>
          <w:tcPr>
            <w:tcW w:w="150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Paul Hennessy</w:t>
            </w:r>
          </w:p>
        </w:tc>
        <w:tc>
          <w:tcPr>
            <w:tcW w:w="28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31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4"/>
              </w:rPr>
              <w:t>87,596</w:t>
            </w:r>
            <w:r>
              <w:rPr>
                <w:rFonts w:ascii="Arial" w:cs="Arial" w:eastAsia="Arial" w:hAnsi="Arial"/>
                <w:sz w:val="23"/>
                <w:szCs w:val="23"/>
                <w:color w:val="auto"/>
                <w:w w:val="94"/>
                <w:vertAlign w:val="superscript"/>
              </w:rPr>
              <w:t>(4)</w:t>
            </w:r>
          </w:p>
        </w:tc>
        <w:tc>
          <w:tcPr>
            <w:tcW w:w="18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99"/>
              </w:rPr>
              <w:t>3,274,338</w:t>
            </w:r>
          </w:p>
        </w:tc>
      </w:tr>
      <w:tr>
        <w:trPr>
          <w:trHeight w:val="263"/>
        </w:trPr>
        <w:tc>
          <w:tcPr>
            <w:tcW w:w="150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Jarrod Yahes</w:t>
            </w:r>
          </w:p>
        </w:tc>
        <w:tc>
          <w:tcPr>
            <w:tcW w:w="28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31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4"/>
              </w:rPr>
              <w:t>35,236</w:t>
            </w:r>
            <w:r>
              <w:rPr>
                <w:rFonts w:ascii="Arial" w:cs="Arial" w:eastAsia="Arial" w:hAnsi="Arial"/>
                <w:sz w:val="23"/>
                <w:szCs w:val="23"/>
                <w:color w:val="auto"/>
                <w:w w:val="94"/>
                <w:vertAlign w:val="superscript"/>
              </w:rPr>
              <w:t>(5)</w:t>
            </w:r>
          </w:p>
        </w:tc>
        <w:tc>
          <w:tcPr>
            <w:tcW w:w="18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99"/>
              </w:rPr>
              <w:t>1,593,020</w:t>
            </w:r>
          </w:p>
        </w:tc>
      </w:tr>
      <w:tr>
        <w:trPr>
          <w:trHeight w:val="263"/>
        </w:trPr>
        <w:tc>
          <w:tcPr>
            <w:tcW w:w="150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John Caine</w:t>
            </w:r>
          </w:p>
        </w:tc>
        <w:tc>
          <w:tcPr>
            <w:tcW w:w="28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31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4"/>
              </w:rPr>
              <w:t>57,070</w:t>
            </w:r>
            <w:r>
              <w:rPr>
                <w:rFonts w:ascii="Arial" w:cs="Arial" w:eastAsia="Arial" w:hAnsi="Arial"/>
                <w:sz w:val="23"/>
                <w:szCs w:val="23"/>
                <w:color w:val="auto"/>
                <w:w w:val="94"/>
                <w:vertAlign w:val="superscript"/>
              </w:rPr>
              <w:t>(6)</w:t>
            </w:r>
          </w:p>
        </w:tc>
        <w:tc>
          <w:tcPr>
            <w:tcW w:w="18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99"/>
              </w:rPr>
              <w:t>2,240,897</w:t>
            </w:r>
          </w:p>
        </w:tc>
      </w:tr>
      <w:tr>
        <w:trPr>
          <w:trHeight w:val="241"/>
        </w:trPr>
        <w:tc>
          <w:tcPr>
            <w:tcW w:w="1500" w:type="dxa"/>
            <w:vAlign w:val="bottom"/>
          </w:tcPr>
          <w:p>
            <w:pPr>
              <w:ind w:left="60"/>
              <w:spacing w:after="0"/>
              <w:rPr>
                <w:sz w:val="20"/>
                <w:szCs w:val="20"/>
                <w:color w:val="auto"/>
              </w:rPr>
            </w:pPr>
            <w:r>
              <w:rPr>
                <w:rFonts w:ascii="Arial" w:cs="Arial" w:eastAsia="Arial" w:hAnsi="Arial"/>
                <w:sz w:val="18"/>
                <w:szCs w:val="18"/>
                <w:color w:val="auto"/>
              </w:rPr>
              <w:t>Rik Powell</w:t>
            </w:r>
          </w:p>
        </w:tc>
        <w:tc>
          <w:tcPr>
            <w:tcW w:w="2880" w:type="dxa"/>
            <w:vAlign w:val="bottom"/>
          </w:tcPr>
          <w:p>
            <w:pPr>
              <w:jc w:val="center"/>
              <w:ind w:right="10"/>
              <w:spacing w:after="0"/>
              <w:rPr>
                <w:sz w:val="20"/>
                <w:szCs w:val="20"/>
                <w:color w:val="auto"/>
              </w:rPr>
            </w:pPr>
            <w:r>
              <w:rPr>
                <w:rFonts w:ascii="Arial" w:cs="Arial" w:eastAsia="Arial" w:hAnsi="Arial"/>
                <w:sz w:val="18"/>
                <w:szCs w:val="18"/>
                <w:color w:val="auto"/>
                <w:w w:val="99"/>
              </w:rPr>
              <w:t>-</w:t>
            </w:r>
          </w:p>
        </w:tc>
        <w:tc>
          <w:tcPr>
            <w:tcW w:w="18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3160" w:type="dxa"/>
            <w:vAlign w:val="bottom"/>
          </w:tcPr>
          <w:p>
            <w:pPr>
              <w:jc w:val="center"/>
              <w:ind w:right="10"/>
              <w:spacing w:after="0"/>
              <w:rPr>
                <w:sz w:val="20"/>
                <w:szCs w:val="20"/>
                <w:color w:val="auto"/>
              </w:rPr>
            </w:pPr>
            <w:r>
              <w:rPr>
                <w:rFonts w:ascii="Arial" w:cs="Arial" w:eastAsia="Arial" w:hAnsi="Arial"/>
                <w:sz w:val="18"/>
                <w:szCs w:val="18"/>
                <w:color w:val="auto"/>
                <w:w w:val="99"/>
              </w:rPr>
              <w:t>-</w:t>
            </w:r>
          </w:p>
        </w:tc>
        <w:tc>
          <w:tcPr>
            <w:tcW w:w="1800" w:type="dxa"/>
            <w:vAlign w:val="bottom"/>
          </w:tcPr>
          <w:p>
            <w:pPr>
              <w:jc w:val="center"/>
              <w:ind w:right="130"/>
              <w:spacing w:after="0"/>
              <w:rPr>
                <w:sz w:val="20"/>
                <w:szCs w:val="20"/>
                <w:color w:val="auto"/>
              </w:rPr>
            </w:pPr>
            <w:r>
              <w:rPr>
                <w:rFonts w:ascii="Arial" w:cs="Arial" w:eastAsia="Arial" w:hAnsi="Arial"/>
                <w:sz w:val="18"/>
                <w:szCs w:val="18"/>
                <w:color w:val="auto"/>
                <w:w w:val="99"/>
              </w:rPr>
              <w:t>-</w:t>
            </w:r>
          </w:p>
        </w:tc>
      </w:tr>
      <w:tr>
        <w:trPr>
          <w:trHeight w:val="23"/>
        </w:trPr>
        <w:tc>
          <w:tcPr>
            <w:tcW w:w="150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31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bl>
    <w:p>
      <w:pPr>
        <w:spacing w:after="0" w:line="247" w:lineRule="exact"/>
        <w:rPr>
          <w:sz w:val="20"/>
          <w:szCs w:val="20"/>
          <w:color w:val="auto"/>
        </w:rPr>
      </w:pPr>
    </w:p>
    <w:p>
      <w:pPr>
        <w:ind w:left="440" w:right="560" w:hanging="414"/>
        <w:spacing w:after="0" w:line="301" w:lineRule="auto"/>
        <w:tabs>
          <w:tab w:leader="none" w:pos="4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The value realized on exercise represents the difference between the market value of our Common Stock at the time the applicable option was exercised and the exercise price of the option.</w:t>
      </w:r>
    </w:p>
    <w:p>
      <w:pPr>
        <w:spacing w:after="0" w:line="1" w:lineRule="exact"/>
        <w:rPr>
          <w:rFonts w:ascii="Arial" w:cs="Arial" w:eastAsia="Arial" w:hAnsi="Arial"/>
          <w:sz w:val="14"/>
          <w:szCs w:val="14"/>
          <w:color w:val="auto"/>
        </w:rPr>
      </w:pPr>
    </w:p>
    <w:p>
      <w:pPr>
        <w:ind w:left="440" w:right="180" w:hanging="414"/>
        <w:spacing w:after="0" w:line="301" w:lineRule="auto"/>
        <w:tabs>
          <w:tab w:leader="none" w:pos="4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Value realized was calculated by multiplying the number of shares that vested by the per share closing price of the Company’s Common Stock on the vesting date. The values do not include the payment of taxes by the NEOs.</w:t>
      </w:r>
    </w:p>
    <w:p>
      <w:pPr>
        <w:spacing w:after="0" w:line="1" w:lineRule="exact"/>
        <w:rPr>
          <w:rFonts w:ascii="Arial" w:cs="Arial" w:eastAsia="Arial" w:hAnsi="Arial"/>
          <w:sz w:val="14"/>
          <w:szCs w:val="14"/>
          <w:color w:val="auto"/>
        </w:rPr>
      </w:pPr>
    </w:p>
    <w:p>
      <w:pPr>
        <w:ind w:left="440" w:right="160" w:hanging="414"/>
        <w:spacing w:after="0" w:line="301" w:lineRule="auto"/>
        <w:tabs>
          <w:tab w:leader="none" w:pos="4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After shares were withheld by the Company to satisfy tax withholding obligations that arose upon the vesting of Mr. Oringer’s restricted stock units, Mr. Oringer received 38,516 shares.</w:t>
      </w:r>
    </w:p>
    <w:p>
      <w:pPr>
        <w:spacing w:after="0" w:line="1" w:lineRule="exact"/>
        <w:rPr>
          <w:rFonts w:ascii="Arial" w:cs="Arial" w:eastAsia="Arial" w:hAnsi="Arial"/>
          <w:sz w:val="14"/>
          <w:szCs w:val="14"/>
          <w:color w:val="auto"/>
        </w:rPr>
      </w:pPr>
    </w:p>
    <w:p>
      <w:pPr>
        <w:ind w:left="440" w:right="420" w:hanging="414"/>
        <w:spacing w:after="0" w:line="301" w:lineRule="auto"/>
        <w:tabs>
          <w:tab w:leader="none" w:pos="4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After shares were withheld by the Company to satisfy tax withholding obligations that arose upon the vesting of Mr. Hennessy’s restricted stock units, Mr. Hennessy received 43,879 shares.</w:t>
      </w:r>
    </w:p>
    <w:p>
      <w:pPr>
        <w:spacing w:after="0" w:line="1" w:lineRule="exact"/>
        <w:rPr>
          <w:rFonts w:ascii="Arial" w:cs="Arial" w:eastAsia="Arial" w:hAnsi="Arial"/>
          <w:sz w:val="14"/>
          <w:szCs w:val="14"/>
          <w:color w:val="auto"/>
        </w:rPr>
      </w:pPr>
    </w:p>
    <w:p>
      <w:pPr>
        <w:ind w:left="440" w:right="380" w:hanging="414"/>
        <w:spacing w:after="0" w:line="301" w:lineRule="auto"/>
        <w:tabs>
          <w:tab w:leader="none" w:pos="4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After shares were withheld by the Company to satisfy tax withholding obligations that arose upon the vesting of Mr. Yahes’ restricted stock units, Mr. Yahes received 17,501 shares. These shares had been granted prior to 2024 and vested prior to his resignation from the Company in October 2024.</w:t>
      </w:r>
    </w:p>
    <w:p>
      <w:pPr>
        <w:spacing w:after="0" w:line="1" w:lineRule="exact"/>
        <w:rPr>
          <w:rFonts w:ascii="Arial" w:cs="Arial" w:eastAsia="Arial" w:hAnsi="Arial"/>
          <w:sz w:val="14"/>
          <w:szCs w:val="14"/>
          <w:color w:val="auto"/>
        </w:rPr>
      </w:pPr>
    </w:p>
    <w:p>
      <w:pPr>
        <w:ind w:left="440" w:right="360" w:hanging="414"/>
        <w:spacing w:after="0" w:line="305" w:lineRule="auto"/>
        <w:tabs>
          <w:tab w:leader="none" w:pos="4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After shares were withheld by the Company to satisfy tax withholding obligations that arose upon the vesting of Mr. Caine’s restricted stock units, Mr. Caine received 30,393 shares.</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EF3A35"/>
        </w:rPr>
        <w:t>Potential Payments Upon Termination or Change in Control</w:t>
      </w:r>
    </w:p>
    <w:p>
      <w:pPr>
        <w:spacing w:after="0" w:line="108" w:lineRule="exact"/>
        <w:rPr>
          <w:sz w:val="20"/>
          <w:szCs w:val="20"/>
          <w:color w:val="auto"/>
        </w:rPr>
      </w:pPr>
    </w:p>
    <w:p>
      <w:pPr>
        <w:ind w:firstLine="324"/>
        <w:spacing w:after="0" w:line="262" w:lineRule="auto"/>
        <w:rPr>
          <w:sz w:val="20"/>
          <w:szCs w:val="20"/>
          <w:color w:val="auto"/>
        </w:rPr>
      </w:pPr>
      <w:r>
        <w:rPr>
          <w:rFonts w:ascii="Arial" w:cs="Arial" w:eastAsia="Arial" w:hAnsi="Arial"/>
          <w:sz w:val="18"/>
          <w:szCs w:val="18"/>
          <w:color w:val="auto"/>
        </w:rPr>
        <w:t>The tables below reflect the amount of compensation that would have been owed to each of our NEOs in the event of employment termination or a termination upon a change of control on December 31, 2024. For compensation paid upon termination for Messrs. Caine and Yahes and additional information with respect to our other named executive officers, see “Mr. Caine and Mr. Yahes Arrangements” below, “Employment Agreements and Compensatory Arrangements” and the Summary Compensation Table.</w:t>
      </w:r>
    </w:p>
    <w:p>
      <w:pPr>
        <w:spacing w:after="0" w:line="68" w:lineRule="exact"/>
        <w:rPr>
          <w:sz w:val="20"/>
          <w:szCs w:val="20"/>
          <w:color w:val="auto"/>
        </w:rPr>
      </w:pPr>
    </w:p>
    <w:p>
      <w:pPr>
        <w:ind w:right="340" w:firstLine="324"/>
        <w:spacing w:after="0" w:line="287" w:lineRule="auto"/>
        <w:rPr>
          <w:sz w:val="20"/>
          <w:szCs w:val="20"/>
          <w:color w:val="auto"/>
        </w:rPr>
      </w:pPr>
      <w:r>
        <w:rPr>
          <w:rFonts w:ascii="Arial" w:cs="Arial" w:eastAsia="Arial" w:hAnsi="Arial"/>
          <w:sz w:val="18"/>
          <w:szCs w:val="18"/>
          <w:color w:val="auto"/>
        </w:rPr>
        <w:t>Regardless of the reason for a named executive officer’s termination of employment, they may be entitled to receive amounts earned during the term of employment. Such amounts include, through the date of termination:</w:t>
      </w:r>
    </w:p>
    <w:p>
      <w:pPr>
        <w:spacing w:after="0" w:line="99" w:lineRule="exact"/>
        <w:rPr>
          <w:sz w:val="20"/>
          <w:szCs w:val="20"/>
          <w:color w:val="auto"/>
        </w:rPr>
      </w:pPr>
    </w:p>
    <w:p>
      <w:pPr>
        <w:ind w:left="700" w:hanging="314"/>
        <w:spacing w:after="0"/>
        <w:tabs>
          <w:tab w:leader="none" w:pos="7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earned but unpaid salary;</w:t>
      </w:r>
    </w:p>
    <w:p>
      <w:pPr>
        <w:spacing w:after="0" w:line="63" w:lineRule="exact"/>
        <w:rPr>
          <w:rFonts w:ascii="Arial" w:cs="Arial" w:eastAsia="Arial" w:hAnsi="Arial"/>
          <w:sz w:val="18"/>
          <w:szCs w:val="18"/>
          <w:color w:val="auto"/>
        </w:rPr>
      </w:pPr>
    </w:p>
    <w:p>
      <w:pPr>
        <w:ind w:left="700" w:hanging="314"/>
        <w:spacing w:after="0"/>
        <w:tabs>
          <w:tab w:leader="none" w:pos="7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benefits;</w:t>
      </w:r>
    </w:p>
    <w:p>
      <w:pPr>
        <w:spacing w:after="0" w:line="63" w:lineRule="exact"/>
        <w:rPr>
          <w:rFonts w:ascii="Arial" w:cs="Arial" w:eastAsia="Arial" w:hAnsi="Arial"/>
          <w:sz w:val="18"/>
          <w:szCs w:val="18"/>
          <w:color w:val="auto"/>
        </w:rPr>
      </w:pPr>
    </w:p>
    <w:p>
      <w:pPr>
        <w:ind w:left="700" w:hanging="314"/>
        <w:spacing w:after="0"/>
        <w:tabs>
          <w:tab w:leader="none" w:pos="7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unreimbursed business expenses; and</w:t>
      </w:r>
    </w:p>
    <w:p>
      <w:pPr>
        <w:spacing w:after="0" w:line="63" w:lineRule="exact"/>
        <w:rPr>
          <w:rFonts w:ascii="Arial" w:cs="Arial" w:eastAsia="Arial" w:hAnsi="Arial"/>
          <w:sz w:val="18"/>
          <w:szCs w:val="18"/>
          <w:color w:val="auto"/>
        </w:rPr>
      </w:pPr>
    </w:p>
    <w:p>
      <w:pPr>
        <w:ind w:left="700" w:hanging="314"/>
        <w:spacing w:after="0"/>
        <w:tabs>
          <w:tab w:leader="none" w:pos="7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ability to exercise vested stock options for a limited period of time.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amounts in the table below were calculated using the following assumptions:</w:t>
      </w:r>
    </w:p>
    <w:p>
      <w:pPr>
        <w:spacing w:after="0" w:line="171" w:lineRule="exact"/>
        <w:rPr>
          <w:sz w:val="20"/>
          <w:szCs w:val="20"/>
          <w:color w:val="auto"/>
        </w:rPr>
      </w:pPr>
    </w:p>
    <w:p>
      <w:pPr>
        <w:ind w:left="700" w:hanging="314"/>
        <w:spacing w:after="0"/>
        <w:tabs>
          <w:tab w:leader="none" w:pos="7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tables do not include the value of vested but unexercised stock options and vested restricted stock units; and</w:t>
      </w:r>
    </w:p>
    <w:p>
      <w:pPr>
        <w:spacing w:after="0" w:line="63" w:lineRule="exact"/>
        <w:rPr>
          <w:rFonts w:ascii="Arial" w:cs="Arial" w:eastAsia="Arial" w:hAnsi="Arial"/>
          <w:sz w:val="18"/>
          <w:szCs w:val="18"/>
          <w:color w:val="auto"/>
        </w:rPr>
      </w:pPr>
    </w:p>
    <w:p>
      <w:pPr>
        <w:ind w:left="700" w:right="740" w:hanging="314"/>
        <w:spacing w:after="0" w:line="287" w:lineRule="auto"/>
        <w:tabs>
          <w:tab w:leader="none" w:pos="7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benefit continuation expense was calculated using the Company’s costs for medical, dental, and life insurance coverage for each named executive officer as in effect on January 1, 2024, except where otherwise specified.</w:t>
      </w:r>
    </w:p>
    <w:p>
      <w:pPr>
        <w:spacing w:after="0" w:line="166" w:lineRule="exact"/>
        <w:rPr>
          <w:sz w:val="20"/>
          <w:szCs w:val="20"/>
          <w:color w:val="auto"/>
        </w:rPr>
      </w:pPr>
    </w:p>
    <w:p>
      <w:pPr>
        <w:ind w:right="100" w:firstLine="324"/>
        <w:spacing w:after="0" w:line="287" w:lineRule="auto"/>
        <w:rPr>
          <w:sz w:val="20"/>
          <w:szCs w:val="20"/>
          <w:color w:val="auto"/>
        </w:rPr>
      </w:pPr>
      <w:r>
        <w:rPr>
          <w:rFonts w:ascii="Arial" w:cs="Arial" w:eastAsia="Arial" w:hAnsi="Arial"/>
          <w:sz w:val="18"/>
          <w:szCs w:val="18"/>
          <w:color w:val="auto"/>
        </w:rPr>
        <w:t>Because the payments to be made to the named executive officers depend on several factors, the actual amounts to be paid out upon a named executive officer’s termination of employment can be determined only at the time of his or her actual separation from the Company.</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240"/>
          </w:cols>
          <w:pgMar w:left="320" w:top="881" w:right="3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175"/>
        </w:trPr>
        <w:tc>
          <w:tcPr>
            <w:tcW w:w="202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Named Executive Cause of</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Cash Severance</w:t>
            </w:r>
          </w:p>
        </w:tc>
        <w:tc>
          <w:tcPr>
            <w:tcW w:w="12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Pro-Rata Bonus</w:t>
            </w: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rPr>
              <w:t>Acceleration of Equity</w:t>
            </w:r>
          </w:p>
        </w:tc>
        <w:tc>
          <w:tcPr>
            <w:tcW w:w="2700" w:type="dxa"/>
            <w:vAlign w:val="bottom"/>
          </w:tcPr>
          <w:p>
            <w:pPr>
              <w:jc w:val="center"/>
              <w:ind w:right="28"/>
              <w:spacing w:after="0"/>
              <w:rPr>
                <w:sz w:val="20"/>
                <w:szCs w:val="20"/>
                <w:color w:val="auto"/>
              </w:rPr>
            </w:pPr>
            <w:r>
              <w:rPr>
                <w:rFonts w:ascii="Arial" w:cs="Arial" w:eastAsia="Arial" w:hAnsi="Arial"/>
                <w:sz w:val="14"/>
                <w:szCs w:val="14"/>
                <w:b w:val="1"/>
                <w:bCs w:val="1"/>
                <w:color w:val="auto"/>
              </w:rPr>
              <w:t>Continued Participation in Medical &amp;</w:t>
            </w:r>
          </w:p>
        </w:tc>
        <w:tc>
          <w:tcPr>
            <w:tcW w:w="1420" w:type="dxa"/>
            <w:vAlign w:val="bottom"/>
          </w:tcPr>
          <w:p>
            <w:pPr>
              <w:jc w:val="center"/>
              <w:ind w:right="108"/>
              <w:spacing w:after="0"/>
              <w:rPr>
                <w:sz w:val="20"/>
                <w:szCs w:val="20"/>
                <w:color w:val="auto"/>
              </w:rPr>
            </w:pPr>
            <w:r>
              <w:rPr>
                <w:rFonts w:ascii="Arial" w:cs="Arial" w:eastAsia="Arial" w:hAnsi="Arial"/>
                <w:sz w:val="14"/>
                <w:szCs w:val="14"/>
                <w:b w:val="1"/>
                <w:bCs w:val="1"/>
                <w:color w:val="auto"/>
              </w:rPr>
              <w:t>Outplacement</w:t>
            </w:r>
          </w:p>
        </w:tc>
        <w:tc>
          <w:tcPr>
            <w:tcW w:w="90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0"/>
        </w:trPr>
        <w:tc>
          <w:tcPr>
            <w:tcW w:w="2020" w:type="dxa"/>
            <w:vAlign w:val="bottom"/>
            <w:vMerge w:val="continue"/>
          </w:tcPr>
          <w:p>
            <w:pPr>
              <w:spacing w:after="0"/>
              <w:rPr>
                <w:sz w:val="13"/>
                <w:szCs w:val="13"/>
                <w:color w:val="auto"/>
              </w:rPr>
            </w:pPr>
          </w:p>
        </w:tc>
        <w:tc>
          <w:tcPr>
            <w:tcW w:w="136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rPr>
              <w:t>Payment</w:t>
            </w:r>
          </w:p>
        </w:tc>
        <w:tc>
          <w:tcPr>
            <w:tcW w:w="1200" w:type="dxa"/>
            <w:vAlign w:val="bottom"/>
            <w:vMerge w:val="continue"/>
          </w:tcPr>
          <w:p>
            <w:pPr>
              <w:spacing w:after="0"/>
              <w:rPr>
                <w:sz w:val="13"/>
                <w:szCs w:val="13"/>
                <w:color w:val="auto"/>
              </w:rPr>
            </w:pPr>
          </w:p>
        </w:tc>
        <w:tc>
          <w:tcPr>
            <w:tcW w:w="164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rPr>
              <w:t>Awards</w:t>
            </w:r>
          </w:p>
        </w:tc>
        <w:tc>
          <w:tcPr>
            <w:tcW w:w="2700" w:type="dxa"/>
            <w:vAlign w:val="bottom"/>
          </w:tcPr>
          <w:p>
            <w:pPr>
              <w:jc w:val="center"/>
              <w:ind w:right="28"/>
              <w:spacing w:after="0" w:line="159" w:lineRule="exact"/>
              <w:rPr>
                <w:sz w:val="20"/>
                <w:szCs w:val="20"/>
                <w:color w:val="auto"/>
              </w:rPr>
            </w:pPr>
            <w:r>
              <w:rPr>
                <w:rFonts w:ascii="Arial" w:cs="Arial" w:eastAsia="Arial" w:hAnsi="Arial"/>
                <w:sz w:val="14"/>
                <w:szCs w:val="14"/>
                <w:b w:val="1"/>
                <w:bCs w:val="1"/>
                <w:color w:val="auto"/>
              </w:rPr>
              <w:t>Dental Benefit Plans</w:t>
            </w:r>
          </w:p>
        </w:tc>
        <w:tc>
          <w:tcPr>
            <w:tcW w:w="1420" w:type="dxa"/>
            <w:vAlign w:val="bottom"/>
          </w:tcPr>
          <w:p>
            <w:pPr>
              <w:jc w:val="center"/>
              <w:ind w:right="108"/>
              <w:spacing w:after="0" w:line="159" w:lineRule="exact"/>
              <w:rPr>
                <w:sz w:val="20"/>
                <w:szCs w:val="20"/>
                <w:color w:val="auto"/>
              </w:rPr>
            </w:pPr>
            <w:r>
              <w:rPr>
                <w:rFonts w:ascii="Arial" w:cs="Arial" w:eastAsia="Arial" w:hAnsi="Arial"/>
                <w:sz w:val="14"/>
                <w:szCs w:val="14"/>
                <w:b w:val="1"/>
                <w:bCs w:val="1"/>
                <w:color w:val="auto"/>
              </w:rPr>
              <w:t>Benefits</w:t>
            </w:r>
          </w:p>
        </w:tc>
        <w:tc>
          <w:tcPr>
            <w:tcW w:w="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20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Termination</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200" w:type="dxa"/>
            <w:vAlign w:val="bottom"/>
            <w:tcBorders>
              <w:bottom w:val="single" w:sz="8" w:color="auto"/>
            </w:tcBorders>
          </w:tcPr>
          <w:p>
            <w:pPr>
              <w:jc w:val="right"/>
              <w:ind w:right="391"/>
              <w:spacing w:after="0" w:line="214" w:lineRule="exact"/>
              <w:rPr>
                <w:sz w:val="20"/>
                <w:szCs w:val="20"/>
                <w:color w:val="auto"/>
              </w:rPr>
            </w:pPr>
            <w:r>
              <w:rPr>
                <w:rFonts w:ascii="Arial" w:cs="Arial" w:eastAsia="Arial" w:hAnsi="Arial"/>
                <w:sz w:val="24"/>
                <w:szCs w:val="24"/>
                <w:b w:val="1"/>
                <w:bCs w:val="1"/>
                <w:color w:val="auto"/>
                <w:vertAlign w:val="subscript"/>
              </w:rPr>
              <w:t>($)</w:t>
            </w:r>
            <w:r>
              <w:rPr>
                <w:rFonts w:ascii="Arial" w:cs="Arial" w:eastAsia="Arial" w:hAnsi="Arial"/>
                <w:sz w:val="9"/>
                <w:szCs w:val="9"/>
                <w:b w:val="1"/>
                <w:bCs w:val="1"/>
                <w:color w:val="auto"/>
              </w:rPr>
              <w:t>(1)</w:t>
            </w: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w:t>
            </w:r>
            <w:r>
              <w:rPr>
                <w:rFonts w:ascii="Arial" w:cs="Arial" w:eastAsia="Arial" w:hAnsi="Arial"/>
                <w:sz w:val="18"/>
                <w:szCs w:val="18"/>
                <w:b w:val="1"/>
                <w:bCs w:val="1"/>
                <w:color w:val="auto"/>
                <w:w w:val="87"/>
                <w:vertAlign w:val="superscript"/>
              </w:rPr>
              <w:t>(2)</w:t>
            </w:r>
          </w:p>
        </w:tc>
        <w:tc>
          <w:tcPr>
            <w:tcW w:w="270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3"/>
              </w:rPr>
              <w:t>($)</w:t>
            </w:r>
          </w:p>
        </w:tc>
        <w:tc>
          <w:tcPr>
            <w:tcW w:w="142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8"/>
        </w:trPr>
        <w:tc>
          <w:tcPr>
            <w:tcW w:w="2020" w:type="dxa"/>
            <w:vAlign w:val="bottom"/>
          </w:tcPr>
          <w:p>
            <w:pPr>
              <w:ind w:left="60"/>
              <w:spacing w:after="0"/>
              <w:rPr>
                <w:sz w:val="20"/>
                <w:szCs w:val="20"/>
                <w:color w:val="auto"/>
              </w:rPr>
            </w:pPr>
            <w:r>
              <w:rPr>
                <w:rFonts w:ascii="Arial" w:cs="Arial" w:eastAsia="Arial" w:hAnsi="Arial"/>
                <w:sz w:val="14"/>
                <w:szCs w:val="14"/>
                <w:b w:val="1"/>
                <w:bCs w:val="1"/>
                <w:color w:val="auto"/>
              </w:rPr>
              <w:t>Jonathan Oringer</w:t>
            </w:r>
          </w:p>
        </w:tc>
        <w:tc>
          <w:tcPr>
            <w:tcW w:w="1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2020" w:type="dxa"/>
            <w:vAlign w:val="bottom"/>
          </w:tcPr>
          <w:p>
            <w:pPr>
              <w:ind w:left="60"/>
              <w:spacing w:after="0"/>
              <w:rPr>
                <w:sz w:val="20"/>
                <w:szCs w:val="20"/>
                <w:color w:val="auto"/>
              </w:rPr>
            </w:pPr>
            <w:r>
              <w:rPr>
                <w:rFonts w:ascii="Arial" w:cs="Arial" w:eastAsia="Arial" w:hAnsi="Arial"/>
                <w:sz w:val="14"/>
                <w:szCs w:val="14"/>
                <w:color w:val="auto"/>
              </w:rPr>
              <w:t>Change in Control</w:t>
            </w:r>
            <w:r>
              <w:rPr>
                <w:rFonts w:ascii="Arial" w:cs="Arial" w:eastAsia="Arial" w:hAnsi="Arial"/>
                <w:sz w:val="18"/>
                <w:szCs w:val="18"/>
                <w:color w:val="auto"/>
                <w:vertAlign w:val="superscript"/>
              </w:rPr>
              <w:t>(3)</w:t>
            </w:r>
          </w:p>
        </w:tc>
        <w:tc>
          <w:tcPr>
            <w:tcW w:w="136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1640" w:type="dxa"/>
            <w:vAlign w:val="bottom"/>
          </w:tcPr>
          <w:p>
            <w:pPr>
              <w:jc w:val="right"/>
              <w:spacing w:after="0"/>
              <w:rPr>
                <w:sz w:val="20"/>
                <w:szCs w:val="20"/>
                <w:color w:val="auto"/>
              </w:rPr>
            </w:pPr>
            <w:r>
              <w:rPr>
                <w:rFonts w:ascii="Arial" w:cs="Arial" w:eastAsia="Arial" w:hAnsi="Arial"/>
                <w:sz w:val="14"/>
                <w:szCs w:val="14"/>
                <w:color w:val="auto"/>
              </w:rPr>
              <w:t>5,454,957</w:t>
            </w:r>
          </w:p>
        </w:tc>
        <w:tc>
          <w:tcPr>
            <w:tcW w:w="2700" w:type="dxa"/>
            <w:vAlign w:val="bottom"/>
          </w:tcPr>
          <w:p>
            <w:pPr>
              <w:jc w:val="right"/>
              <w:ind w:right="108"/>
              <w:spacing w:after="0"/>
              <w:rPr>
                <w:sz w:val="20"/>
                <w:szCs w:val="20"/>
                <w:color w:val="auto"/>
              </w:rPr>
            </w:pPr>
            <w:r>
              <w:rPr>
                <w:rFonts w:ascii="Arial" w:cs="Arial" w:eastAsia="Arial" w:hAnsi="Arial"/>
                <w:sz w:val="14"/>
                <w:szCs w:val="14"/>
                <w:color w:val="auto"/>
              </w:rPr>
              <w:t>35,789</w:t>
            </w:r>
          </w:p>
        </w:tc>
        <w:tc>
          <w:tcPr>
            <w:tcW w:w="1420" w:type="dxa"/>
            <w:vAlign w:val="bottom"/>
          </w:tcPr>
          <w:p>
            <w:pPr>
              <w:jc w:val="right"/>
              <w:ind w:right="48"/>
              <w:spacing w:after="0"/>
              <w:rPr>
                <w:sz w:val="20"/>
                <w:szCs w:val="20"/>
                <w:color w:val="auto"/>
              </w:rPr>
            </w:pPr>
            <w:r>
              <w:rPr>
                <w:rFonts w:ascii="Arial" w:cs="Arial" w:eastAsia="Arial" w:hAnsi="Arial"/>
                <w:sz w:val="14"/>
                <w:szCs w:val="14"/>
                <w:color w:val="auto"/>
              </w:rPr>
              <w:t>5,000</w:t>
            </w:r>
          </w:p>
        </w:tc>
        <w:tc>
          <w:tcPr>
            <w:tcW w:w="900" w:type="dxa"/>
            <w:vAlign w:val="bottom"/>
          </w:tcPr>
          <w:p>
            <w:pPr>
              <w:jc w:val="right"/>
              <w:spacing w:after="0"/>
              <w:rPr>
                <w:sz w:val="20"/>
                <w:szCs w:val="20"/>
                <w:color w:val="auto"/>
              </w:rPr>
            </w:pPr>
            <w:r>
              <w:rPr>
                <w:rFonts w:ascii="Arial" w:cs="Arial" w:eastAsia="Arial" w:hAnsi="Arial"/>
                <w:sz w:val="14"/>
                <w:szCs w:val="14"/>
                <w:color w:val="auto"/>
              </w:rPr>
              <w:t>5,495,747</w:t>
            </w:r>
          </w:p>
        </w:tc>
        <w:tc>
          <w:tcPr>
            <w:tcW w:w="0" w:type="dxa"/>
            <w:vAlign w:val="bottom"/>
          </w:tcPr>
          <w:p>
            <w:pPr>
              <w:spacing w:after="0"/>
              <w:rPr>
                <w:sz w:val="1"/>
                <w:szCs w:val="1"/>
                <w:color w:val="auto"/>
              </w:rPr>
            </w:pPr>
          </w:p>
        </w:tc>
      </w:tr>
      <w:tr>
        <w:trPr>
          <w:trHeight w:val="176"/>
        </w:trPr>
        <w:tc>
          <w:tcPr>
            <w:tcW w:w="2020" w:type="dxa"/>
            <w:vAlign w:val="bottom"/>
          </w:tcPr>
          <w:p>
            <w:pPr>
              <w:ind w:left="60"/>
              <w:spacing w:after="0"/>
              <w:rPr>
                <w:sz w:val="20"/>
                <w:szCs w:val="20"/>
                <w:color w:val="auto"/>
              </w:rPr>
            </w:pPr>
            <w:r>
              <w:rPr>
                <w:rFonts w:ascii="Arial" w:cs="Arial" w:eastAsia="Arial" w:hAnsi="Arial"/>
                <w:sz w:val="14"/>
                <w:szCs w:val="14"/>
                <w:color w:val="auto"/>
              </w:rPr>
              <w:t>Termination by Company</w:t>
            </w:r>
          </w:p>
        </w:tc>
        <w:tc>
          <w:tcPr>
            <w:tcW w:w="1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20" w:type="dxa"/>
            <w:vAlign w:val="bottom"/>
          </w:tcPr>
          <w:p>
            <w:pPr>
              <w:ind w:left="60"/>
              <w:spacing w:after="0"/>
              <w:rPr>
                <w:sz w:val="20"/>
                <w:szCs w:val="20"/>
                <w:color w:val="auto"/>
              </w:rPr>
            </w:pPr>
            <w:r>
              <w:rPr>
                <w:rFonts w:ascii="Arial" w:cs="Arial" w:eastAsia="Arial" w:hAnsi="Arial"/>
                <w:sz w:val="14"/>
                <w:szCs w:val="14"/>
                <w:color w:val="auto"/>
              </w:rPr>
              <w:t>without “cause”</w:t>
            </w:r>
          </w:p>
        </w:tc>
        <w:tc>
          <w:tcPr>
            <w:tcW w:w="136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1640" w:type="dxa"/>
            <w:vAlign w:val="bottom"/>
          </w:tcPr>
          <w:p>
            <w:pPr>
              <w:jc w:val="right"/>
              <w:spacing w:after="0"/>
              <w:rPr>
                <w:sz w:val="20"/>
                <w:szCs w:val="20"/>
                <w:color w:val="auto"/>
              </w:rPr>
            </w:pPr>
            <w:r>
              <w:rPr>
                <w:rFonts w:ascii="Arial" w:cs="Arial" w:eastAsia="Arial" w:hAnsi="Arial"/>
                <w:sz w:val="14"/>
                <w:szCs w:val="14"/>
                <w:color w:val="auto"/>
              </w:rPr>
              <w:t>2,480,232</w:t>
            </w:r>
          </w:p>
        </w:tc>
        <w:tc>
          <w:tcPr>
            <w:tcW w:w="2700" w:type="dxa"/>
            <w:vAlign w:val="bottom"/>
          </w:tcPr>
          <w:p>
            <w:pPr>
              <w:jc w:val="right"/>
              <w:ind w:right="108"/>
              <w:spacing w:after="0"/>
              <w:rPr>
                <w:sz w:val="20"/>
                <w:szCs w:val="20"/>
                <w:color w:val="auto"/>
              </w:rPr>
            </w:pPr>
            <w:r>
              <w:rPr>
                <w:rFonts w:ascii="Arial" w:cs="Arial" w:eastAsia="Arial" w:hAnsi="Arial"/>
                <w:sz w:val="14"/>
                <w:szCs w:val="14"/>
                <w:color w:val="auto"/>
              </w:rPr>
              <w:t>35,789</w:t>
            </w:r>
          </w:p>
        </w:tc>
        <w:tc>
          <w:tcPr>
            <w:tcW w:w="1420" w:type="dxa"/>
            <w:vAlign w:val="bottom"/>
          </w:tcPr>
          <w:p>
            <w:pPr>
              <w:jc w:val="right"/>
              <w:ind w:right="48"/>
              <w:spacing w:after="0"/>
              <w:rPr>
                <w:sz w:val="20"/>
                <w:szCs w:val="20"/>
                <w:color w:val="auto"/>
              </w:rPr>
            </w:pPr>
            <w:r>
              <w:rPr>
                <w:rFonts w:ascii="Arial" w:cs="Arial" w:eastAsia="Arial" w:hAnsi="Arial"/>
                <w:sz w:val="14"/>
                <w:szCs w:val="14"/>
                <w:color w:val="auto"/>
              </w:rPr>
              <w:t>5,000</w:t>
            </w:r>
          </w:p>
        </w:tc>
        <w:tc>
          <w:tcPr>
            <w:tcW w:w="900" w:type="dxa"/>
            <w:vAlign w:val="bottom"/>
          </w:tcPr>
          <w:p>
            <w:pPr>
              <w:jc w:val="right"/>
              <w:spacing w:after="0"/>
              <w:rPr>
                <w:sz w:val="20"/>
                <w:szCs w:val="20"/>
                <w:color w:val="auto"/>
              </w:rPr>
            </w:pPr>
            <w:r>
              <w:rPr>
                <w:rFonts w:ascii="Arial" w:cs="Arial" w:eastAsia="Arial" w:hAnsi="Arial"/>
                <w:sz w:val="14"/>
                <w:szCs w:val="14"/>
                <w:color w:val="auto"/>
              </w:rPr>
              <w:t>2,521,022</w:t>
            </w:r>
          </w:p>
        </w:tc>
        <w:tc>
          <w:tcPr>
            <w:tcW w:w="0" w:type="dxa"/>
            <w:vAlign w:val="bottom"/>
          </w:tcPr>
          <w:p>
            <w:pPr>
              <w:spacing w:after="0"/>
              <w:rPr>
                <w:sz w:val="1"/>
                <w:szCs w:val="1"/>
                <w:color w:val="auto"/>
              </w:rPr>
            </w:pPr>
          </w:p>
        </w:tc>
      </w:tr>
      <w:tr>
        <w:trPr>
          <w:trHeight w:val="230"/>
        </w:trPr>
        <w:tc>
          <w:tcPr>
            <w:tcW w:w="2020" w:type="dxa"/>
            <w:vAlign w:val="bottom"/>
          </w:tcPr>
          <w:p>
            <w:pPr>
              <w:ind w:left="60"/>
              <w:spacing w:after="0"/>
              <w:rPr>
                <w:sz w:val="20"/>
                <w:szCs w:val="20"/>
                <w:color w:val="auto"/>
              </w:rPr>
            </w:pPr>
            <w:r>
              <w:rPr>
                <w:rFonts w:ascii="Arial" w:cs="Arial" w:eastAsia="Arial" w:hAnsi="Arial"/>
                <w:sz w:val="14"/>
                <w:szCs w:val="14"/>
                <w:color w:val="auto"/>
              </w:rPr>
              <w:t>Death or disability</w:t>
            </w:r>
          </w:p>
        </w:tc>
        <w:tc>
          <w:tcPr>
            <w:tcW w:w="136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1640" w:type="dxa"/>
            <w:vAlign w:val="bottom"/>
          </w:tcPr>
          <w:p>
            <w:pPr>
              <w:jc w:val="right"/>
              <w:spacing w:after="0"/>
              <w:rPr>
                <w:sz w:val="20"/>
                <w:szCs w:val="20"/>
                <w:color w:val="auto"/>
              </w:rPr>
            </w:pPr>
            <w:r>
              <w:rPr>
                <w:rFonts w:ascii="Arial" w:cs="Arial" w:eastAsia="Arial" w:hAnsi="Arial"/>
                <w:sz w:val="14"/>
                <w:szCs w:val="14"/>
                <w:color w:val="auto"/>
              </w:rPr>
              <w:t>-</w:t>
            </w:r>
          </w:p>
        </w:tc>
        <w:tc>
          <w:tcPr>
            <w:tcW w:w="27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
        </w:trPr>
        <w:tc>
          <w:tcPr>
            <w:tcW w:w="20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7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7"/>
        </w:trPr>
        <w:tc>
          <w:tcPr>
            <w:tcW w:w="2020" w:type="dxa"/>
            <w:vAlign w:val="bottom"/>
          </w:tcPr>
          <w:p>
            <w:pPr>
              <w:ind w:left="60"/>
              <w:spacing w:after="0"/>
              <w:rPr>
                <w:sz w:val="20"/>
                <w:szCs w:val="20"/>
                <w:color w:val="auto"/>
              </w:rPr>
            </w:pPr>
            <w:r>
              <w:rPr>
                <w:rFonts w:ascii="Arial" w:cs="Arial" w:eastAsia="Arial" w:hAnsi="Arial"/>
                <w:sz w:val="14"/>
                <w:szCs w:val="14"/>
                <w:b w:val="1"/>
                <w:bCs w:val="1"/>
                <w:color w:val="auto"/>
              </w:rPr>
              <w:t>Paul Hennessy</w:t>
            </w:r>
          </w:p>
        </w:tc>
        <w:tc>
          <w:tcPr>
            <w:tcW w:w="1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2020" w:type="dxa"/>
            <w:vAlign w:val="bottom"/>
          </w:tcPr>
          <w:p>
            <w:pPr>
              <w:ind w:left="60"/>
              <w:spacing w:after="0"/>
              <w:rPr>
                <w:sz w:val="20"/>
                <w:szCs w:val="20"/>
                <w:color w:val="auto"/>
              </w:rPr>
            </w:pPr>
            <w:r>
              <w:rPr>
                <w:rFonts w:ascii="Arial" w:cs="Arial" w:eastAsia="Arial" w:hAnsi="Arial"/>
                <w:sz w:val="14"/>
                <w:szCs w:val="14"/>
                <w:color w:val="auto"/>
              </w:rPr>
              <w:t>Change in Control</w:t>
            </w:r>
            <w:r>
              <w:rPr>
                <w:rFonts w:ascii="Arial" w:cs="Arial" w:eastAsia="Arial" w:hAnsi="Arial"/>
                <w:sz w:val="18"/>
                <w:szCs w:val="18"/>
                <w:color w:val="auto"/>
                <w:vertAlign w:val="superscript"/>
              </w:rPr>
              <w:t>(3)</w:t>
            </w:r>
          </w:p>
        </w:tc>
        <w:tc>
          <w:tcPr>
            <w:tcW w:w="1360" w:type="dxa"/>
            <w:vAlign w:val="bottom"/>
          </w:tcPr>
          <w:p>
            <w:pPr>
              <w:jc w:val="right"/>
              <w:spacing w:after="0"/>
              <w:rPr>
                <w:sz w:val="20"/>
                <w:szCs w:val="20"/>
                <w:color w:val="auto"/>
              </w:rPr>
            </w:pPr>
            <w:r>
              <w:rPr>
                <w:rFonts w:ascii="Arial" w:cs="Arial" w:eastAsia="Arial" w:hAnsi="Arial"/>
                <w:sz w:val="14"/>
                <w:szCs w:val="14"/>
                <w:color w:val="auto"/>
              </w:rPr>
              <w:t>1,050,000</w:t>
            </w:r>
          </w:p>
        </w:tc>
        <w:tc>
          <w:tcPr>
            <w:tcW w:w="1200" w:type="dxa"/>
            <w:vAlign w:val="bottom"/>
          </w:tcPr>
          <w:p>
            <w:pPr>
              <w:jc w:val="right"/>
              <w:ind w:right="11"/>
              <w:spacing w:after="0"/>
              <w:rPr>
                <w:sz w:val="20"/>
                <w:szCs w:val="20"/>
                <w:color w:val="auto"/>
              </w:rPr>
            </w:pPr>
            <w:r>
              <w:rPr>
                <w:rFonts w:ascii="Arial" w:cs="Arial" w:eastAsia="Arial" w:hAnsi="Arial"/>
                <w:sz w:val="14"/>
                <w:szCs w:val="14"/>
                <w:color w:val="auto"/>
              </w:rPr>
              <w:t>700,000</w:t>
            </w:r>
          </w:p>
        </w:tc>
        <w:tc>
          <w:tcPr>
            <w:tcW w:w="1640" w:type="dxa"/>
            <w:vAlign w:val="bottom"/>
          </w:tcPr>
          <w:p>
            <w:pPr>
              <w:jc w:val="right"/>
              <w:spacing w:after="0"/>
              <w:rPr>
                <w:sz w:val="20"/>
                <w:szCs w:val="20"/>
                <w:color w:val="auto"/>
              </w:rPr>
            </w:pPr>
            <w:r>
              <w:rPr>
                <w:rFonts w:ascii="Arial" w:cs="Arial" w:eastAsia="Arial" w:hAnsi="Arial"/>
                <w:sz w:val="14"/>
                <w:szCs w:val="14"/>
                <w:color w:val="auto"/>
              </w:rPr>
              <w:t>17,009,749</w:t>
            </w:r>
          </w:p>
        </w:tc>
        <w:tc>
          <w:tcPr>
            <w:tcW w:w="2700" w:type="dxa"/>
            <w:vAlign w:val="bottom"/>
          </w:tcPr>
          <w:p>
            <w:pPr>
              <w:jc w:val="right"/>
              <w:ind w:right="108"/>
              <w:spacing w:after="0"/>
              <w:rPr>
                <w:sz w:val="20"/>
                <w:szCs w:val="20"/>
                <w:color w:val="auto"/>
              </w:rPr>
            </w:pPr>
            <w:r>
              <w:rPr>
                <w:rFonts w:ascii="Arial" w:cs="Arial" w:eastAsia="Arial" w:hAnsi="Arial"/>
                <w:sz w:val="14"/>
                <w:szCs w:val="14"/>
                <w:color w:val="auto"/>
              </w:rPr>
              <w:t>23,605</w:t>
            </w:r>
          </w:p>
        </w:tc>
        <w:tc>
          <w:tcPr>
            <w:tcW w:w="14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18,783,353</w:t>
            </w:r>
          </w:p>
        </w:tc>
        <w:tc>
          <w:tcPr>
            <w:tcW w:w="0" w:type="dxa"/>
            <w:vAlign w:val="bottom"/>
          </w:tcPr>
          <w:p>
            <w:pPr>
              <w:spacing w:after="0"/>
              <w:rPr>
                <w:sz w:val="1"/>
                <w:szCs w:val="1"/>
                <w:color w:val="auto"/>
              </w:rPr>
            </w:pPr>
          </w:p>
        </w:tc>
      </w:tr>
      <w:tr>
        <w:trPr>
          <w:trHeight w:val="176"/>
        </w:trPr>
        <w:tc>
          <w:tcPr>
            <w:tcW w:w="2020" w:type="dxa"/>
            <w:vAlign w:val="bottom"/>
          </w:tcPr>
          <w:p>
            <w:pPr>
              <w:ind w:left="60"/>
              <w:spacing w:after="0"/>
              <w:rPr>
                <w:sz w:val="20"/>
                <w:szCs w:val="20"/>
                <w:color w:val="auto"/>
              </w:rPr>
            </w:pPr>
            <w:r>
              <w:rPr>
                <w:rFonts w:ascii="Arial" w:cs="Arial" w:eastAsia="Arial" w:hAnsi="Arial"/>
                <w:sz w:val="14"/>
                <w:szCs w:val="14"/>
                <w:color w:val="auto"/>
              </w:rPr>
              <w:t>Termination by Company</w:t>
            </w:r>
          </w:p>
        </w:tc>
        <w:tc>
          <w:tcPr>
            <w:tcW w:w="1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20" w:type="dxa"/>
            <w:vAlign w:val="bottom"/>
          </w:tcPr>
          <w:p>
            <w:pPr>
              <w:ind w:left="60"/>
              <w:spacing w:after="0"/>
              <w:rPr>
                <w:sz w:val="20"/>
                <w:szCs w:val="20"/>
                <w:color w:val="auto"/>
              </w:rPr>
            </w:pPr>
            <w:r>
              <w:rPr>
                <w:rFonts w:ascii="Arial" w:cs="Arial" w:eastAsia="Arial" w:hAnsi="Arial"/>
                <w:sz w:val="14"/>
                <w:szCs w:val="14"/>
                <w:color w:val="auto"/>
              </w:rPr>
              <w:t>without “cause”</w:t>
            </w:r>
          </w:p>
        </w:tc>
        <w:tc>
          <w:tcPr>
            <w:tcW w:w="1360" w:type="dxa"/>
            <w:vAlign w:val="bottom"/>
          </w:tcPr>
          <w:p>
            <w:pPr>
              <w:jc w:val="right"/>
              <w:spacing w:after="0"/>
              <w:rPr>
                <w:sz w:val="20"/>
                <w:szCs w:val="20"/>
                <w:color w:val="auto"/>
              </w:rPr>
            </w:pPr>
            <w:r>
              <w:rPr>
                <w:rFonts w:ascii="Arial" w:cs="Arial" w:eastAsia="Arial" w:hAnsi="Arial"/>
                <w:sz w:val="14"/>
                <w:szCs w:val="14"/>
                <w:color w:val="auto"/>
              </w:rPr>
              <w:t>1,050,000</w:t>
            </w:r>
          </w:p>
        </w:tc>
        <w:tc>
          <w:tcPr>
            <w:tcW w:w="1200" w:type="dxa"/>
            <w:vAlign w:val="bottom"/>
          </w:tcPr>
          <w:p>
            <w:pPr>
              <w:jc w:val="right"/>
              <w:ind w:right="11"/>
              <w:spacing w:after="0"/>
              <w:rPr>
                <w:sz w:val="20"/>
                <w:szCs w:val="20"/>
                <w:color w:val="auto"/>
              </w:rPr>
            </w:pPr>
            <w:r>
              <w:rPr>
                <w:rFonts w:ascii="Arial" w:cs="Arial" w:eastAsia="Arial" w:hAnsi="Arial"/>
                <w:sz w:val="14"/>
                <w:szCs w:val="14"/>
                <w:color w:val="auto"/>
              </w:rPr>
              <w:t>700,000</w:t>
            </w:r>
          </w:p>
        </w:tc>
        <w:tc>
          <w:tcPr>
            <w:tcW w:w="1640" w:type="dxa"/>
            <w:vAlign w:val="bottom"/>
          </w:tcPr>
          <w:p>
            <w:pPr>
              <w:jc w:val="right"/>
              <w:spacing w:after="0"/>
              <w:rPr>
                <w:sz w:val="20"/>
                <w:szCs w:val="20"/>
                <w:color w:val="auto"/>
              </w:rPr>
            </w:pPr>
            <w:r>
              <w:rPr>
                <w:rFonts w:ascii="Arial" w:cs="Arial" w:eastAsia="Arial" w:hAnsi="Arial"/>
                <w:sz w:val="14"/>
                <w:szCs w:val="14"/>
                <w:color w:val="auto"/>
              </w:rPr>
              <w:t>11,525,451</w:t>
            </w:r>
          </w:p>
        </w:tc>
        <w:tc>
          <w:tcPr>
            <w:tcW w:w="2700" w:type="dxa"/>
            <w:vAlign w:val="bottom"/>
          </w:tcPr>
          <w:p>
            <w:pPr>
              <w:jc w:val="right"/>
              <w:ind w:right="108"/>
              <w:spacing w:after="0"/>
              <w:rPr>
                <w:sz w:val="20"/>
                <w:szCs w:val="20"/>
                <w:color w:val="auto"/>
              </w:rPr>
            </w:pPr>
            <w:r>
              <w:rPr>
                <w:rFonts w:ascii="Arial" w:cs="Arial" w:eastAsia="Arial" w:hAnsi="Arial"/>
                <w:sz w:val="14"/>
                <w:szCs w:val="14"/>
                <w:color w:val="auto"/>
              </w:rPr>
              <w:t>35,407</w:t>
            </w:r>
          </w:p>
        </w:tc>
        <w:tc>
          <w:tcPr>
            <w:tcW w:w="14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13,310,858</w:t>
            </w:r>
          </w:p>
        </w:tc>
        <w:tc>
          <w:tcPr>
            <w:tcW w:w="0" w:type="dxa"/>
            <w:vAlign w:val="bottom"/>
          </w:tcPr>
          <w:p>
            <w:pPr>
              <w:spacing w:after="0"/>
              <w:rPr>
                <w:sz w:val="1"/>
                <w:szCs w:val="1"/>
                <w:color w:val="auto"/>
              </w:rPr>
            </w:pPr>
          </w:p>
        </w:tc>
      </w:tr>
      <w:tr>
        <w:trPr>
          <w:trHeight w:val="230"/>
        </w:trPr>
        <w:tc>
          <w:tcPr>
            <w:tcW w:w="2020" w:type="dxa"/>
            <w:vAlign w:val="bottom"/>
          </w:tcPr>
          <w:p>
            <w:pPr>
              <w:ind w:left="60"/>
              <w:spacing w:after="0"/>
              <w:rPr>
                <w:sz w:val="20"/>
                <w:szCs w:val="20"/>
                <w:color w:val="auto"/>
              </w:rPr>
            </w:pPr>
            <w:r>
              <w:rPr>
                <w:rFonts w:ascii="Arial" w:cs="Arial" w:eastAsia="Arial" w:hAnsi="Arial"/>
                <w:sz w:val="14"/>
                <w:szCs w:val="14"/>
                <w:color w:val="auto"/>
              </w:rPr>
              <w:t>Death or disability</w:t>
            </w:r>
          </w:p>
        </w:tc>
        <w:tc>
          <w:tcPr>
            <w:tcW w:w="136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1640" w:type="dxa"/>
            <w:vAlign w:val="bottom"/>
          </w:tcPr>
          <w:p>
            <w:pPr>
              <w:jc w:val="right"/>
              <w:spacing w:after="0"/>
              <w:rPr>
                <w:sz w:val="20"/>
                <w:szCs w:val="20"/>
                <w:color w:val="auto"/>
              </w:rPr>
            </w:pPr>
            <w:r>
              <w:rPr>
                <w:rFonts w:ascii="Arial" w:cs="Arial" w:eastAsia="Arial" w:hAnsi="Arial"/>
                <w:sz w:val="14"/>
                <w:szCs w:val="14"/>
                <w:color w:val="auto"/>
              </w:rPr>
              <w:t>-</w:t>
            </w:r>
          </w:p>
        </w:tc>
        <w:tc>
          <w:tcPr>
            <w:tcW w:w="27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
        </w:trPr>
        <w:tc>
          <w:tcPr>
            <w:tcW w:w="20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7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7"/>
        </w:trPr>
        <w:tc>
          <w:tcPr>
            <w:tcW w:w="2020" w:type="dxa"/>
            <w:vAlign w:val="bottom"/>
          </w:tcPr>
          <w:p>
            <w:pPr>
              <w:ind w:left="60"/>
              <w:spacing w:after="0"/>
              <w:rPr>
                <w:sz w:val="20"/>
                <w:szCs w:val="20"/>
                <w:color w:val="auto"/>
              </w:rPr>
            </w:pPr>
            <w:r>
              <w:rPr>
                <w:rFonts w:ascii="Arial" w:cs="Arial" w:eastAsia="Arial" w:hAnsi="Arial"/>
                <w:sz w:val="14"/>
                <w:szCs w:val="14"/>
                <w:b w:val="1"/>
                <w:bCs w:val="1"/>
                <w:color w:val="auto"/>
              </w:rPr>
              <w:t>Rik Powell</w:t>
            </w:r>
          </w:p>
        </w:tc>
        <w:tc>
          <w:tcPr>
            <w:tcW w:w="1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2020" w:type="dxa"/>
            <w:vAlign w:val="bottom"/>
          </w:tcPr>
          <w:p>
            <w:pPr>
              <w:ind w:left="60"/>
              <w:spacing w:after="0"/>
              <w:rPr>
                <w:sz w:val="20"/>
                <w:szCs w:val="20"/>
                <w:color w:val="auto"/>
              </w:rPr>
            </w:pPr>
            <w:r>
              <w:rPr>
                <w:rFonts w:ascii="Arial" w:cs="Arial" w:eastAsia="Arial" w:hAnsi="Arial"/>
                <w:sz w:val="14"/>
                <w:szCs w:val="14"/>
                <w:color w:val="auto"/>
              </w:rPr>
              <w:t>Change in Control</w:t>
            </w:r>
            <w:r>
              <w:rPr>
                <w:rFonts w:ascii="Arial" w:cs="Arial" w:eastAsia="Arial" w:hAnsi="Arial"/>
                <w:sz w:val="18"/>
                <w:szCs w:val="18"/>
                <w:b w:val="1"/>
                <w:bCs w:val="1"/>
                <w:color w:val="auto"/>
                <w:vertAlign w:val="superscript"/>
              </w:rPr>
              <w:t>(3)</w:t>
            </w:r>
          </w:p>
        </w:tc>
        <w:tc>
          <w:tcPr>
            <w:tcW w:w="1360" w:type="dxa"/>
            <w:vAlign w:val="bottom"/>
          </w:tcPr>
          <w:p>
            <w:pPr>
              <w:jc w:val="right"/>
              <w:spacing w:after="0"/>
              <w:rPr>
                <w:sz w:val="20"/>
                <w:szCs w:val="20"/>
                <w:color w:val="auto"/>
              </w:rPr>
            </w:pPr>
            <w:r>
              <w:rPr>
                <w:rFonts w:ascii="Arial" w:cs="Arial" w:eastAsia="Arial" w:hAnsi="Arial"/>
                <w:sz w:val="14"/>
                <w:szCs w:val="14"/>
                <w:color w:val="auto"/>
              </w:rPr>
              <w:t>450,000</w:t>
            </w:r>
          </w:p>
        </w:tc>
        <w:tc>
          <w:tcPr>
            <w:tcW w:w="1200" w:type="dxa"/>
            <w:vAlign w:val="bottom"/>
          </w:tcPr>
          <w:p>
            <w:pPr>
              <w:jc w:val="right"/>
              <w:ind w:right="11"/>
              <w:spacing w:after="0"/>
              <w:rPr>
                <w:sz w:val="20"/>
                <w:szCs w:val="20"/>
                <w:color w:val="auto"/>
              </w:rPr>
            </w:pPr>
            <w:r>
              <w:rPr>
                <w:rFonts w:ascii="Arial" w:cs="Arial" w:eastAsia="Arial" w:hAnsi="Arial"/>
                <w:sz w:val="14"/>
                <w:szCs w:val="14"/>
                <w:color w:val="auto"/>
              </w:rPr>
              <w:t>270,000</w:t>
            </w:r>
          </w:p>
        </w:tc>
        <w:tc>
          <w:tcPr>
            <w:tcW w:w="1640" w:type="dxa"/>
            <w:vAlign w:val="bottom"/>
          </w:tcPr>
          <w:p>
            <w:pPr>
              <w:jc w:val="right"/>
              <w:spacing w:after="0"/>
              <w:rPr>
                <w:sz w:val="20"/>
                <w:szCs w:val="20"/>
                <w:color w:val="auto"/>
              </w:rPr>
            </w:pPr>
            <w:r>
              <w:rPr>
                <w:rFonts w:ascii="Arial" w:cs="Arial" w:eastAsia="Arial" w:hAnsi="Arial"/>
                <w:sz w:val="14"/>
                <w:szCs w:val="14"/>
                <w:color w:val="auto"/>
              </w:rPr>
              <w:t>601,841</w:t>
            </w:r>
          </w:p>
        </w:tc>
        <w:tc>
          <w:tcPr>
            <w:tcW w:w="2700" w:type="dxa"/>
            <w:vAlign w:val="bottom"/>
          </w:tcPr>
          <w:p>
            <w:pPr>
              <w:jc w:val="right"/>
              <w:ind w:right="108"/>
              <w:spacing w:after="0"/>
              <w:rPr>
                <w:sz w:val="20"/>
                <w:szCs w:val="20"/>
                <w:color w:val="auto"/>
              </w:rPr>
            </w:pPr>
            <w:r>
              <w:rPr>
                <w:rFonts w:ascii="Arial" w:cs="Arial" w:eastAsia="Arial" w:hAnsi="Arial"/>
                <w:sz w:val="14"/>
                <w:szCs w:val="14"/>
                <w:color w:val="auto"/>
              </w:rPr>
              <w:t>11,781</w:t>
            </w:r>
          </w:p>
        </w:tc>
        <w:tc>
          <w:tcPr>
            <w:tcW w:w="14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1,333,622</w:t>
            </w:r>
          </w:p>
        </w:tc>
        <w:tc>
          <w:tcPr>
            <w:tcW w:w="0" w:type="dxa"/>
            <w:vAlign w:val="bottom"/>
          </w:tcPr>
          <w:p>
            <w:pPr>
              <w:spacing w:after="0"/>
              <w:rPr>
                <w:sz w:val="1"/>
                <w:szCs w:val="1"/>
                <w:color w:val="auto"/>
              </w:rPr>
            </w:pPr>
          </w:p>
        </w:tc>
      </w:tr>
      <w:tr>
        <w:trPr>
          <w:trHeight w:val="175"/>
        </w:trPr>
        <w:tc>
          <w:tcPr>
            <w:tcW w:w="2020" w:type="dxa"/>
            <w:vAlign w:val="bottom"/>
          </w:tcPr>
          <w:p>
            <w:pPr>
              <w:ind w:left="60"/>
              <w:spacing w:after="0"/>
              <w:rPr>
                <w:sz w:val="20"/>
                <w:szCs w:val="20"/>
                <w:color w:val="auto"/>
              </w:rPr>
            </w:pPr>
            <w:r>
              <w:rPr>
                <w:rFonts w:ascii="Arial" w:cs="Arial" w:eastAsia="Arial" w:hAnsi="Arial"/>
                <w:sz w:val="14"/>
                <w:szCs w:val="14"/>
                <w:color w:val="auto"/>
              </w:rPr>
              <w:t>Termination by Company</w:t>
            </w:r>
          </w:p>
        </w:tc>
        <w:tc>
          <w:tcPr>
            <w:tcW w:w="1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20" w:type="dxa"/>
            <w:vAlign w:val="bottom"/>
          </w:tcPr>
          <w:p>
            <w:pPr>
              <w:ind w:left="60"/>
              <w:spacing w:after="0"/>
              <w:rPr>
                <w:sz w:val="20"/>
                <w:szCs w:val="20"/>
                <w:color w:val="auto"/>
              </w:rPr>
            </w:pPr>
            <w:r>
              <w:rPr>
                <w:rFonts w:ascii="Arial" w:cs="Arial" w:eastAsia="Arial" w:hAnsi="Arial"/>
                <w:sz w:val="14"/>
                <w:szCs w:val="14"/>
                <w:color w:val="auto"/>
              </w:rPr>
              <w:t>without “cause”</w:t>
            </w:r>
          </w:p>
        </w:tc>
        <w:tc>
          <w:tcPr>
            <w:tcW w:w="1360" w:type="dxa"/>
            <w:vAlign w:val="bottom"/>
          </w:tcPr>
          <w:p>
            <w:pPr>
              <w:jc w:val="right"/>
              <w:spacing w:after="0"/>
              <w:rPr>
                <w:sz w:val="20"/>
                <w:szCs w:val="20"/>
                <w:color w:val="auto"/>
              </w:rPr>
            </w:pPr>
            <w:r>
              <w:rPr>
                <w:rFonts w:ascii="Arial" w:cs="Arial" w:eastAsia="Arial" w:hAnsi="Arial"/>
                <w:sz w:val="14"/>
                <w:szCs w:val="14"/>
                <w:color w:val="auto"/>
              </w:rPr>
              <w:t>450,000</w:t>
            </w:r>
          </w:p>
        </w:tc>
        <w:tc>
          <w:tcPr>
            <w:tcW w:w="1200" w:type="dxa"/>
            <w:vAlign w:val="bottom"/>
          </w:tcPr>
          <w:p>
            <w:pPr>
              <w:jc w:val="right"/>
              <w:ind w:right="11"/>
              <w:spacing w:after="0"/>
              <w:rPr>
                <w:sz w:val="20"/>
                <w:szCs w:val="20"/>
                <w:color w:val="auto"/>
              </w:rPr>
            </w:pPr>
            <w:r>
              <w:rPr>
                <w:rFonts w:ascii="Arial" w:cs="Arial" w:eastAsia="Arial" w:hAnsi="Arial"/>
                <w:sz w:val="14"/>
                <w:szCs w:val="14"/>
                <w:color w:val="auto"/>
              </w:rPr>
              <w:t>270,000</w:t>
            </w:r>
          </w:p>
        </w:tc>
        <w:tc>
          <w:tcPr>
            <w:tcW w:w="1640" w:type="dxa"/>
            <w:vAlign w:val="bottom"/>
          </w:tcPr>
          <w:p>
            <w:pPr>
              <w:jc w:val="right"/>
              <w:spacing w:after="0"/>
              <w:rPr>
                <w:sz w:val="20"/>
                <w:szCs w:val="20"/>
                <w:color w:val="auto"/>
              </w:rPr>
            </w:pPr>
            <w:r>
              <w:rPr>
                <w:rFonts w:ascii="Arial" w:cs="Arial" w:eastAsia="Arial" w:hAnsi="Arial"/>
                <w:sz w:val="14"/>
                <w:szCs w:val="14"/>
                <w:color w:val="auto"/>
              </w:rPr>
              <w:t>178,033</w:t>
            </w:r>
          </w:p>
        </w:tc>
        <w:tc>
          <w:tcPr>
            <w:tcW w:w="2700" w:type="dxa"/>
            <w:vAlign w:val="bottom"/>
          </w:tcPr>
          <w:p>
            <w:pPr>
              <w:jc w:val="right"/>
              <w:ind w:right="108"/>
              <w:spacing w:after="0"/>
              <w:rPr>
                <w:sz w:val="20"/>
                <w:szCs w:val="20"/>
                <w:color w:val="auto"/>
              </w:rPr>
            </w:pPr>
            <w:r>
              <w:rPr>
                <w:rFonts w:ascii="Arial" w:cs="Arial" w:eastAsia="Arial" w:hAnsi="Arial"/>
                <w:sz w:val="14"/>
                <w:szCs w:val="14"/>
                <w:color w:val="auto"/>
              </w:rPr>
              <w:t>11,781</w:t>
            </w:r>
          </w:p>
        </w:tc>
        <w:tc>
          <w:tcPr>
            <w:tcW w:w="14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909,814</w:t>
            </w:r>
          </w:p>
        </w:tc>
        <w:tc>
          <w:tcPr>
            <w:tcW w:w="0" w:type="dxa"/>
            <w:vAlign w:val="bottom"/>
          </w:tcPr>
          <w:p>
            <w:pPr>
              <w:spacing w:after="0"/>
              <w:rPr>
                <w:sz w:val="1"/>
                <w:szCs w:val="1"/>
                <w:color w:val="auto"/>
              </w:rPr>
            </w:pPr>
          </w:p>
        </w:tc>
      </w:tr>
      <w:tr>
        <w:trPr>
          <w:trHeight w:val="229"/>
        </w:trPr>
        <w:tc>
          <w:tcPr>
            <w:tcW w:w="2020" w:type="dxa"/>
            <w:vAlign w:val="bottom"/>
          </w:tcPr>
          <w:p>
            <w:pPr>
              <w:ind w:left="60"/>
              <w:spacing w:after="0"/>
              <w:rPr>
                <w:sz w:val="20"/>
                <w:szCs w:val="20"/>
                <w:color w:val="auto"/>
              </w:rPr>
            </w:pPr>
            <w:r>
              <w:rPr>
                <w:rFonts w:ascii="Arial" w:cs="Arial" w:eastAsia="Arial" w:hAnsi="Arial"/>
                <w:sz w:val="14"/>
                <w:szCs w:val="14"/>
                <w:color w:val="auto"/>
              </w:rPr>
              <w:t>Death or disability</w:t>
            </w:r>
          </w:p>
        </w:tc>
        <w:tc>
          <w:tcPr>
            <w:tcW w:w="136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1640" w:type="dxa"/>
            <w:vAlign w:val="bottom"/>
          </w:tcPr>
          <w:p>
            <w:pPr>
              <w:jc w:val="right"/>
              <w:spacing w:after="0"/>
              <w:rPr>
                <w:sz w:val="20"/>
                <w:szCs w:val="20"/>
                <w:color w:val="auto"/>
              </w:rPr>
            </w:pPr>
            <w:r>
              <w:rPr>
                <w:rFonts w:ascii="Arial" w:cs="Arial" w:eastAsia="Arial" w:hAnsi="Arial"/>
                <w:sz w:val="14"/>
                <w:szCs w:val="14"/>
                <w:color w:val="auto"/>
              </w:rPr>
              <w:t>-</w:t>
            </w:r>
          </w:p>
        </w:tc>
        <w:tc>
          <w:tcPr>
            <w:tcW w:w="27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
        </w:trPr>
        <w:tc>
          <w:tcPr>
            <w:tcW w:w="20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7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right="100" w:firstLine="8"/>
        <w:spacing w:after="0" w:line="269" w:lineRule="auto"/>
        <w:tabs>
          <w:tab w:leader="none" w:pos="328" w:val="left"/>
        </w:tabs>
        <w:numPr>
          <w:ilvl w:val="0"/>
          <w:numId w:val="41"/>
        </w:numPr>
        <w:rPr>
          <w:rFonts w:ascii="Arial" w:cs="Arial" w:eastAsia="Arial" w:hAnsi="Arial"/>
          <w:sz w:val="14"/>
          <w:szCs w:val="14"/>
          <w:color w:val="auto"/>
        </w:rPr>
      </w:pPr>
      <w:r>
        <w:rPr>
          <w:rFonts w:ascii="Arial" w:cs="Arial" w:eastAsia="Arial" w:hAnsi="Arial"/>
          <w:sz w:val="14"/>
          <w:szCs w:val="14"/>
          <w:color w:val="auto"/>
        </w:rPr>
        <w:t>Aside from Mr. Oringer, each NEO’s employment agreement provides for a pro rata bonus for the year of termination, other than a termination in connection with a change in control, if performance targets are met and bonuses are paid to similarly situated executives, with such bonuses to be paid at the time such other bonuses are paid. Mr. Oringer’s Severance and CiC Agreement provides for a bonus payment equal to 100% of his target for the year of termination. Mr. Hennessy and Mr. Powell’s employment agreements provide for a bonus payment equal to 100% of each of their targets for the year of termination in connection with a change in control.</w:t>
      </w:r>
    </w:p>
    <w:p>
      <w:pPr>
        <w:spacing w:after="0" w:line="20" w:lineRule="exact"/>
        <w:rPr>
          <w:rFonts w:ascii="Arial" w:cs="Arial" w:eastAsia="Arial" w:hAnsi="Arial"/>
          <w:sz w:val="14"/>
          <w:szCs w:val="14"/>
          <w:color w:val="auto"/>
        </w:rPr>
      </w:pPr>
    </w:p>
    <w:p>
      <w:pPr>
        <w:jc w:val="both"/>
        <w:ind w:firstLine="8"/>
        <w:spacing w:after="0" w:line="267" w:lineRule="auto"/>
        <w:tabs>
          <w:tab w:leader="none" w:pos="358" w:val="left"/>
        </w:tabs>
        <w:numPr>
          <w:ilvl w:val="0"/>
          <w:numId w:val="41"/>
        </w:numPr>
        <w:rPr>
          <w:rFonts w:ascii="Arial" w:cs="Arial" w:eastAsia="Arial" w:hAnsi="Arial"/>
          <w:sz w:val="14"/>
          <w:szCs w:val="14"/>
          <w:color w:val="auto"/>
        </w:rPr>
      </w:pPr>
      <w:r>
        <w:rPr>
          <w:rFonts w:ascii="Arial" w:cs="Arial" w:eastAsia="Arial" w:hAnsi="Arial"/>
          <w:sz w:val="14"/>
          <w:szCs w:val="14"/>
          <w:color w:val="auto"/>
        </w:rPr>
        <w:t>Represents the value of unvested equity awards, based on the closing market price of our common stock of $30.35 per share on December 31, 2024, that would vest on an accelerated basis upon the occurrence of certain events. For Mr. Oringer, includes acceleration of vesting for performance-based RSUs assuming target performance was achieved on the assumed date of termination on December 31, 2024 and does not include any amount for acceleration of vesting of performance-based stock options because the target price of such stock options was greater than the closing market price of our Common Stock on December 31, 2024. Termination by the Company upon Change in Control, assumes full acceleration of vesting of the 2024 PSUs granted to the NEOs as if target performance was achieved for the three years of the performance period.</w:t>
      </w:r>
    </w:p>
    <w:p>
      <w:pPr>
        <w:spacing w:after="0" w:line="22" w:lineRule="exact"/>
        <w:rPr>
          <w:rFonts w:ascii="Arial" w:cs="Arial" w:eastAsia="Arial" w:hAnsi="Arial"/>
          <w:sz w:val="14"/>
          <w:szCs w:val="14"/>
          <w:color w:val="auto"/>
        </w:rPr>
      </w:pPr>
    </w:p>
    <w:p>
      <w:pPr>
        <w:ind w:right="20" w:firstLine="8"/>
        <w:spacing w:after="0" w:line="305" w:lineRule="auto"/>
        <w:tabs>
          <w:tab w:leader="none" w:pos="336" w:val="left"/>
        </w:tabs>
        <w:numPr>
          <w:ilvl w:val="0"/>
          <w:numId w:val="41"/>
        </w:numPr>
        <w:rPr>
          <w:rFonts w:ascii="Arial" w:cs="Arial" w:eastAsia="Arial" w:hAnsi="Arial"/>
          <w:sz w:val="14"/>
          <w:szCs w:val="14"/>
          <w:color w:val="auto"/>
        </w:rPr>
      </w:pPr>
      <w:r>
        <w:rPr>
          <w:rFonts w:ascii="Arial" w:cs="Arial" w:eastAsia="Arial" w:hAnsi="Arial"/>
          <w:sz w:val="14"/>
          <w:szCs w:val="14"/>
          <w:color w:val="auto"/>
        </w:rPr>
        <w:t>Represents change in control severance benefits based on a double-trigger arrangement, which assumes a “change in control” of the Company followed by the termination by the Company of an NEO without “cause”.</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Mr. Caine and Mr. Yahes Arrangements</w:t>
      </w:r>
    </w:p>
    <w:p>
      <w:pPr>
        <w:spacing w:after="0" w:line="11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On August 19, 2024, the Company notified John Caine that his employment as Chief Product and Digital Officer of the Company would end, effective August 23, 2024. In accordance with Section 7(a) of his Employment Agreement, Mr. Caine received his base salary for the 12-month severance period, a pro-rated annual bonus for the portion of fiscal 2024 that he served in his role, and accelerated vesting of the outstanding equity awards that would have become vested in the subsequent 12-month period. Mr. Caine forfeited his other outstanding equity awards as of August 23, 2024. The dollar amount of all benefits Mr. Caine received pursuant to the terms of his Employment Agreement in connection with this termination (including the value of outstanding equity awards that vested) was $2,045,033.52.</w:t>
      </w:r>
    </w:p>
    <w:p>
      <w:pPr>
        <w:spacing w:after="0" w:line="74" w:lineRule="exact"/>
        <w:rPr>
          <w:sz w:val="20"/>
          <w:szCs w:val="20"/>
          <w:color w:val="auto"/>
        </w:rPr>
      </w:pPr>
    </w:p>
    <w:p>
      <w:pPr>
        <w:ind w:right="80" w:firstLine="324"/>
        <w:spacing w:after="0" w:line="262" w:lineRule="auto"/>
        <w:rPr>
          <w:sz w:val="20"/>
          <w:szCs w:val="20"/>
          <w:color w:val="auto"/>
        </w:rPr>
      </w:pPr>
      <w:r>
        <w:rPr>
          <w:rFonts w:ascii="Arial" w:cs="Arial" w:eastAsia="Arial" w:hAnsi="Arial"/>
          <w:sz w:val="18"/>
          <w:szCs w:val="18"/>
          <w:color w:val="auto"/>
        </w:rPr>
        <w:t>On October 24, 2024, Jarrod Yahes notified the Company of his resignation as Chief Financial Officer, effective November 1, 2024. In connection with his voluntary resignation, Mr. Yahes received no accrued benefits for a voluntary resignation in accordance with Section 7(c) of the Employment Agreement dated November 7, 2019 by and between the Company and Mr. Yahes. Mr. Yahes’ outstanding unvested equity awards were forfeited as of November 1, 2024.</w:t>
      </w:r>
    </w:p>
    <w:p>
      <w:pPr>
        <w:spacing w:after="0" w:line="68" w:lineRule="exact"/>
        <w:rPr>
          <w:sz w:val="20"/>
          <w:szCs w:val="20"/>
          <w:color w:val="auto"/>
        </w:rPr>
      </w:pPr>
    </w:p>
    <w:p>
      <w:pPr>
        <w:ind w:right="60" w:firstLine="324"/>
        <w:spacing w:after="0" w:line="262" w:lineRule="auto"/>
        <w:rPr>
          <w:sz w:val="20"/>
          <w:szCs w:val="20"/>
          <w:color w:val="auto"/>
        </w:rPr>
      </w:pPr>
      <w:r>
        <w:rPr>
          <w:rFonts w:ascii="Arial" w:cs="Arial" w:eastAsia="Arial" w:hAnsi="Arial"/>
          <w:sz w:val="18"/>
          <w:szCs w:val="18"/>
          <w:color w:val="auto"/>
        </w:rPr>
        <w:t>Pursuant to a Transition Agreement entered into on October 31, 2024 between the Company and Mr. Yahes, Mr. Yahes will remain with the Company in an advisory role through December 31, 2024, during which time he continued to earn his annual base salary until December 31, 2024 and was eligible to earn an annual cash bonus for the full 2024 fiscal year in accordance with Sections 2(a) and 2(b) of the Employment Agreement. The amount earned by Mr. Yahes pursuant to the Transition Agreement was $455,806.15.</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240"/>
          </w:cols>
          <w:pgMar w:left="320" w:top="940" w:right="339" w:bottom="1440" w:gutter="0" w:footer="0" w:header="0"/>
        </w:sectPr>
      </w:pPr>
    </w:p>
    <w:bookmarkStart w:id="41" w:name="page42"/>
    <w:bookmarkEnd w:id="41"/>
    <w:p>
      <w:pPr>
        <w:ind w:left="2060"/>
        <w:spacing w:after="0"/>
        <w:rPr>
          <w:sz w:val="20"/>
          <w:szCs w:val="20"/>
          <w:color w:val="auto"/>
        </w:rPr>
      </w:pPr>
      <w:r>
        <w:rPr>
          <w:rFonts w:ascii="Arial" w:cs="Arial" w:eastAsia="Arial" w:hAnsi="Arial"/>
          <w:sz w:val="25"/>
          <w:szCs w:val="25"/>
          <w:b w:val="1"/>
          <w:bCs w:val="1"/>
          <w:color w:val="EF3A35"/>
        </w:rPr>
        <w:t>CERTAIN RELATIONSHIPS AND RELATED TRANSACTIONS</w:t>
      </w:r>
    </w:p>
    <w:p>
      <w:pPr>
        <w:spacing w:after="0" w:line="127" w:lineRule="exact"/>
        <w:rPr>
          <w:sz w:val="20"/>
          <w:szCs w:val="20"/>
          <w:color w:val="auto"/>
        </w:rPr>
      </w:pPr>
    </w:p>
    <w:p>
      <w:pPr>
        <w:spacing w:after="0"/>
        <w:rPr>
          <w:sz w:val="20"/>
          <w:szCs w:val="20"/>
          <w:color w:val="auto"/>
        </w:rPr>
      </w:pPr>
      <w:r>
        <w:rPr>
          <w:rFonts w:ascii="Arial" w:cs="Arial" w:eastAsia="Arial" w:hAnsi="Arial"/>
          <w:sz w:val="22"/>
          <w:szCs w:val="22"/>
          <w:b w:val="1"/>
          <w:bCs w:val="1"/>
          <w:color w:val="EF3A35"/>
        </w:rPr>
        <w:t>Review, Approval or Ratification of Related Person Transactions</w:t>
      </w:r>
    </w:p>
    <w:p>
      <w:pPr>
        <w:spacing w:after="0" w:line="121"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The Audit Committee is responsible for the review, approval, or ratification of “related person transactions” between the Company or its subsidiaries and related persons. Under SEC rules, a related person is a director, nominee for director or executive officer since the beginning of the last fiscal year, or a more than five percent stockholder, and their immediate family members. These transactions may include employment or consulting relationships with a related person or contracts under which we receive goods or services from (or provide goods and services to) a related person or a company for which the related person is an employee or otherwise affiliated. The Board has adopted written policies and procedures that apply to any transaction or series of transactions in which we or one of our subsidiaries is a participant and a related person has a direct or indirect material interest. Generally for a transaction to be approved, the Audit Committee must be informed or have knowledge of (i) the related person’s relationship to the Company and interest in the transaction; (ii) the material facts of the proposed transaction, including a description of the nature and potential aggregate value of the proposed transaction; (iii) the benefits, if any, to the Company of the proposed transaction; (iv) if applicable, the availability of other sources of comparable products or services; and (v) an assessment of whether the proposed transaction or situation is on terms that are comparable to the terms available to an unrelated third party or to employees generally.</w:t>
      </w:r>
    </w:p>
    <w:p>
      <w:pPr>
        <w:spacing w:after="0" w:line="86" w:lineRule="exact"/>
        <w:rPr>
          <w:sz w:val="20"/>
          <w:szCs w:val="20"/>
          <w:color w:val="auto"/>
        </w:rPr>
      </w:pPr>
    </w:p>
    <w:p>
      <w:pPr>
        <w:spacing w:after="0"/>
        <w:rPr>
          <w:sz w:val="20"/>
          <w:szCs w:val="20"/>
          <w:color w:val="auto"/>
        </w:rPr>
      </w:pPr>
      <w:r>
        <w:rPr>
          <w:rFonts w:ascii="Arial" w:cs="Arial" w:eastAsia="Arial" w:hAnsi="Arial"/>
          <w:sz w:val="22"/>
          <w:szCs w:val="22"/>
          <w:b w:val="1"/>
          <w:bCs w:val="1"/>
          <w:color w:val="EF3A35"/>
        </w:rPr>
        <w:t>Transactions with Related Persons</w:t>
      </w:r>
    </w:p>
    <w:p>
      <w:pPr>
        <w:spacing w:after="0" w:line="108" w:lineRule="exact"/>
        <w:rPr>
          <w:sz w:val="20"/>
          <w:szCs w:val="20"/>
          <w:color w:val="auto"/>
        </w:rPr>
      </w:pPr>
    </w:p>
    <w:p>
      <w:pPr>
        <w:ind w:right="120" w:firstLine="324"/>
        <w:spacing w:after="0" w:line="287" w:lineRule="auto"/>
        <w:rPr>
          <w:sz w:val="20"/>
          <w:szCs w:val="20"/>
          <w:color w:val="auto"/>
        </w:rPr>
      </w:pPr>
      <w:r>
        <w:rPr>
          <w:rFonts w:ascii="Arial" w:cs="Arial" w:eastAsia="Arial" w:hAnsi="Arial"/>
          <w:sz w:val="18"/>
          <w:szCs w:val="18"/>
          <w:color w:val="auto"/>
        </w:rPr>
        <w:t>Since January 1, 2024, there has not been, nor is there currently proposed, any transaction or series of similar transactions to which we have been or will be a party and in which:</w:t>
      </w:r>
    </w:p>
    <w:p>
      <w:pPr>
        <w:spacing w:after="0" w:line="99" w:lineRule="exact"/>
        <w:rPr>
          <w:sz w:val="20"/>
          <w:szCs w:val="20"/>
          <w:color w:val="auto"/>
        </w:rPr>
      </w:pPr>
    </w:p>
    <w:p>
      <w:pPr>
        <w:ind w:left="700" w:hanging="314"/>
        <w:spacing w:after="0"/>
        <w:tabs>
          <w:tab w:leader="none" w:pos="7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amounts involved exceeded or will exceed $120,000; and</w:t>
      </w:r>
    </w:p>
    <w:p>
      <w:pPr>
        <w:spacing w:after="0" w:line="63" w:lineRule="exact"/>
        <w:rPr>
          <w:rFonts w:ascii="Arial" w:cs="Arial" w:eastAsia="Arial" w:hAnsi="Arial"/>
          <w:sz w:val="18"/>
          <w:szCs w:val="18"/>
          <w:color w:val="auto"/>
        </w:rPr>
      </w:pPr>
    </w:p>
    <w:p>
      <w:pPr>
        <w:ind w:left="700" w:right="520" w:hanging="314"/>
        <w:spacing w:after="0" w:line="287" w:lineRule="auto"/>
        <w:tabs>
          <w:tab w:leader="none" w:pos="7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director, nominee for director, executive officer, beneficial holder of more than 5% of our capital stock or any member of their immediate family had or will have a direct or indirect material interest.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EF3A35"/>
        </w:rPr>
        <w:t>Indemnification of our Directors and Officers</w:t>
      </w:r>
    </w:p>
    <w:p>
      <w:pPr>
        <w:spacing w:after="0" w:line="117"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Our Charter contains provisions that limit the liability of our directors for monetary damages to the fullest extent permitted by Delaware law. Consequently, our directors will not be personally liable to us or our stockholders for monetary damages for any breach of fiduciary duties as directors, except liability for: (1) any breach of the director’s duty of loyalty to us or our stockholders; (2) any act or omission not in good faith or that involves intentional misconduct or a knowing violation of law; (3) unlawful payments of dividends or unlawful stock repurchases or redemptions as provided in Section 174 of the Delaware General Corporation Law; or (4) any transaction from which the director derived an improper personal benefit.</w:t>
      </w:r>
    </w:p>
    <w:p>
      <w:pPr>
        <w:spacing w:after="0" w:line="74"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Our Charter and Bylaws provide that we are required to indemnify our directors and officers, in each case to the fullest extent permitted by Delaware law. Our Bylaws also provide that we are obligated to advance expenses incurred by a director or officer in advance of the final disposition of any action or proceeding, and permit us to secure insurance on behalf of any officer, director, employee or other agent for any liability arising out of his or her actions in that capacity regardless of whether we would otherwise be permitted to indemnify him or her under the provisions of Delaware law. We have entered into agreements to indemnify our directors, executive officers and other employees as determined by our Board. With specified exceptions, these agreements provide for indemnification for related expenses including, among other things, attorneys’ fees, judgments, fines and settlement amounts incurred by any of these individuals in any action or proceeding. We believe that these Bylaw provisions and indemnification agreements are necessary to attract and retain qualified persons as directors and officers. We also maintain directors’ and officers’ liability insurance.</w:t>
      </w:r>
    </w:p>
    <w:p>
      <w:pPr>
        <w:spacing w:after="0" w:line="77" w:lineRule="exact"/>
        <w:rPr>
          <w:sz w:val="20"/>
          <w:szCs w:val="20"/>
          <w:color w:val="auto"/>
        </w:rPr>
      </w:pPr>
    </w:p>
    <w:p>
      <w:pPr>
        <w:spacing w:after="0"/>
        <w:rPr>
          <w:sz w:val="20"/>
          <w:szCs w:val="20"/>
          <w:color w:val="auto"/>
        </w:rPr>
      </w:pPr>
      <w:r>
        <w:rPr>
          <w:rFonts w:ascii="Arial" w:cs="Arial" w:eastAsia="Arial" w:hAnsi="Arial"/>
          <w:sz w:val="22"/>
          <w:szCs w:val="22"/>
          <w:b w:val="1"/>
          <w:bCs w:val="1"/>
          <w:color w:val="EF3A35"/>
        </w:rPr>
        <w:t>Pay Ratio Disclosure</w:t>
      </w:r>
    </w:p>
    <w:p>
      <w:pPr>
        <w:spacing w:after="0" w:line="121" w:lineRule="exact"/>
        <w:rPr>
          <w:sz w:val="20"/>
          <w:szCs w:val="20"/>
          <w:color w:val="auto"/>
        </w:rPr>
      </w:pPr>
    </w:p>
    <w:p>
      <w:pPr>
        <w:ind w:right="160" w:firstLine="324"/>
        <w:spacing w:after="0" w:line="268" w:lineRule="auto"/>
        <w:rPr>
          <w:sz w:val="20"/>
          <w:szCs w:val="20"/>
          <w:color w:val="auto"/>
        </w:rPr>
      </w:pPr>
      <w:r>
        <w:rPr>
          <w:rFonts w:ascii="Arial" w:cs="Arial" w:eastAsia="Arial" w:hAnsi="Arial"/>
          <w:sz w:val="18"/>
          <w:szCs w:val="18"/>
          <w:color w:val="auto"/>
        </w:rPr>
        <w:t>As required by Section 953(b) of the Dodd-Frank Wall Street Reform and Consumer Protection Act, and Item 402(u) of Regulation S-K, we are providing the following information about the relationship of the annual total compensation of our employees and the annual total compensation of our CEO.</w:t>
      </w:r>
    </w:p>
    <w:p>
      <w:pPr>
        <w:spacing w:after="0" w:line="63" w:lineRule="exact"/>
        <w:rPr>
          <w:sz w:val="20"/>
          <w:szCs w:val="20"/>
          <w:color w:val="auto"/>
        </w:rPr>
      </w:pPr>
    </w:p>
    <w:p>
      <w:pPr>
        <w:ind w:right="40" w:firstLine="324"/>
        <w:spacing w:after="0" w:line="287" w:lineRule="auto"/>
        <w:rPr>
          <w:sz w:val="20"/>
          <w:szCs w:val="20"/>
          <w:color w:val="auto"/>
        </w:rPr>
      </w:pPr>
      <w:r>
        <w:rPr>
          <w:rFonts w:ascii="Arial" w:cs="Arial" w:eastAsia="Arial" w:hAnsi="Arial"/>
          <w:sz w:val="18"/>
          <w:szCs w:val="18"/>
          <w:color w:val="auto"/>
        </w:rPr>
        <w:t>The ratio of the fiscal 2024 total compensation of (i) our CEO, Mr. Hennessy, as reported in the Summary Compensation Table, to (ii) our median employee, as computed in the same manner, is 44:1 based on the amounts of $7,176,468 to $163,640, respectively.</w:t>
      </w:r>
    </w:p>
    <w:p>
      <w:pPr>
        <w:spacing w:after="0" w:line="45" w:lineRule="exact"/>
        <w:rPr>
          <w:sz w:val="20"/>
          <w:szCs w:val="20"/>
          <w:color w:val="auto"/>
        </w:rPr>
      </w:pPr>
    </w:p>
    <w:p>
      <w:pPr>
        <w:ind w:right="380" w:firstLine="324"/>
        <w:spacing w:after="0" w:line="262" w:lineRule="auto"/>
        <w:rPr>
          <w:sz w:val="20"/>
          <w:szCs w:val="20"/>
          <w:color w:val="auto"/>
        </w:rPr>
      </w:pPr>
      <w:r>
        <w:rPr>
          <w:rFonts w:ascii="Arial" w:cs="Arial" w:eastAsia="Arial" w:hAnsi="Arial"/>
          <w:sz w:val="18"/>
          <w:szCs w:val="18"/>
          <w:color w:val="auto"/>
        </w:rPr>
        <w:t>This pay ratio is a reasonable estimate calculated in a manner consistent with SEC rules based on our records and the methodology described below. Moreover, the SEC rules for identifying the median compensated employee and calculating the pay ratio based on that employee’s annual total compensation allow companies to adopt a variety of methodologies, to apply certain exclusions, and to make reasonable estimates and assumptions that reflect their</w:t>
      </w:r>
    </w:p>
    <w:p>
      <w:pPr>
        <w:sectPr>
          <w:pgSz w:w="11900" w:h="16838" w:orient="portrait"/>
          <w:cols w:equalWidth="0" w:num="1">
            <w:col w:w="11220"/>
          </w:cols>
          <w:pgMar w:left="320" w:top="87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220"/>
          </w:cols>
          <w:pgMar w:left="320" w:top="871" w:right="359" w:bottom="1440" w:gutter="0" w:footer="0" w:header="0"/>
          <w:type w:val="continuous"/>
        </w:sectPr>
      </w:pPr>
    </w:p>
    <w:bookmarkStart w:id="42" w:name="page43"/>
    <w:bookmarkEnd w:id="42"/>
    <w:p>
      <w:pPr>
        <w:ind w:right="120"/>
        <w:spacing w:after="0" w:line="268" w:lineRule="auto"/>
        <w:rPr>
          <w:sz w:val="20"/>
          <w:szCs w:val="20"/>
          <w:color w:val="auto"/>
        </w:rPr>
      </w:pPr>
      <w:r>
        <w:rPr>
          <w:rFonts w:ascii="Arial" w:cs="Arial" w:eastAsia="Arial" w:hAnsi="Arial"/>
          <w:sz w:val="18"/>
          <w:szCs w:val="18"/>
          <w:color w:val="auto"/>
        </w:rPr>
        <w:t>compensation practices. As such, the pay ratio reported by other companies may not be comparable to the pay ratio reported above, as other companies will have different employment and compensation practices and may utilize different methodologies, exclusions, estimates and assumptions in calculating their own pay ratios.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Identifying the Median Employee</w:t>
      </w:r>
    </w:p>
    <w:p>
      <w:pPr>
        <w:spacing w:after="0" w:line="11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We identified the median employee by examining target annualized cash compensation as of December 31, 2024 for our global population of approximately 1,715 full-time and part-time employees, other than our CEO, who were employed by us on December 31, 2024. We included all employees, whether employed on a full-time or part-time basis (excluding any temporary employees and independent contractors), and did not make any estimates, assumptions or adjustments to any annual base salaries. Base salaries for employees outside of the United States were converted into United States dollars by applying the applicable exchange rates in effect on December 31, 2024. No cost-of-living adjustments were applied in our methodology.</w:t>
      </w:r>
    </w:p>
    <w:p>
      <w:pPr>
        <w:spacing w:after="0" w:line="78" w:lineRule="exact"/>
        <w:rPr>
          <w:sz w:val="20"/>
          <w:szCs w:val="20"/>
          <w:color w:val="auto"/>
        </w:rPr>
      </w:pPr>
    </w:p>
    <w:p>
      <w:pPr>
        <w:spacing w:after="0"/>
        <w:rPr>
          <w:sz w:val="20"/>
          <w:szCs w:val="20"/>
          <w:color w:val="auto"/>
        </w:rPr>
      </w:pPr>
      <w:r>
        <w:rPr>
          <w:rFonts w:ascii="Arial" w:cs="Arial" w:eastAsia="Arial" w:hAnsi="Arial"/>
          <w:sz w:val="22"/>
          <w:szCs w:val="22"/>
          <w:b w:val="1"/>
          <w:bCs w:val="1"/>
          <w:color w:val="EF3A35"/>
        </w:rPr>
        <w:t>Pay Versus Performance</w:t>
      </w:r>
    </w:p>
    <w:p>
      <w:pPr>
        <w:spacing w:after="0" w:line="108" w:lineRule="exact"/>
        <w:rPr>
          <w:sz w:val="20"/>
          <w:szCs w:val="20"/>
          <w:color w:val="auto"/>
        </w:rPr>
      </w:pPr>
    </w:p>
    <w:p>
      <w:pPr>
        <w:ind w:right="300" w:firstLine="324"/>
        <w:spacing w:after="0" w:line="268" w:lineRule="auto"/>
        <w:rPr>
          <w:sz w:val="20"/>
          <w:szCs w:val="20"/>
          <w:color w:val="auto"/>
        </w:rPr>
      </w:pPr>
      <w:r>
        <w:rPr>
          <w:rFonts w:ascii="Arial" w:cs="Arial" w:eastAsia="Arial" w:hAnsi="Arial"/>
          <w:sz w:val="18"/>
          <w:szCs w:val="18"/>
          <w:color w:val="auto"/>
        </w:rPr>
        <w:t>The following table provides information required by Item 402(v) of Regulation S-K. For information regarding the Company’s pay-for-performance philosophy and how the Company aligns executive compensation with the Company’s performance, refer to “Executive Compensation - Compensation Discussion and Analysis.”</w:t>
      </w:r>
    </w:p>
    <w:p>
      <w:pPr>
        <w:sectPr>
          <w:pgSz w:w="11900" w:h="16838" w:orient="portrait"/>
          <w:cols w:equalWidth="0" w:num="1">
            <w:col w:w="11200"/>
          </w:cols>
          <w:pgMar w:left="320" w:top="877" w:right="379" w:bottom="1440" w:gutter="0" w:footer="0" w:header="0"/>
        </w:sectPr>
      </w:pPr>
    </w:p>
    <w:p>
      <w:pPr>
        <w:spacing w:after="0" w:line="200" w:lineRule="exact"/>
        <w:rPr>
          <w:sz w:val="20"/>
          <w:szCs w:val="20"/>
          <w:color w:val="auto"/>
        </w:rPr>
      </w:pPr>
    </w:p>
    <w:p>
      <w:pPr>
        <w:spacing w:after="0" w:line="227"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440" w:type="dxa"/>
            <w:vAlign w:val="bottom"/>
          </w:tcPr>
          <w:p>
            <w:pPr>
              <w:spacing w:after="0"/>
              <w:rPr>
                <w:sz w:val="13"/>
                <w:szCs w:val="13"/>
                <w:color w:val="auto"/>
              </w:rPr>
            </w:pPr>
          </w:p>
        </w:tc>
        <w:tc>
          <w:tcPr>
            <w:tcW w:w="1220" w:type="dxa"/>
            <w:vAlign w:val="bottom"/>
          </w:tcPr>
          <w:p>
            <w:pPr>
              <w:jc w:val="center"/>
              <w:ind w:left="77"/>
              <w:spacing w:after="0"/>
              <w:rPr>
                <w:sz w:val="20"/>
                <w:szCs w:val="20"/>
                <w:color w:val="auto"/>
              </w:rPr>
            </w:pPr>
            <w:r>
              <w:rPr>
                <w:rFonts w:ascii="Arial" w:cs="Arial" w:eastAsia="Arial" w:hAnsi="Arial"/>
                <w:sz w:val="13"/>
                <w:szCs w:val="13"/>
                <w:b w:val="1"/>
                <w:bCs w:val="1"/>
                <w:color w:val="auto"/>
                <w:w w:val="94"/>
              </w:rPr>
              <w:t>Summary</w:t>
            </w:r>
          </w:p>
        </w:tc>
        <w:tc>
          <w:tcPr>
            <w:tcW w:w="1100" w:type="dxa"/>
            <w:vAlign w:val="bottom"/>
          </w:tcPr>
          <w:p>
            <w:pPr>
              <w:spacing w:after="0"/>
              <w:rPr>
                <w:sz w:val="13"/>
                <w:szCs w:val="13"/>
                <w:color w:val="auto"/>
              </w:rPr>
            </w:pPr>
          </w:p>
        </w:tc>
        <w:tc>
          <w:tcPr>
            <w:tcW w:w="980" w:type="dxa"/>
            <w:vAlign w:val="bottom"/>
          </w:tcPr>
          <w:p>
            <w:pPr>
              <w:jc w:val="center"/>
              <w:spacing w:after="0"/>
              <w:rPr>
                <w:sz w:val="20"/>
                <w:szCs w:val="20"/>
                <w:color w:val="auto"/>
              </w:rPr>
            </w:pPr>
            <w:r>
              <w:rPr>
                <w:rFonts w:ascii="Arial" w:cs="Arial" w:eastAsia="Arial" w:hAnsi="Arial"/>
                <w:sz w:val="13"/>
                <w:szCs w:val="13"/>
                <w:b w:val="1"/>
                <w:bCs w:val="1"/>
                <w:color w:val="auto"/>
                <w:w w:val="97"/>
              </w:rPr>
              <w:t>Summary</w:t>
            </w:r>
          </w:p>
        </w:tc>
        <w:tc>
          <w:tcPr>
            <w:tcW w:w="1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140" w:type="dxa"/>
            <w:vAlign w:val="bottom"/>
          </w:tcPr>
          <w:p>
            <w:pPr>
              <w:jc w:val="center"/>
              <w:spacing w:after="0"/>
              <w:rPr>
                <w:sz w:val="20"/>
                <w:szCs w:val="20"/>
                <w:color w:val="auto"/>
              </w:rPr>
            </w:pPr>
            <w:r>
              <w:rPr>
                <w:rFonts w:ascii="Arial" w:cs="Arial" w:eastAsia="Arial" w:hAnsi="Arial"/>
                <w:sz w:val="13"/>
                <w:szCs w:val="13"/>
                <w:b w:val="1"/>
                <w:bCs w:val="1"/>
                <w:color w:val="auto"/>
                <w:w w:val="97"/>
              </w:rPr>
              <w:t>Average</w:t>
            </w:r>
          </w:p>
        </w:tc>
      </w:tr>
      <w:tr>
        <w:trPr>
          <w:trHeight w:val="148"/>
        </w:trPr>
        <w:tc>
          <w:tcPr>
            <w:tcW w:w="440" w:type="dxa"/>
            <w:vAlign w:val="bottom"/>
          </w:tcPr>
          <w:p>
            <w:pPr>
              <w:spacing w:after="0"/>
              <w:rPr>
                <w:sz w:val="12"/>
                <w:szCs w:val="12"/>
                <w:color w:val="auto"/>
              </w:rPr>
            </w:pPr>
          </w:p>
        </w:tc>
        <w:tc>
          <w:tcPr>
            <w:tcW w:w="1220" w:type="dxa"/>
            <w:vAlign w:val="bottom"/>
          </w:tcPr>
          <w:p>
            <w:pPr>
              <w:jc w:val="center"/>
              <w:ind w:left="77"/>
              <w:spacing w:after="0"/>
              <w:rPr>
                <w:sz w:val="20"/>
                <w:szCs w:val="20"/>
                <w:color w:val="auto"/>
              </w:rPr>
            </w:pPr>
            <w:r>
              <w:rPr>
                <w:rFonts w:ascii="Arial" w:cs="Arial" w:eastAsia="Arial" w:hAnsi="Arial"/>
                <w:sz w:val="13"/>
                <w:szCs w:val="13"/>
                <w:b w:val="1"/>
                <w:bCs w:val="1"/>
                <w:color w:val="auto"/>
                <w:w w:val="97"/>
              </w:rPr>
              <w:t>Compensation</w:t>
            </w:r>
          </w:p>
        </w:tc>
        <w:tc>
          <w:tcPr>
            <w:tcW w:w="1100" w:type="dxa"/>
            <w:vAlign w:val="bottom"/>
          </w:tcPr>
          <w:p>
            <w:pPr>
              <w:jc w:val="center"/>
              <w:spacing w:after="0"/>
              <w:rPr>
                <w:sz w:val="20"/>
                <w:szCs w:val="20"/>
                <w:color w:val="auto"/>
              </w:rPr>
            </w:pPr>
            <w:r>
              <w:rPr>
                <w:rFonts w:ascii="Arial" w:cs="Arial" w:eastAsia="Arial" w:hAnsi="Arial"/>
                <w:sz w:val="13"/>
                <w:szCs w:val="13"/>
                <w:b w:val="1"/>
                <w:bCs w:val="1"/>
                <w:color w:val="auto"/>
                <w:w w:val="97"/>
              </w:rPr>
              <w:t>Compensation</w:t>
            </w:r>
          </w:p>
        </w:tc>
        <w:tc>
          <w:tcPr>
            <w:tcW w:w="980" w:type="dxa"/>
            <w:vAlign w:val="bottom"/>
          </w:tcPr>
          <w:p>
            <w:pPr>
              <w:jc w:val="center"/>
              <w:spacing w:after="0"/>
              <w:rPr>
                <w:sz w:val="20"/>
                <w:szCs w:val="20"/>
                <w:color w:val="auto"/>
              </w:rPr>
            </w:pPr>
            <w:r>
              <w:rPr>
                <w:rFonts w:ascii="Arial" w:cs="Arial" w:eastAsia="Arial" w:hAnsi="Arial"/>
                <w:sz w:val="13"/>
                <w:szCs w:val="13"/>
                <w:b w:val="1"/>
                <w:bCs w:val="1"/>
                <w:color w:val="auto"/>
                <w:w w:val="97"/>
              </w:rPr>
              <w:t>Compensation</w:t>
            </w:r>
          </w:p>
        </w:tc>
        <w:tc>
          <w:tcPr>
            <w:tcW w:w="1220" w:type="dxa"/>
            <w:vAlign w:val="bottom"/>
          </w:tcPr>
          <w:p>
            <w:pPr>
              <w:jc w:val="center"/>
              <w:spacing w:after="0"/>
              <w:rPr>
                <w:sz w:val="20"/>
                <w:szCs w:val="20"/>
                <w:color w:val="auto"/>
              </w:rPr>
            </w:pPr>
            <w:r>
              <w:rPr>
                <w:rFonts w:ascii="Arial" w:cs="Arial" w:eastAsia="Arial" w:hAnsi="Arial"/>
                <w:sz w:val="13"/>
                <w:szCs w:val="13"/>
                <w:b w:val="1"/>
                <w:bCs w:val="1"/>
                <w:color w:val="auto"/>
                <w:w w:val="95"/>
              </w:rPr>
              <w:t>Compensation</w:t>
            </w:r>
          </w:p>
        </w:tc>
        <w:tc>
          <w:tcPr>
            <w:tcW w:w="1280" w:type="dxa"/>
            <w:vAlign w:val="bottom"/>
          </w:tcPr>
          <w:p>
            <w:pPr>
              <w:jc w:val="center"/>
              <w:spacing w:after="0"/>
              <w:rPr>
                <w:sz w:val="20"/>
                <w:szCs w:val="20"/>
                <w:color w:val="auto"/>
              </w:rPr>
            </w:pPr>
            <w:r>
              <w:rPr>
                <w:rFonts w:ascii="Arial" w:cs="Arial" w:eastAsia="Arial" w:hAnsi="Arial"/>
                <w:sz w:val="13"/>
                <w:szCs w:val="13"/>
                <w:b w:val="1"/>
                <w:bCs w:val="1"/>
                <w:color w:val="auto"/>
                <w:w w:val="96"/>
              </w:rPr>
              <w:t>Average Summary</w:t>
            </w:r>
          </w:p>
        </w:tc>
        <w:tc>
          <w:tcPr>
            <w:tcW w:w="1140" w:type="dxa"/>
            <w:vAlign w:val="bottom"/>
          </w:tcPr>
          <w:p>
            <w:pPr>
              <w:jc w:val="center"/>
              <w:spacing w:after="0"/>
              <w:rPr>
                <w:sz w:val="20"/>
                <w:szCs w:val="20"/>
                <w:color w:val="auto"/>
              </w:rPr>
            </w:pPr>
            <w:r>
              <w:rPr>
                <w:rFonts w:ascii="Arial" w:cs="Arial" w:eastAsia="Arial" w:hAnsi="Arial"/>
                <w:sz w:val="13"/>
                <w:szCs w:val="13"/>
                <w:b w:val="1"/>
                <w:bCs w:val="1"/>
                <w:color w:val="auto"/>
                <w:w w:val="97"/>
              </w:rPr>
              <w:t>Compensation</w:t>
            </w:r>
          </w:p>
        </w:tc>
      </w:tr>
      <w:tr>
        <w:trPr>
          <w:trHeight w:val="152"/>
        </w:trPr>
        <w:tc>
          <w:tcPr>
            <w:tcW w:w="440" w:type="dxa"/>
            <w:vAlign w:val="bottom"/>
          </w:tcPr>
          <w:p>
            <w:pPr>
              <w:spacing w:after="0"/>
              <w:rPr>
                <w:sz w:val="13"/>
                <w:szCs w:val="13"/>
                <w:color w:val="auto"/>
              </w:rPr>
            </w:pPr>
          </w:p>
        </w:tc>
        <w:tc>
          <w:tcPr>
            <w:tcW w:w="1220" w:type="dxa"/>
            <w:vAlign w:val="bottom"/>
          </w:tcPr>
          <w:p>
            <w:pPr>
              <w:jc w:val="center"/>
              <w:ind w:left="77"/>
              <w:spacing w:after="0"/>
              <w:rPr>
                <w:sz w:val="20"/>
                <w:szCs w:val="20"/>
                <w:color w:val="auto"/>
              </w:rPr>
            </w:pPr>
            <w:r>
              <w:rPr>
                <w:rFonts w:ascii="Arial" w:cs="Arial" w:eastAsia="Arial" w:hAnsi="Arial"/>
                <w:sz w:val="13"/>
                <w:szCs w:val="13"/>
                <w:b w:val="1"/>
                <w:bCs w:val="1"/>
                <w:color w:val="auto"/>
                <w:w w:val="93"/>
              </w:rPr>
              <w:t>Table Total for</w:t>
            </w:r>
          </w:p>
        </w:tc>
        <w:tc>
          <w:tcPr>
            <w:tcW w:w="1100" w:type="dxa"/>
            <w:vAlign w:val="bottom"/>
          </w:tcPr>
          <w:p>
            <w:pPr>
              <w:jc w:val="center"/>
              <w:spacing w:after="0"/>
              <w:rPr>
                <w:sz w:val="20"/>
                <w:szCs w:val="20"/>
                <w:color w:val="auto"/>
              </w:rPr>
            </w:pPr>
            <w:r>
              <w:rPr>
                <w:rFonts w:ascii="Arial" w:cs="Arial" w:eastAsia="Arial" w:hAnsi="Arial"/>
                <w:sz w:val="13"/>
                <w:szCs w:val="13"/>
                <w:b w:val="1"/>
                <w:bCs w:val="1"/>
                <w:color w:val="auto"/>
                <w:w w:val="98"/>
              </w:rPr>
              <w:t>Actually Paid to</w:t>
            </w:r>
          </w:p>
        </w:tc>
        <w:tc>
          <w:tcPr>
            <w:tcW w:w="980" w:type="dxa"/>
            <w:vAlign w:val="bottom"/>
          </w:tcPr>
          <w:p>
            <w:pPr>
              <w:jc w:val="center"/>
              <w:spacing w:after="0"/>
              <w:rPr>
                <w:sz w:val="20"/>
                <w:szCs w:val="20"/>
                <w:color w:val="auto"/>
              </w:rPr>
            </w:pPr>
            <w:r>
              <w:rPr>
                <w:rFonts w:ascii="Arial" w:cs="Arial" w:eastAsia="Arial" w:hAnsi="Arial"/>
                <w:sz w:val="13"/>
                <w:szCs w:val="13"/>
                <w:b w:val="1"/>
                <w:bCs w:val="1"/>
                <w:color w:val="auto"/>
                <w:w w:val="93"/>
              </w:rPr>
              <w:t>Table Total for</w:t>
            </w:r>
          </w:p>
        </w:tc>
        <w:tc>
          <w:tcPr>
            <w:tcW w:w="1220" w:type="dxa"/>
            <w:vAlign w:val="bottom"/>
          </w:tcPr>
          <w:p>
            <w:pPr>
              <w:jc w:val="center"/>
              <w:spacing w:after="0"/>
              <w:rPr>
                <w:sz w:val="20"/>
                <w:szCs w:val="20"/>
                <w:color w:val="auto"/>
              </w:rPr>
            </w:pPr>
            <w:r>
              <w:rPr>
                <w:rFonts w:ascii="Arial" w:cs="Arial" w:eastAsia="Arial" w:hAnsi="Arial"/>
                <w:sz w:val="13"/>
                <w:szCs w:val="13"/>
                <w:b w:val="1"/>
                <w:bCs w:val="1"/>
                <w:color w:val="auto"/>
                <w:w w:val="96"/>
              </w:rPr>
              <w:t>Actually Paid to</w:t>
            </w:r>
          </w:p>
        </w:tc>
        <w:tc>
          <w:tcPr>
            <w:tcW w:w="1280" w:type="dxa"/>
            <w:vAlign w:val="bottom"/>
          </w:tcPr>
          <w:p>
            <w:pPr>
              <w:jc w:val="center"/>
              <w:spacing w:after="0"/>
              <w:rPr>
                <w:sz w:val="20"/>
                <w:szCs w:val="20"/>
                <w:color w:val="auto"/>
              </w:rPr>
            </w:pPr>
            <w:r>
              <w:rPr>
                <w:rFonts w:ascii="Arial" w:cs="Arial" w:eastAsia="Arial" w:hAnsi="Arial"/>
                <w:sz w:val="13"/>
                <w:szCs w:val="13"/>
                <w:b w:val="1"/>
                <w:bCs w:val="1"/>
                <w:color w:val="auto"/>
                <w:w w:val="97"/>
              </w:rPr>
              <w:t>Compensation</w:t>
            </w:r>
          </w:p>
        </w:tc>
        <w:tc>
          <w:tcPr>
            <w:tcW w:w="1140" w:type="dxa"/>
            <w:vAlign w:val="bottom"/>
          </w:tcPr>
          <w:p>
            <w:pPr>
              <w:jc w:val="center"/>
              <w:spacing w:after="0"/>
              <w:rPr>
                <w:sz w:val="20"/>
                <w:szCs w:val="20"/>
                <w:color w:val="auto"/>
              </w:rPr>
            </w:pPr>
            <w:r>
              <w:rPr>
                <w:rFonts w:ascii="Arial" w:cs="Arial" w:eastAsia="Arial" w:hAnsi="Arial"/>
                <w:sz w:val="13"/>
                <w:szCs w:val="13"/>
                <w:b w:val="1"/>
                <w:bCs w:val="1"/>
                <w:color w:val="auto"/>
                <w:w w:val="96"/>
              </w:rPr>
              <w:t>Actually Paid to</w:t>
            </w:r>
          </w:p>
        </w:tc>
      </w:tr>
      <w:tr>
        <w:trPr>
          <w:trHeight w:val="159"/>
        </w:trPr>
        <w:tc>
          <w:tcPr>
            <w:tcW w:w="440" w:type="dxa"/>
            <w:vAlign w:val="bottom"/>
          </w:tcPr>
          <w:p>
            <w:pPr>
              <w:spacing w:after="0"/>
              <w:rPr>
                <w:sz w:val="13"/>
                <w:szCs w:val="13"/>
                <w:color w:val="auto"/>
              </w:rPr>
            </w:pPr>
          </w:p>
        </w:tc>
        <w:tc>
          <w:tcPr>
            <w:tcW w:w="1220" w:type="dxa"/>
            <w:vAlign w:val="bottom"/>
          </w:tcPr>
          <w:p>
            <w:pPr>
              <w:jc w:val="center"/>
              <w:ind w:left="77"/>
              <w:spacing w:after="0" w:line="158" w:lineRule="exact"/>
              <w:rPr>
                <w:sz w:val="20"/>
                <w:szCs w:val="20"/>
                <w:color w:val="auto"/>
              </w:rPr>
            </w:pPr>
            <w:r>
              <w:rPr>
                <w:rFonts w:ascii="Arial" w:cs="Arial" w:eastAsia="Arial" w:hAnsi="Arial"/>
                <w:sz w:val="13"/>
                <w:szCs w:val="13"/>
                <w:b w:val="1"/>
                <w:bCs w:val="1"/>
                <w:color w:val="auto"/>
                <w:w w:val="94"/>
              </w:rPr>
              <w:t>Paul Hennessy</w:t>
            </w:r>
            <w:r>
              <w:rPr>
                <w:rFonts w:ascii="Arial" w:cs="Arial" w:eastAsia="Arial" w:hAnsi="Arial"/>
                <w:sz w:val="16"/>
                <w:szCs w:val="16"/>
                <w:b w:val="1"/>
                <w:bCs w:val="1"/>
                <w:color w:val="auto"/>
                <w:w w:val="94"/>
                <w:vertAlign w:val="superscript"/>
              </w:rPr>
              <w:t>(1)</w:t>
            </w:r>
          </w:p>
        </w:tc>
        <w:tc>
          <w:tcPr>
            <w:tcW w:w="1100" w:type="dxa"/>
            <w:vAlign w:val="bottom"/>
          </w:tcPr>
          <w:p>
            <w:pPr>
              <w:jc w:val="center"/>
              <w:spacing w:after="0" w:line="158" w:lineRule="exact"/>
              <w:rPr>
                <w:sz w:val="20"/>
                <w:szCs w:val="20"/>
                <w:color w:val="auto"/>
              </w:rPr>
            </w:pPr>
            <w:r>
              <w:rPr>
                <w:rFonts w:ascii="Arial" w:cs="Arial" w:eastAsia="Arial" w:hAnsi="Arial"/>
                <w:sz w:val="13"/>
                <w:szCs w:val="13"/>
                <w:b w:val="1"/>
                <w:bCs w:val="1"/>
                <w:color w:val="auto"/>
                <w:w w:val="94"/>
              </w:rPr>
              <w:t>Paul Hennessy</w:t>
            </w:r>
            <w:r>
              <w:rPr>
                <w:rFonts w:ascii="Arial" w:cs="Arial" w:eastAsia="Arial" w:hAnsi="Arial"/>
                <w:sz w:val="16"/>
                <w:szCs w:val="16"/>
                <w:b w:val="1"/>
                <w:bCs w:val="1"/>
                <w:color w:val="auto"/>
                <w:w w:val="94"/>
                <w:vertAlign w:val="superscript"/>
              </w:rPr>
              <w:t>(1)</w:t>
            </w:r>
          </w:p>
        </w:tc>
        <w:tc>
          <w:tcPr>
            <w:tcW w:w="980" w:type="dxa"/>
            <w:vAlign w:val="bottom"/>
          </w:tcPr>
          <w:p>
            <w:pPr>
              <w:jc w:val="center"/>
              <w:spacing w:after="0"/>
              <w:rPr>
                <w:sz w:val="20"/>
                <w:szCs w:val="20"/>
                <w:color w:val="auto"/>
              </w:rPr>
            </w:pPr>
            <w:r>
              <w:rPr>
                <w:rFonts w:ascii="Arial" w:cs="Arial" w:eastAsia="Arial" w:hAnsi="Arial"/>
                <w:sz w:val="13"/>
                <w:szCs w:val="13"/>
                <w:b w:val="1"/>
                <w:bCs w:val="1"/>
                <w:color w:val="auto"/>
                <w:w w:val="99"/>
              </w:rPr>
              <w:t>Stan</w:t>
            </w:r>
          </w:p>
        </w:tc>
        <w:tc>
          <w:tcPr>
            <w:tcW w:w="1220" w:type="dxa"/>
            <w:vAlign w:val="bottom"/>
          </w:tcPr>
          <w:p>
            <w:pPr>
              <w:jc w:val="center"/>
              <w:spacing w:after="0" w:line="158" w:lineRule="exact"/>
              <w:rPr>
                <w:sz w:val="20"/>
                <w:szCs w:val="20"/>
                <w:color w:val="auto"/>
              </w:rPr>
            </w:pPr>
            <w:r>
              <w:rPr>
                <w:rFonts w:ascii="Arial" w:cs="Arial" w:eastAsia="Arial" w:hAnsi="Arial"/>
                <w:sz w:val="13"/>
                <w:szCs w:val="13"/>
                <w:b w:val="1"/>
                <w:bCs w:val="1"/>
                <w:color w:val="auto"/>
                <w:w w:val="93"/>
              </w:rPr>
              <w:t>Stan Pavlovsky</w:t>
            </w:r>
            <w:r>
              <w:rPr>
                <w:rFonts w:ascii="Arial" w:cs="Arial" w:eastAsia="Arial" w:hAnsi="Arial"/>
                <w:sz w:val="16"/>
                <w:szCs w:val="16"/>
                <w:b w:val="1"/>
                <w:bCs w:val="1"/>
                <w:color w:val="auto"/>
                <w:w w:val="93"/>
                <w:vertAlign w:val="superscript"/>
              </w:rPr>
              <w:t>(2)(3)</w:t>
            </w:r>
          </w:p>
        </w:tc>
        <w:tc>
          <w:tcPr>
            <w:tcW w:w="2420" w:type="dxa"/>
            <w:vAlign w:val="bottom"/>
            <w:gridSpan w:val="2"/>
          </w:tcPr>
          <w:p>
            <w:pPr>
              <w:ind w:left="40"/>
              <w:spacing w:after="0" w:line="158" w:lineRule="exact"/>
              <w:rPr>
                <w:sz w:val="20"/>
                <w:szCs w:val="20"/>
                <w:color w:val="auto"/>
              </w:rPr>
            </w:pPr>
            <w:r>
              <w:rPr>
                <w:rFonts w:ascii="Arial" w:cs="Arial" w:eastAsia="Arial" w:hAnsi="Arial"/>
                <w:sz w:val="13"/>
                <w:szCs w:val="13"/>
                <w:b w:val="1"/>
                <w:bCs w:val="1"/>
                <w:color w:val="auto"/>
                <w:w w:val="94"/>
              </w:rPr>
              <w:t>Table Total for Non- Non-CEO NEOs</w:t>
            </w:r>
            <w:r>
              <w:rPr>
                <w:rFonts w:ascii="Arial" w:cs="Arial" w:eastAsia="Arial" w:hAnsi="Arial"/>
                <w:sz w:val="16"/>
                <w:szCs w:val="16"/>
                <w:b w:val="1"/>
                <w:bCs w:val="1"/>
                <w:color w:val="auto"/>
                <w:w w:val="94"/>
                <w:vertAlign w:val="superscript"/>
              </w:rPr>
              <w:t>(2)(4)</w:t>
            </w:r>
          </w:p>
        </w:tc>
      </w:tr>
      <w:tr>
        <w:trPr>
          <w:trHeight w:val="193"/>
        </w:trPr>
        <w:tc>
          <w:tcPr>
            <w:tcW w:w="440" w:type="dxa"/>
            <w:vAlign w:val="bottom"/>
          </w:tcPr>
          <w:p>
            <w:pPr>
              <w:spacing w:after="0"/>
              <w:rPr>
                <w:sz w:val="20"/>
                <w:szCs w:val="20"/>
                <w:color w:val="auto"/>
              </w:rPr>
            </w:pPr>
            <w:r>
              <w:rPr>
                <w:rFonts w:ascii="Arial" w:cs="Arial" w:eastAsia="Arial" w:hAnsi="Arial"/>
                <w:sz w:val="13"/>
                <w:szCs w:val="13"/>
                <w:b w:val="1"/>
                <w:bCs w:val="1"/>
                <w:color w:val="auto"/>
              </w:rPr>
              <w:t>Year</w:t>
            </w:r>
          </w:p>
        </w:tc>
        <w:tc>
          <w:tcPr>
            <w:tcW w:w="1220" w:type="dxa"/>
            <w:vAlign w:val="bottom"/>
          </w:tcPr>
          <w:p>
            <w:pPr>
              <w:jc w:val="center"/>
              <w:ind w:left="77"/>
              <w:spacing w:after="0"/>
              <w:rPr>
                <w:sz w:val="20"/>
                <w:szCs w:val="20"/>
                <w:color w:val="auto"/>
              </w:rPr>
            </w:pPr>
            <w:r>
              <w:rPr>
                <w:rFonts w:ascii="Arial" w:cs="Arial" w:eastAsia="Arial" w:hAnsi="Arial"/>
                <w:sz w:val="13"/>
                <w:szCs w:val="13"/>
                <w:b w:val="1"/>
                <w:bCs w:val="1"/>
                <w:color w:val="auto"/>
              </w:rPr>
              <w:t>$</w:t>
            </w:r>
          </w:p>
        </w:tc>
        <w:tc>
          <w:tcPr>
            <w:tcW w:w="1100" w:type="dxa"/>
            <w:vAlign w:val="bottom"/>
          </w:tcPr>
          <w:p>
            <w:pPr>
              <w:jc w:val="center"/>
              <w:spacing w:after="0" w:line="193" w:lineRule="exact"/>
              <w:rPr>
                <w:sz w:val="20"/>
                <w:szCs w:val="20"/>
                <w:color w:val="auto"/>
              </w:rPr>
            </w:pPr>
            <w:r>
              <w:rPr>
                <w:rFonts w:ascii="Arial" w:cs="Arial" w:eastAsia="Arial" w:hAnsi="Arial"/>
                <w:sz w:val="8"/>
                <w:szCs w:val="8"/>
                <w:b w:val="1"/>
                <w:bCs w:val="1"/>
                <w:color w:val="auto"/>
                <w:w w:val="98"/>
              </w:rPr>
              <w:t xml:space="preserve">(2) </w:t>
            </w:r>
            <w:r>
              <w:rPr>
                <w:rFonts w:ascii="Arial" w:cs="Arial" w:eastAsia="Arial" w:hAnsi="Arial"/>
                <w:sz w:val="22"/>
                <w:szCs w:val="22"/>
                <w:b w:val="1"/>
                <w:bCs w:val="1"/>
                <w:color w:val="auto"/>
                <w:w w:val="98"/>
                <w:vertAlign w:val="subscript"/>
              </w:rPr>
              <w:t>$</w:t>
            </w:r>
          </w:p>
        </w:tc>
        <w:tc>
          <w:tcPr>
            <w:tcW w:w="980" w:type="dxa"/>
            <w:vAlign w:val="bottom"/>
          </w:tcPr>
          <w:p>
            <w:pPr>
              <w:jc w:val="center"/>
              <w:spacing w:after="0"/>
              <w:rPr>
                <w:sz w:val="20"/>
                <w:szCs w:val="20"/>
                <w:color w:val="auto"/>
              </w:rPr>
            </w:pPr>
            <w:r>
              <w:rPr>
                <w:rFonts w:ascii="Arial" w:cs="Arial" w:eastAsia="Arial" w:hAnsi="Arial"/>
                <w:sz w:val="13"/>
                <w:szCs w:val="13"/>
                <w:b w:val="1"/>
                <w:bCs w:val="1"/>
                <w:color w:val="auto"/>
                <w:w w:val="93"/>
              </w:rPr>
              <w:t>Pavlovsky</w:t>
            </w:r>
            <w:r>
              <w:rPr>
                <w:rFonts w:ascii="Arial" w:cs="Arial" w:eastAsia="Arial" w:hAnsi="Arial"/>
                <w:sz w:val="16"/>
                <w:szCs w:val="16"/>
                <w:b w:val="1"/>
                <w:bCs w:val="1"/>
                <w:color w:val="auto"/>
                <w:w w:val="93"/>
                <w:vertAlign w:val="superscript"/>
              </w:rPr>
              <w:t>(3)</w:t>
            </w:r>
            <w:r>
              <w:rPr>
                <w:rFonts w:ascii="Arial" w:cs="Arial" w:eastAsia="Arial" w:hAnsi="Arial"/>
                <w:sz w:val="13"/>
                <w:szCs w:val="13"/>
                <w:b w:val="1"/>
                <w:bCs w:val="1"/>
                <w:color w:val="auto"/>
                <w:w w:val="93"/>
              </w:rPr>
              <w:t xml:space="preserve"> $</w:t>
            </w:r>
          </w:p>
        </w:tc>
        <w:tc>
          <w:tcPr>
            <w:tcW w:w="1220" w:type="dxa"/>
            <w:vAlign w:val="bottom"/>
          </w:tcPr>
          <w:p>
            <w:pPr>
              <w:jc w:val="center"/>
              <w:spacing w:after="0"/>
              <w:rPr>
                <w:sz w:val="20"/>
                <w:szCs w:val="20"/>
                <w:color w:val="auto"/>
              </w:rPr>
            </w:pPr>
            <w:r>
              <w:rPr>
                <w:rFonts w:ascii="Arial" w:cs="Arial" w:eastAsia="Arial" w:hAnsi="Arial"/>
                <w:sz w:val="13"/>
                <w:szCs w:val="13"/>
                <w:b w:val="1"/>
                <w:bCs w:val="1"/>
                <w:color w:val="auto"/>
                <w:w w:val="82"/>
              </w:rPr>
              <w:t>$</w:t>
            </w:r>
          </w:p>
        </w:tc>
        <w:tc>
          <w:tcPr>
            <w:tcW w:w="1280" w:type="dxa"/>
            <w:vAlign w:val="bottom"/>
          </w:tcPr>
          <w:p>
            <w:pPr>
              <w:jc w:val="center"/>
              <w:spacing w:after="0"/>
              <w:rPr>
                <w:sz w:val="20"/>
                <w:szCs w:val="20"/>
                <w:color w:val="auto"/>
              </w:rPr>
            </w:pPr>
            <w:r>
              <w:rPr>
                <w:rFonts w:ascii="Arial" w:cs="Arial" w:eastAsia="Arial" w:hAnsi="Arial"/>
                <w:sz w:val="13"/>
                <w:szCs w:val="13"/>
                <w:b w:val="1"/>
                <w:bCs w:val="1"/>
                <w:color w:val="auto"/>
                <w:w w:val="94"/>
              </w:rPr>
              <w:t>CEO NEOs</w:t>
            </w:r>
            <w:r>
              <w:rPr>
                <w:rFonts w:ascii="Arial" w:cs="Arial" w:eastAsia="Arial" w:hAnsi="Arial"/>
                <w:sz w:val="16"/>
                <w:szCs w:val="16"/>
                <w:b w:val="1"/>
                <w:bCs w:val="1"/>
                <w:color w:val="auto"/>
                <w:w w:val="94"/>
                <w:vertAlign w:val="superscript"/>
              </w:rPr>
              <w:t>(4)</w:t>
            </w:r>
            <w:r>
              <w:rPr>
                <w:rFonts w:ascii="Arial" w:cs="Arial" w:eastAsia="Arial" w:hAnsi="Arial"/>
                <w:sz w:val="13"/>
                <w:szCs w:val="13"/>
                <w:b w:val="1"/>
                <w:bCs w:val="1"/>
                <w:color w:val="auto"/>
                <w:w w:val="94"/>
              </w:rPr>
              <w:t xml:space="preserve"> $</w:t>
            </w:r>
          </w:p>
        </w:tc>
        <w:tc>
          <w:tcPr>
            <w:tcW w:w="1140" w:type="dxa"/>
            <w:vAlign w:val="bottom"/>
          </w:tcPr>
          <w:p>
            <w:pPr>
              <w:jc w:val="center"/>
              <w:spacing w:after="0"/>
              <w:rPr>
                <w:sz w:val="20"/>
                <w:szCs w:val="20"/>
                <w:color w:val="auto"/>
              </w:rPr>
            </w:pPr>
            <w:r>
              <w:rPr>
                <w:rFonts w:ascii="Arial" w:cs="Arial" w:eastAsia="Arial" w:hAnsi="Arial"/>
                <w:sz w:val="13"/>
                <w:szCs w:val="13"/>
                <w:b w:val="1"/>
                <w:bCs w:val="1"/>
                <w:color w:val="auto"/>
                <w:w w:val="82"/>
              </w:rPr>
              <w:t>$</w:t>
            </w:r>
          </w:p>
        </w:tc>
      </w:tr>
    </w:tbl>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jc w:val="center"/>
        <w:ind w:right="1780"/>
        <w:spacing w:after="0"/>
        <w:rPr>
          <w:sz w:val="20"/>
          <w:szCs w:val="20"/>
          <w:color w:val="auto"/>
        </w:rPr>
      </w:pPr>
      <w:r>
        <w:rPr>
          <w:rFonts w:ascii="Arial" w:cs="Arial" w:eastAsia="Arial" w:hAnsi="Arial"/>
          <w:sz w:val="12"/>
          <w:szCs w:val="12"/>
          <w:b w:val="1"/>
          <w:bCs w:val="1"/>
          <w:color w:val="auto"/>
        </w:rPr>
        <w:t>Year-end value of $100 invested</w:t>
      </w:r>
    </w:p>
    <w:p>
      <w:pPr>
        <w:spacing w:after="0" w:line="9" w:lineRule="exact"/>
        <w:rPr>
          <w:sz w:val="20"/>
          <w:szCs w:val="20"/>
          <w:color w:val="auto"/>
        </w:rPr>
      </w:pPr>
    </w:p>
    <w:p>
      <w:pPr>
        <w:jc w:val="center"/>
        <w:ind w:right="1780"/>
        <w:spacing w:after="0"/>
        <w:rPr>
          <w:sz w:val="20"/>
          <w:szCs w:val="20"/>
          <w:color w:val="auto"/>
        </w:rPr>
      </w:pPr>
      <w:r>
        <w:rPr>
          <w:rFonts w:ascii="Arial" w:cs="Arial" w:eastAsia="Arial" w:hAnsi="Arial"/>
          <w:sz w:val="13"/>
          <w:szCs w:val="13"/>
          <w:b w:val="1"/>
          <w:bCs w:val="1"/>
          <w:color w:val="auto"/>
        </w:rPr>
        <w:t>on 12/31/2019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wp:posOffset>
            </wp:positionH>
            <wp:positionV relativeFrom="paragraph">
              <wp:posOffset>11430</wp:posOffset>
            </wp:positionV>
            <wp:extent cx="132016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320165" cy="8255"/>
                    </a:xfrm>
                    <a:prstGeom prst="rect">
                      <a:avLst/>
                    </a:prstGeom>
                    <a:noFill/>
                  </pic:spPr>
                </pic:pic>
              </a:graphicData>
            </a:graphic>
          </wp:anchor>
        </w:drawing>
      </w:r>
    </w:p>
    <w:p>
      <w:pPr>
        <w:spacing w:after="0" w:line="155" w:lineRule="exact"/>
        <w:rPr>
          <w:sz w:val="20"/>
          <w:szCs w:val="20"/>
          <w:color w:val="auto"/>
        </w:rPr>
      </w:pPr>
    </w:p>
    <w:tbl>
      <w:tblPr>
        <w:tblLayout w:type="fixed"/>
        <w:tblInd w:w="60" w:type="dxa"/>
        <w:tblCellMar>
          <w:top w:w="0" w:type="dxa"/>
          <w:left w:w="0" w:type="dxa"/>
          <w:bottom w:w="0" w:type="dxa"/>
          <w:right w:w="0" w:type="dxa"/>
        </w:tblCellMar>
      </w:tblPr>
      <w:tr>
        <w:trPr>
          <w:trHeight w:val="149"/>
        </w:trPr>
        <w:tc>
          <w:tcPr>
            <w:tcW w:w="840" w:type="dxa"/>
            <w:vAlign w:val="bottom"/>
          </w:tcPr>
          <w:p>
            <w:pPr>
              <w:spacing w:after="0"/>
              <w:rPr>
                <w:sz w:val="13"/>
                <w:szCs w:val="13"/>
                <w:color w:val="auto"/>
              </w:rPr>
            </w:pPr>
          </w:p>
        </w:tc>
        <w:tc>
          <w:tcPr>
            <w:tcW w:w="1100" w:type="dxa"/>
            <w:vAlign w:val="bottom"/>
          </w:tcPr>
          <w:p>
            <w:pPr>
              <w:jc w:val="center"/>
              <w:spacing w:after="0"/>
              <w:rPr>
                <w:sz w:val="20"/>
                <w:szCs w:val="20"/>
                <w:color w:val="auto"/>
              </w:rPr>
            </w:pPr>
            <w:r>
              <w:rPr>
                <w:rFonts w:ascii="Arial" w:cs="Arial" w:eastAsia="Arial" w:hAnsi="Arial"/>
                <w:sz w:val="13"/>
                <w:szCs w:val="13"/>
                <w:b w:val="1"/>
                <w:bCs w:val="1"/>
                <w:color w:val="auto"/>
                <w:w w:val="97"/>
              </w:rPr>
              <w:t>S&amp;P Software &amp;</w:t>
            </w: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48"/>
        </w:trPr>
        <w:tc>
          <w:tcPr>
            <w:tcW w:w="840" w:type="dxa"/>
            <w:vAlign w:val="bottom"/>
          </w:tcPr>
          <w:p>
            <w:pPr>
              <w:jc w:val="center"/>
              <w:ind w:right="37"/>
              <w:spacing w:after="0"/>
              <w:rPr>
                <w:sz w:val="20"/>
                <w:szCs w:val="20"/>
                <w:color w:val="auto"/>
              </w:rPr>
            </w:pPr>
            <w:r>
              <w:rPr>
                <w:rFonts w:ascii="Arial" w:cs="Arial" w:eastAsia="Arial" w:hAnsi="Arial"/>
                <w:sz w:val="13"/>
                <w:szCs w:val="13"/>
                <w:b w:val="1"/>
                <w:bCs w:val="1"/>
                <w:color w:val="auto"/>
                <w:w w:val="95"/>
              </w:rPr>
              <w:t>SSTK Total</w:t>
            </w:r>
          </w:p>
        </w:tc>
        <w:tc>
          <w:tcPr>
            <w:tcW w:w="1100" w:type="dxa"/>
            <w:vAlign w:val="bottom"/>
          </w:tcPr>
          <w:p>
            <w:pPr>
              <w:jc w:val="center"/>
              <w:spacing w:after="0"/>
              <w:rPr>
                <w:sz w:val="20"/>
                <w:szCs w:val="20"/>
                <w:color w:val="auto"/>
              </w:rPr>
            </w:pPr>
            <w:r>
              <w:rPr>
                <w:rFonts w:ascii="Arial" w:cs="Arial" w:eastAsia="Arial" w:hAnsi="Arial"/>
                <w:sz w:val="13"/>
                <w:szCs w:val="13"/>
                <w:b w:val="1"/>
                <w:bCs w:val="1"/>
                <w:color w:val="auto"/>
                <w:w w:val="95"/>
              </w:rPr>
              <w:t>Svcs Total</w:t>
            </w: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96"/>
              </w:rPr>
              <w:t>Net Income</w:t>
            </w: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99"/>
              </w:rPr>
              <w:t>Adj. EBITDA</w:t>
            </w:r>
          </w:p>
        </w:tc>
      </w:tr>
      <w:tr>
        <w:trPr>
          <w:trHeight w:val="162"/>
        </w:trPr>
        <w:tc>
          <w:tcPr>
            <w:tcW w:w="840" w:type="dxa"/>
            <w:vAlign w:val="bottom"/>
          </w:tcPr>
          <w:p>
            <w:pPr>
              <w:jc w:val="center"/>
              <w:ind w:right="37"/>
              <w:spacing w:after="0"/>
              <w:rPr>
                <w:sz w:val="20"/>
                <w:szCs w:val="20"/>
                <w:color w:val="auto"/>
              </w:rPr>
            </w:pPr>
            <w:r>
              <w:rPr>
                <w:rFonts w:ascii="Arial" w:cs="Arial" w:eastAsia="Arial" w:hAnsi="Arial"/>
                <w:sz w:val="13"/>
                <w:szCs w:val="13"/>
                <w:b w:val="1"/>
                <w:bCs w:val="1"/>
                <w:color w:val="auto"/>
                <w:w w:val="97"/>
              </w:rPr>
              <w:t>Shareholder</w:t>
            </w:r>
          </w:p>
        </w:tc>
        <w:tc>
          <w:tcPr>
            <w:tcW w:w="1100" w:type="dxa"/>
            <w:vAlign w:val="bottom"/>
          </w:tcPr>
          <w:p>
            <w:pPr>
              <w:jc w:val="center"/>
              <w:spacing w:after="0"/>
              <w:rPr>
                <w:sz w:val="20"/>
                <w:szCs w:val="20"/>
                <w:color w:val="auto"/>
              </w:rPr>
            </w:pPr>
            <w:r>
              <w:rPr>
                <w:rFonts w:ascii="Arial" w:cs="Arial" w:eastAsia="Arial" w:hAnsi="Arial"/>
                <w:sz w:val="13"/>
                <w:szCs w:val="13"/>
                <w:b w:val="1"/>
                <w:bCs w:val="1"/>
                <w:color w:val="auto"/>
                <w:w w:val="97"/>
              </w:rPr>
              <w:t>Shareholder</w:t>
            </w: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95"/>
              </w:rPr>
              <w:t>(in millions)</w:t>
            </w: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98"/>
              </w:rPr>
              <w:t>(in millions)</w:t>
            </w:r>
          </w:p>
        </w:tc>
      </w:tr>
      <w:tr>
        <w:trPr>
          <w:trHeight w:val="172"/>
        </w:trPr>
        <w:tc>
          <w:tcPr>
            <w:tcW w:w="840" w:type="dxa"/>
            <w:vAlign w:val="bottom"/>
          </w:tcPr>
          <w:p>
            <w:pPr>
              <w:jc w:val="center"/>
              <w:ind w:right="37"/>
              <w:spacing w:after="0"/>
              <w:rPr>
                <w:sz w:val="20"/>
                <w:szCs w:val="20"/>
                <w:color w:val="auto"/>
              </w:rPr>
            </w:pPr>
            <w:r>
              <w:rPr>
                <w:rFonts w:ascii="Arial" w:cs="Arial" w:eastAsia="Arial" w:hAnsi="Arial"/>
                <w:sz w:val="13"/>
                <w:szCs w:val="13"/>
                <w:b w:val="1"/>
                <w:bCs w:val="1"/>
                <w:color w:val="auto"/>
                <w:w w:val="94"/>
              </w:rPr>
              <w:t>Return $</w:t>
            </w:r>
          </w:p>
        </w:tc>
        <w:tc>
          <w:tcPr>
            <w:tcW w:w="1100" w:type="dxa"/>
            <w:vAlign w:val="bottom"/>
          </w:tcPr>
          <w:p>
            <w:pPr>
              <w:jc w:val="center"/>
              <w:spacing w:after="0"/>
              <w:rPr>
                <w:sz w:val="20"/>
                <w:szCs w:val="20"/>
                <w:color w:val="auto"/>
              </w:rPr>
            </w:pPr>
            <w:r>
              <w:rPr>
                <w:rFonts w:ascii="Arial" w:cs="Arial" w:eastAsia="Arial" w:hAnsi="Arial"/>
                <w:sz w:val="13"/>
                <w:szCs w:val="13"/>
                <w:b w:val="1"/>
                <w:bCs w:val="1"/>
                <w:color w:val="auto"/>
                <w:w w:val="94"/>
              </w:rPr>
              <w:t>Return $</w:t>
            </w: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rPr>
              <w:t>$</w:t>
            </w:r>
          </w:p>
        </w:tc>
      </w:tr>
    </w:tbl>
    <w:p>
      <w:pPr>
        <w:spacing w:after="0" w:line="22" w:lineRule="exact"/>
        <w:rPr>
          <w:sz w:val="20"/>
          <w:szCs w:val="20"/>
          <w:color w:val="auto"/>
        </w:rPr>
      </w:pPr>
    </w:p>
    <w:p>
      <w:pPr>
        <w:sectPr>
          <w:pgSz w:w="11900" w:h="16838" w:orient="portrait"/>
          <w:cols w:equalWidth="0" w:num="2">
            <w:col w:w="7400" w:space="120"/>
            <w:col w:w="3680"/>
          </w:cols>
          <w:pgMar w:left="320" w:top="877" w:right="37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620" w:type="dxa"/>
            <w:vAlign w:val="bottom"/>
            <w:tcBorders>
              <w:top w:val="single" w:sz="8" w:color="auto"/>
              <w:bottom w:val="single" w:sz="8" w:color="CCEEFF"/>
            </w:tcBorders>
            <w:shd w:val="clear" w:color="auto" w:fill="CCEEFF"/>
          </w:tcPr>
          <w:p>
            <w:pPr>
              <w:jc w:val="right"/>
              <w:ind w:right="117"/>
              <w:spacing w:after="0"/>
              <w:rPr>
                <w:sz w:val="20"/>
                <w:szCs w:val="20"/>
                <w:color w:val="auto"/>
              </w:rPr>
            </w:pPr>
            <w:r>
              <w:rPr>
                <w:rFonts w:ascii="Arial" w:cs="Arial" w:eastAsia="Arial" w:hAnsi="Arial"/>
                <w:sz w:val="13"/>
                <w:szCs w:val="13"/>
                <w:color w:val="auto"/>
              </w:rPr>
              <w:t>2024</w:t>
            </w:r>
          </w:p>
        </w:tc>
        <w:tc>
          <w:tcPr>
            <w:tcW w:w="106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96"/>
              </w:rPr>
              <w:t>7,176,468</w:t>
            </w:r>
          </w:p>
        </w:tc>
        <w:tc>
          <w:tcPr>
            <w:tcW w:w="108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93"/>
              </w:rPr>
              <w:t>494,493</w:t>
            </w:r>
          </w:p>
        </w:tc>
        <w:tc>
          <w:tcPr>
            <w:tcW w:w="104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99"/>
              </w:rPr>
              <w:t>n/a</w:t>
            </w:r>
          </w:p>
        </w:tc>
        <w:tc>
          <w:tcPr>
            <w:tcW w:w="1240" w:type="dxa"/>
            <w:vAlign w:val="bottom"/>
            <w:tcBorders>
              <w:top w:val="single" w:sz="8" w:color="auto"/>
              <w:bottom w:val="single" w:sz="8" w:color="CCEEFF"/>
            </w:tcBorders>
            <w:shd w:val="clear" w:color="auto" w:fill="CCEEFF"/>
          </w:tcPr>
          <w:p>
            <w:pPr>
              <w:jc w:val="right"/>
              <w:ind w:right="497"/>
              <w:spacing w:after="0"/>
              <w:rPr>
                <w:sz w:val="20"/>
                <w:szCs w:val="20"/>
                <w:color w:val="auto"/>
              </w:rPr>
            </w:pPr>
            <w:r>
              <w:rPr>
                <w:rFonts w:ascii="Arial" w:cs="Arial" w:eastAsia="Arial" w:hAnsi="Arial"/>
                <w:sz w:val="13"/>
                <w:szCs w:val="13"/>
                <w:color w:val="auto"/>
              </w:rPr>
              <w:t>n/a</w:t>
            </w:r>
          </w:p>
        </w:tc>
        <w:tc>
          <w:tcPr>
            <w:tcW w:w="1160" w:type="dxa"/>
            <w:vAlign w:val="bottom"/>
            <w:tcBorders>
              <w:top w:val="single" w:sz="8" w:color="auto"/>
              <w:bottom w:val="single" w:sz="8" w:color="CCEEFF"/>
            </w:tcBorders>
            <w:shd w:val="clear" w:color="auto" w:fill="CCEEFF"/>
          </w:tcPr>
          <w:p>
            <w:pPr>
              <w:jc w:val="right"/>
              <w:ind w:right="257"/>
              <w:spacing w:after="0"/>
              <w:rPr>
                <w:sz w:val="20"/>
                <w:szCs w:val="20"/>
                <w:color w:val="auto"/>
              </w:rPr>
            </w:pPr>
            <w:r>
              <w:rPr>
                <w:rFonts w:ascii="Arial" w:cs="Arial" w:eastAsia="Arial" w:hAnsi="Arial"/>
                <w:sz w:val="13"/>
                <w:szCs w:val="13"/>
                <w:color w:val="auto"/>
              </w:rPr>
              <w:t>2,944,372</w:t>
            </w:r>
          </w:p>
        </w:tc>
        <w:tc>
          <w:tcPr>
            <w:tcW w:w="126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97"/>
              </w:rPr>
              <w:t>370,539</w:t>
            </w:r>
          </w:p>
        </w:tc>
        <w:tc>
          <w:tcPr>
            <w:tcW w:w="100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98"/>
              </w:rPr>
              <w:t>77.70</w:t>
            </w:r>
          </w:p>
        </w:tc>
        <w:tc>
          <w:tcPr>
            <w:tcW w:w="1020" w:type="dxa"/>
            <w:vAlign w:val="bottom"/>
            <w:tcBorders>
              <w:top w:val="single" w:sz="8" w:color="auto"/>
              <w:bottom w:val="single" w:sz="8" w:color="CCEEFF"/>
            </w:tcBorders>
            <w:shd w:val="clear" w:color="auto" w:fill="CCEEFF"/>
          </w:tcPr>
          <w:p>
            <w:pPr>
              <w:jc w:val="right"/>
              <w:ind w:right="237"/>
              <w:spacing w:after="0"/>
              <w:rPr>
                <w:sz w:val="20"/>
                <w:szCs w:val="20"/>
                <w:color w:val="auto"/>
              </w:rPr>
            </w:pPr>
            <w:r>
              <w:rPr>
                <w:rFonts w:ascii="Arial" w:cs="Arial" w:eastAsia="Arial" w:hAnsi="Arial"/>
                <w:sz w:val="13"/>
                <w:szCs w:val="13"/>
                <w:color w:val="auto"/>
              </w:rPr>
              <w:t>186.94</w:t>
            </w:r>
          </w:p>
        </w:tc>
        <w:tc>
          <w:tcPr>
            <w:tcW w:w="84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94"/>
              </w:rPr>
              <w:t>35.9</w:t>
            </w:r>
          </w:p>
        </w:tc>
        <w:tc>
          <w:tcPr>
            <w:tcW w:w="820" w:type="dxa"/>
            <w:vAlign w:val="bottom"/>
            <w:tcBorders>
              <w:top w:val="single" w:sz="8" w:color="auto"/>
              <w:bottom w:val="single" w:sz="8" w:color="CCEEFF"/>
            </w:tcBorders>
            <w:shd w:val="clear" w:color="auto" w:fill="CCEEFF"/>
          </w:tcPr>
          <w:p>
            <w:pPr>
              <w:jc w:val="right"/>
              <w:ind w:right="177"/>
              <w:spacing w:after="0"/>
              <w:rPr>
                <w:sz w:val="20"/>
                <w:szCs w:val="20"/>
                <w:color w:val="auto"/>
              </w:rPr>
            </w:pPr>
            <w:r>
              <w:rPr>
                <w:rFonts w:ascii="Arial" w:cs="Arial" w:eastAsia="Arial" w:hAnsi="Arial"/>
                <w:sz w:val="13"/>
                <w:szCs w:val="13"/>
                <w:color w:val="auto"/>
              </w:rPr>
              <w:t>247.1</w:t>
            </w:r>
          </w:p>
        </w:tc>
      </w:tr>
      <w:tr>
        <w:trPr>
          <w:trHeight w:val="175"/>
        </w:trPr>
        <w:tc>
          <w:tcPr>
            <w:tcW w:w="620" w:type="dxa"/>
            <w:vAlign w:val="bottom"/>
          </w:tcPr>
          <w:p>
            <w:pPr>
              <w:jc w:val="right"/>
              <w:ind w:right="117"/>
              <w:spacing w:after="0"/>
              <w:rPr>
                <w:sz w:val="20"/>
                <w:szCs w:val="20"/>
                <w:color w:val="auto"/>
              </w:rPr>
            </w:pPr>
            <w:r>
              <w:rPr>
                <w:rFonts w:ascii="Arial" w:cs="Arial" w:eastAsia="Arial" w:hAnsi="Arial"/>
                <w:sz w:val="13"/>
                <w:szCs w:val="13"/>
                <w:color w:val="auto"/>
              </w:rPr>
              <w:t>2023</w:t>
            </w:r>
          </w:p>
        </w:tc>
        <w:tc>
          <w:tcPr>
            <w:tcW w:w="1060" w:type="dxa"/>
            <w:vAlign w:val="bottom"/>
          </w:tcPr>
          <w:p>
            <w:pPr>
              <w:jc w:val="center"/>
              <w:spacing w:after="0"/>
              <w:rPr>
                <w:sz w:val="20"/>
                <w:szCs w:val="20"/>
                <w:color w:val="auto"/>
              </w:rPr>
            </w:pPr>
            <w:r>
              <w:rPr>
                <w:rFonts w:ascii="Arial" w:cs="Arial" w:eastAsia="Arial" w:hAnsi="Arial"/>
                <w:sz w:val="13"/>
                <w:szCs w:val="13"/>
                <w:color w:val="auto"/>
                <w:w w:val="93"/>
              </w:rPr>
              <w:t>8,113,511</w:t>
            </w:r>
          </w:p>
        </w:tc>
        <w:tc>
          <w:tcPr>
            <w:tcW w:w="1080" w:type="dxa"/>
            <w:vAlign w:val="bottom"/>
          </w:tcPr>
          <w:p>
            <w:pPr>
              <w:jc w:val="center"/>
              <w:spacing w:after="0"/>
              <w:rPr>
                <w:sz w:val="20"/>
                <w:szCs w:val="20"/>
                <w:color w:val="auto"/>
              </w:rPr>
            </w:pPr>
            <w:r>
              <w:rPr>
                <w:rFonts w:ascii="Arial" w:cs="Arial" w:eastAsia="Arial" w:hAnsi="Arial"/>
                <w:sz w:val="13"/>
                <w:szCs w:val="13"/>
                <w:color w:val="auto"/>
                <w:w w:val="96"/>
              </w:rPr>
              <w:t>5,010,678</w:t>
            </w:r>
          </w:p>
        </w:tc>
        <w:tc>
          <w:tcPr>
            <w:tcW w:w="1040" w:type="dxa"/>
            <w:vAlign w:val="bottom"/>
          </w:tcPr>
          <w:p>
            <w:pPr>
              <w:jc w:val="center"/>
              <w:spacing w:after="0"/>
              <w:rPr>
                <w:sz w:val="20"/>
                <w:szCs w:val="20"/>
                <w:color w:val="auto"/>
              </w:rPr>
            </w:pPr>
            <w:r>
              <w:rPr>
                <w:rFonts w:ascii="Arial" w:cs="Arial" w:eastAsia="Arial" w:hAnsi="Arial"/>
                <w:sz w:val="13"/>
                <w:szCs w:val="13"/>
                <w:color w:val="auto"/>
                <w:w w:val="99"/>
              </w:rPr>
              <w:t>n/a</w:t>
            </w:r>
          </w:p>
        </w:tc>
        <w:tc>
          <w:tcPr>
            <w:tcW w:w="1240" w:type="dxa"/>
            <w:vAlign w:val="bottom"/>
          </w:tcPr>
          <w:p>
            <w:pPr>
              <w:jc w:val="right"/>
              <w:ind w:right="497"/>
              <w:spacing w:after="0"/>
              <w:rPr>
                <w:sz w:val="20"/>
                <w:szCs w:val="20"/>
                <w:color w:val="auto"/>
              </w:rPr>
            </w:pPr>
            <w:r>
              <w:rPr>
                <w:rFonts w:ascii="Arial" w:cs="Arial" w:eastAsia="Arial" w:hAnsi="Arial"/>
                <w:sz w:val="13"/>
                <w:szCs w:val="13"/>
                <w:color w:val="auto"/>
              </w:rPr>
              <w:t>n/a</w:t>
            </w:r>
          </w:p>
        </w:tc>
        <w:tc>
          <w:tcPr>
            <w:tcW w:w="1160" w:type="dxa"/>
            <w:vAlign w:val="bottom"/>
          </w:tcPr>
          <w:p>
            <w:pPr>
              <w:jc w:val="right"/>
              <w:ind w:right="257"/>
              <w:spacing w:after="0"/>
              <w:rPr>
                <w:sz w:val="20"/>
                <w:szCs w:val="20"/>
                <w:color w:val="auto"/>
              </w:rPr>
            </w:pPr>
            <w:r>
              <w:rPr>
                <w:rFonts w:ascii="Arial" w:cs="Arial" w:eastAsia="Arial" w:hAnsi="Arial"/>
                <w:sz w:val="13"/>
                <w:szCs w:val="13"/>
                <w:color w:val="auto"/>
              </w:rPr>
              <w:t>6,195,115</w:t>
            </w:r>
          </w:p>
        </w:tc>
        <w:tc>
          <w:tcPr>
            <w:tcW w:w="1260" w:type="dxa"/>
            <w:vAlign w:val="bottom"/>
          </w:tcPr>
          <w:p>
            <w:pPr>
              <w:jc w:val="center"/>
              <w:spacing w:after="0"/>
              <w:rPr>
                <w:sz w:val="20"/>
                <w:szCs w:val="20"/>
                <w:color w:val="auto"/>
              </w:rPr>
            </w:pPr>
            <w:r>
              <w:rPr>
                <w:rFonts w:ascii="Arial" w:cs="Arial" w:eastAsia="Arial" w:hAnsi="Arial"/>
                <w:sz w:val="13"/>
                <w:szCs w:val="13"/>
                <w:color w:val="auto"/>
                <w:w w:val="96"/>
              </w:rPr>
              <w:t>4,169,842</w:t>
            </w:r>
          </w:p>
        </w:tc>
        <w:tc>
          <w:tcPr>
            <w:tcW w:w="1000" w:type="dxa"/>
            <w:vAlign w:val="bottom"/>
          </w:tcPr>
          <w:p>
            <w:pPr>
              <w:jc w:val="center"/>
              <w:spacing w:after="0"/>
              <w:rPr>
                <w:sz w:val="20"/>
                <w:szCs w:val="20"/>
                <w:color w:val="auto"/>
              </w:rPr>
            </w:pPr>
            <w:r>
              <w:rPr>
                <w:rFonts w:ascii="Arial" w:cs="Arial" w:eastAsia="Arial" w:hAnsi="Arial"/>
                <w:sz w:val="13"/>
                <w:szCs w:val="13"/>
                <w:color w:val="auto"/>
                <w:w w:val="95"/>
              </w:rPr>
              <w:t>119.64</w:t>
            </w:r>
          </w:p>
        </w:tc>
        <w:tc>
          <w:tcPr>
            <w:tcW w:w="1020" w:type="dxa"/>
            <w:vAlign w:val="bottom"/>
          </w:tcPr>
          <w:p>
            <w:pPr>
              <w:jc w:val="right"/>
              <w:ind w:right="237"/>
              <w:spacing w:after="0"/>
              <w:rPr>
                <w:sz w:val="20"/>
                <w:szCs w:val="20"/>
                <w:color w:val="auto"/>
              </w:rPr>
            </w:pPr>
            <w:r>
              <w:rPr>
                <w:rFonts w:ascii="Arial" w:cs="Arial" w:eastAsia="Arial" w:hAnsi="Arial"/>
                <w:sz w:val="13"/>
                <w:szCs w:val="13"/>
                <w:color w:val="auto"/>
              </w:rPr>
              <w:t>148.98</w:t>
            </w:r>
          </w:p>
        </w:tc>
        <w:tc>
          <w:tcPr>
            <w:tcW w:w="840" w:type="dxa"/>
            <w:vAlign w:val="bottom"/>
          </w:tcPr>
          <w:p>
            <w:pPr>
              <w:jc w:val="center"/>
              <w:spacing w:after="0"/>
              <w:rPr>
                <w:sz w:val="20"/>
                <w:szCs w:val="20"/>
                <w:color w:val="auto"/>
              </w:rPr>
            </w:pPr>
            <w:r>
              <w:rPr>
                <w:rFonts w:ascii="Arial" w:cs="Arial" w:eastAsia="Arial" w:hAnsi="Arial"/>
                <w:sz w:val="13"/>
                <w:szCs w:val="13"/>
                <w:color w:val="auto"/>
                <w:w w:val="92"/>
              </w:rPr>
              <w:t>110.3</w:t>
            </w:r>
          </w:p>
        </w:tc>
        <w:tc>
          <w:tcPr>
            <w:tcW w:w="820" w:type="dxa"/>
            <w:vAlign w:val="bottom"/>
          </w:tcPr>
          <w:p>
            <w:pPr>
              <w:jc w:val="right"/>
              <w:ind w:right="177"/>
              <w:spacing w:after="0"/>
              <w:rPr>
                <w:sz w:val="20"/>
                <w:szCs w:val="20"/>
                <w:color w:val="auto"/>
              </w:rPr>
            </w:pPr>
            <w:r>
              <w:rPr>
                <w:rFonts w:ascii="Arial" w:cs="Arial" w:eastAsia="Arial" w:hAnsi="Arial"/>
                <w:sz w:val="13"/>
                <w:szCs w:val="13"/>
                <w:color w:val="auto"/>
              </w:rPr>
              <w:t>240.8</w:t>
            </w:r>
          </w:p>
        </w:tc>
      </w:tr>
      <w:tr>
        <w:trPr>
          <w:trHeight w:val="28"/>
        </w:trPr>
        <w:tc>
          <w:tcPr>
            <w:tcW w:w="6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183"/>
        </w:trPr>
        <w:tc>
          <w:tcPr>
            <w:tcW w:w="62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3"/>
                <w:szCs w:val="13"/>
                <w:color w:val="auto"/>
              </w:rPr>
              <w:t>2022</w:t>
            </w:r>
          </w:p>
        </w:tc>
        <w:tc>
          <w:tcPr>
            <w:tcW w:w="1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98"/>
              </w:rPr>
              <w:t>20,883,260</w:t>
            </w:r>
          </w:p>
        </w:tc>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98"/>
              </w:rPr>
              <w:t>18,201,281</w:t>
            </w:r>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96"/>
              </w:rPr>
              <w:t>5,913,330</w:t>
            </w:r>
          </w:p>
        </w:tc>
        <w:tc>
          <w:tcPr>
            <w:tcW w:w="1240" w:type="dxa"/>
            <w:vAlign w:val="bottom"/>
            <w:tcBorders>
              <w:bottom w:val="single" w:sz="8" w:color="CCEEFF"/>
            </w:tcBorders>
            <w:shd w:val="clear" w:color="auto" w:fill="CCEEFF"/>
          </w:tcPr>
          <w:p>
            <w:pPr>
              <w:jc w:val="right"/>
              <w:ind w:right="237"/>
              <w:spacing w:after="0"/>
              <w:rPr>
                <w:sz w:val="20"/>
                <w:szCs w:val="20"/>
                <w:color w:val="auto"/>
              </w:rPr>
            </w:pPr>
            <w:r>
              <w:rPr>
                <w:rFonts w:ascii="Arial" w:cs="Arial" w:eastAsia="Arial" w:hAnsi="Arial"/>
                <w:sz w:val="13"/>
                <w:szCs w:val="13"/>
                <w:color w:val="auto"/>
              </w:rPr>
              <w:t>(16,980,341)</w:t>
            </w:r>
          </w:p>
        </w:tc>
        <w:tc>
          <w:tcPr>
            <w:tcW w:w="1160" w:type="dxa"/>
            <w:vAlign w:val="bottom"/>
            <w:tcBorders>
              <w:bottom w:val="single" w:sz="8" w:color="CCEEFF"/>
            </w:tcBorders>
            <w:shd w:val="clear" w:color="auto" w:fill="CCEEFF"/>
          </w:tcPr>
          <w:p>
            <w:pPr>
              <w:jc w:val="right"/>
              <w:ind w:right="257"/>
              <w:spacing w:after="0"/>
              <w:rPr>
                <w:sz w:val="20"/>
                <w:szCs w:val="20"/>
                <w:color w:val="auto"/>
              </w:rPr>
            </w:pPr>
            <w:r>
              <w:rPr>
                <w:rFonts w:ascii="Arial" w:cs="Arial" w:eastAsia="Arial" w:hAnsi="Arial"/>
                <w:sz w:val="13"/>
                <w:szCs w:val="13"/>
                <w:color w:val="auto"/>
              </w:rPr>
              <w:t>4,003,445</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96"/>
              </w:rPr>
              <w:t>(5,794,986)</w:t>
            </w:r>
          </w:p>
        </w:tc>
        <w:tc>
          <w:tcPr>
            <w:tcW w:w="1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95"/>
              </w:rPr>
              <w:t>127.83</w:t>
            </w:r>
          </w:p>
        </w:tc>
        <w:tc>
          <w:tcPr>
            <w:tcW w:w="1020" w:type="dxa"/>
            <w:vAlign w:val="bottom"/>
            <w:tcBorders>
              <w:bottom w:val="single" w:sz="8" w:color="CCEEFF"/>
            </w:tcBorders>
            <w:shd w:val="clear" w:color="auto" w:fill="CCEEFF"/>
          </w:tcPr>
          <w:p>
            <w:pPr>
              <w:jc w:val="right"/>
              <w:ind w:right="237"/>
              <w:spacing w:after="0"/>
              <w:rPr>
                <w:sz w:val="20"/>
                <w:szCs w:val="20"/>
                <w:color w:val="auto"/>
              </w:rPr>
            </w:pPr>
            <w:r>
              <w:rPr>
                <w:rFonts w:ascii="Arial" w:cs="Arial" w:eastAsia="Arial" w:hAnsi="Arial"/>
                <w:sz w:val="13"/>
                <w:szCs w:val="13"/>
                <w:color w:val="auto"/>
              </w:rPr>
              <w:t>107.51</w:t>
            </w:r>
          </w:p>
        </w:tc>
        <w:tc>
          <w:tcPr>
            <w:tcW w:w="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94"/>
              </w:rPr>
              <w:t>76.1</w:t>
            </w:r>
          </w:p>
        </w:tc>
        <w:tc>
          <w:tcPr>
            <w:tcW w:w="820" w:type="dxa"/>
            <w:vAlign w:val="bottom"/>
            <w:tcBorders>
              <w:bottom w:val="single" w:sz="8" w:color="CCEEFF"/>
            </w:tcBorders>
            <w:shd w:val="clear" w:color="auto" w:fill="CCEEFF"/>
          </w:tcPr>
          <w:p>
            <w:pPr>
              <w:jc w:val="right"/>
              <w:ind w:right="177"/>
              <w:spacing w:after="0"/>
              <w:rPr>
                <w:sz w:val="20"/>
                <w:szCs w:val="20"/>
                <w:color w:val="auto"/>
              </w:rPr>
            </w:pPr>
            <w:r>
              <w:rPr>
                <w:rFonts w:ascii="Arial" w:cs="Arial" w:eastAsia="Arial" w:hAnsi="Arial"/>
                <w:sz w:val="13"/>
                <w:szCs w:val="13"/>
                <w:color w:val="auto"/>
              </w:rPr>
              <w:t>218.1</w:t>
            </w:r>
          </w:p>
        </w:tc>
      </w:tr>
      <w:tr>
        <w:trPr>
          <w:trHeight w:val="175"/>
        </w:trPr>
        <w:tc>
          <w:tcPr>
            <w:tcW w:w="620" w:type="dxa"/>
            <w:vAlign w:val="bottom"/>
          </w:tcPr>
          <w:p>
            <w:pPr>
              <w:jc w:val="right"/>
              <w:ind w:right="117"/>
              <w:spacing w:after="0"/>
              <w:rPr>
                <w:sz w:val="20"/>
                <w:szCs w:val="20"/>
                <w:color w:val="auto"/>
              </w:rPr>
            </w:pPr>
            <w:r>
              <w:rPr>
                <w:rFonts w:ascii="Arial" w:cs="Arial" w:eastAsia="Arial" w:hAnsi="Arial"/>
                <w:sz w:val="13"/>
                <w:szCs w:val="13"/>
                <w:color w:val="auto"/>
              </w:rPr>
              <w:t>2021</w:t>
            </w:r>
          </w:p>
        </w:tc>
        <w:tc>
          <w:tcPr>
            <w:tcW w:w="1060" w:type="dxa"/>
            <w:vAlign w:val="bottom"/>
          </w:tcPr>
          <w:p>
            <w:pPr>
              <w:ind w:left="440"/>
              <w:spacing w:after="0"/>
              <w:rPr>
                <w:sz w:val="20"/>
                <w:szCs w:val="20"/>
                <w:color w:val="auto"/>
              </w:rPr>
            </w:pPr>
            <w:r>
              <w:rPr>
                <w:rFonts w:ascii="Arial" w:cs="Arial" w:eastAsia="Arial" w:hAnsi="Arial"/>
                <w:sz w:val="13"/>
                <w:szCs w:val="13"/>
                <w:color w:val="auto"/>
              </w:rPr>
              <w:t>n/a</w:t>
            </w:r>
          </w:p>
        </w:tc>
        <w:tc>
          <w:tcPr>
            <w:tcW w:w="1080" w:type="dxa"/>
            <w:vAlign w:val="bottom"/>
          </w:tcPr>
          <w:p>
            <w:pPr>
              <w:ind w:left="460"/>
              <w:spacing w:after="0"/>
              <w:rPr>
                <w:sz w:val="20"/>
                <w:szCs w:val="20"/>
                <w:color w:val="auto"/>
              </w:rPr>
            </w:pPr>
            <w:r>
              <w:rPr>
                <w:rFonts w:ascii="Arial" w:cs="Arial" w:eastAsia="Arial" w:hAnsi="Arial"/>
                <w:sz w:val="13"/>
                <w:szCs w:val="13"/>
                <w:color w:val="auto"/>
              </w:rPr>
              <w:t>n/a</w:t>
            </w:r>
          </w:p>
        </w:tc>
        <w:tc>
          <w:tcPr>
            <w:tcW w:w="1040" w:type="dxa"/>
            <w:vAlign w:val="bottom"/>
          </w:tcPr>
          <w:p>
            <w:pPr>
              <w:jc w:val="center"/>
              <w:spacing w:after="0"/>
              <w:rPr>
                <w:sz w:val="20"/>
                <w:szCs w:val="20"/>
                <w:color w:val="auto"/>
              </w:rPr>
            </w:pPr>
            <w:r>
              <w:rPr>
                <w:rFonts w:ascii="Arial" w:cs="Arial" w:eastAsia="Arial" w:hAnsi="Arial"/>
                <w:sz w:val="13"/>
                <w:szCs w:val="13"/>
                <w:color w:val="auto"/>
                <w:w w:val="96"/>
              </w:rPr>
              <w:t>5,717,651</w:t>
            </w:r>
          </w:p>
        </w:tc>
        <w:tc>
          <w:tcPr>
            <w:tcW w:w="1240" w:type="dxa"/>
            <w:vAlign w:val="bottom"/>
          </w:tcPr>
          <w:p>
            <w:pPr>
              <w:jc w:val="right"/>
              <w:ind w:right="277"/>
              <w:spacing w:after="0"/>
              <w:rPr>
                <w:sz w:val="20"/>
                <w:szCs w:val="20"/>
                <w:color w:val="auto"/>
              </w:rPr>
            </w:pPr>
            <w:r>
              <w:rPr>
                <w:rFonts w:ascii="Arial" w:cs="Arial" w:eastAsia="Arial" w:hAnsi="Arial"/>
                <w:sz w:val="13"/>
                <w:szCs w:val="13"/>
                <w:color w:val="auto"/>
              </w:rPr>
              <w:t>22,508,915</w:t>
            </w:r>
          </w:p>
        </w:tc>
        <w:tc>
          <w:tcPr>
            <w:tcW w:w="1160" w:type="dxa"/>
            <w:vAlign w:val="bottom"/>
          </w:tcPr>
          <w:p>
            <w:pPr>
              <w:jc w:val="right"/>
              <w:ind w:right="257"/>
              <w:spacing w:after="0"/>
              <w:rPr>
                <w:sz w:val="20"/>
                <w:szCs w:val="20"/>
                <w:color w:val="auto"/>
              </w:rPr>
            </w:pPr>
            <w:r>
              <w:rPr>
                <w:rFonts w:ascii="Arial" w:cs="Arial" w:eastAsia="Arial" w:hAnsi="Arial"/>
                <w:sz w:val="13"/>
                <w:szCs w:val="13"/>
                <w:color w:val="auto"/>
              </w:rPr>
              <w:t>3,394,474</w:t>
            </w:r>
          </w:p>
        </w:tc>
        <w:tc>
          <w:tcPr>
            <w:tcW w:w="1260" w:type="dxa"/>
            <w:vAlign w:val="bottom"/>
          </w:tcPr>
          <w:p>
            <w:pPr>
              <w:jc w:val="center"/>
              <w:spacing w:after="0"/>
              <w:rPr>
                <w:sz w:val="20"/>
                <w:szCs w:val="20"/>
                <w:color w:val="auto"/>
              </w:rPr>
            </w:pPr>
            <w:r>
              <w:rPr>
                <w:rFonts w:ascii="Arial" w:cs="Arial" w:eastAsia="Arial" w:hAnsi="Arial"/>
                <w:sz w:val="13"/>
                <w:szCs w:val="13"/>
                <w:color w:val="auto"/>
                <w:w w:val="95"/>
              </w:rPr>
              <w:t>13,395,666</w:t>
            </w:r>
          </w:p>
        </w:tc>
        <w:tc>
          <w:tcPr>
            <w:tcW w:w="1000" w:type="dxa"/>
            <w:vAlign w:val="bottom"/>
          </w:tcPr>
          <w:p>
            <w:pPr>
              <w:jc w:val="center"/>
              <w:spacing w:after="0"/>
              <w:rPr>
                <w:sz w:val="20"/>
                <w:szCs w:val="20"/>
                <w:color w:val="auto"/>
              </w:rPr>
            </w:pPr>
            <w:r>
              <w:rPr>
                <w:rFonts w:ascii="Arial" w:cs="Arial" w:eastAsia="Arial" w:hAnsi="Arial"/>
                <w:sz w:val="13"/>
                <w:szCs w:val="13"/>
                <w:color w:val="auto"/>
                <w:w w:val="95"/>
              </w:rPr>
              <w:t>264.65</w:t>
            </w:r>
          </w:p>
        </w:tc>
        <w:tc>
          <w:tcPr>
            <w:tcW w:w="1020" w:type="dxa"/>
            <w:vAlign w:val="bottom"/>
          </w:tcPr>
          <w:p>
            <w:pPr>
              <w:jc w:val="right"/>
              <w:ind w:right="237"/>
              <w:spacing w:after="0"/>
              <w:rPr>
                <w:sz w:val="20"/>
                <w:szCs w:val="20"/>
                <w:color w:val="auto"/>
              </w:rPr>
            </w:pPr>
            <w:r>
              <w:rPr>
                <w:rFonts w:ascii="Arial" w:cs="Arial" w:eastAsia="Arial" w:hAnsi="Arial"/>
                <w:sz w:val="13"/>
                <w:szCs w:val="13"/>
                <w:color w:val="auto"/>
              </w:rPr>
              <w:t>163.87</w:t>
            </w:r>
          </w:p>
        </w:tc>
        <w:tc>
          <w:tcPr>
            <w:tcW w:w="840" w:type="dxa"/>
            <w:vAlign w:val="bottom"/>
          </w:tcPr>
          <w:p>
            <w:pPr>
              <w:jc w:val="center"/>
              <w:spacing w:after="0"/>
              <w:rPr>
                <w:sz w:val="20"/>
                <w:szCs w:val="20"/>
                <w:color w:val="auto"/>
              </w:rPr>
            </w:pPr>
            <w:r>
              <w:rPr>
                <w:rFonts w:ascii="Arial" w:cs="Arial" w:eastAsia="Arial" w:hAnsi="Arial"/>
                <w:sz w:val="13"/>
                <w:szCs w:val="13"/>
                <w:color w:val="auto"/>
                <w:w w:val="94"/>
              </w:rPr>
              <w:t>91.9</w:t>
            </w:r>
          </w:p>
        </w:tc>
        <w:tc>
          <w:tcPr>
            <w:tcW w:w="820" w:type="dxa"/>
            <w:vAlign w:val="bottom"/>
          </w:tcPr>
          <w:p>
            <w:pPr>
              <w:jc w:val="right"/>
              <w:ind w:right="177"/>
              <w:spacing w:after="0"/>
              <w:rPr>
                <w:sz w:val="20"/>
                <w:szCs w:val="20"/>
                <w:color w:val="auto"/>
              </w:rPr>
            </w:pPr>
            <w:r>
              <w:rPr>
                <w:rFonts w:ascii="Arial" w:cs="Arial" w:eastAsia="Arial" w:hAnsi="Arial"/>
                <w:sz w:val="13"/>
                <w:szCs w:val="13"/>
                <w:color w:val="auto"/>
              </w:rPr>
              <w:t>193.1</w:t>
            </w:r>
          </w:p>
        </w:tc>
      </w:tr>
      <w:tr>
        <w:trPr>
          <w:trHeight w:val="28"/>
        </w:trPr>
        <w:tc>
          <w:tcPr>
            <w:tcW w:w="6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175"/>
        </w:trPr>
        <w:tc>
          <w:tcPr>
            <w:tcW w:w="62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2020</w:t>
            </w:r>
          </w:p>
        </w:tc>
        <w:tc>
          <w:tcPr>
            <w:tcW w:w="1060" w:type="dxa"/>
            <w:vAlign w:val="bottom"/>
            <w:shd w:val="clear" w:color="auto" w:fill="CCEEFF"/>
          </w:tcPr>
          <w:p>
            <w:pPr>
              <w:ind w:left="440"/>
              <w:spacing w:after="0"/>
              <w:rPr>
                <w:sz w:val="20"/>
                <w:szCs w:val="20"/>
                <w:color w:val="auto"/>
              </w:rPr>
            </w:pPr>
            <w:r>
              <w:rPr>
                <w:rFonts w:ascii="Arial" w:cs="Arial" w:eastAsia="Arial" w:hAnsi="Arial"/>
                <w:sz w:val="13"/>
                <w:szCs w:val="13"/>
                <w:color w:val="auto"/>
              </w:rPr>
              <w:t>n/a</w:t>
            </w:r>
          </w:p>
        </w:tc>
        <w:tc>
          <w:tcPr>
            <w:tcW w:w="1080" w:type="dxa"/>
            <w:vAlign w:val="bottom"/>
            <w:shd w:val="clear" w:color="auto" w:fill="CCEEFF"/>
          </w:tcPr>
          <w:p>
            <w:pPr>
              <w:ind w:left="460"/>
              <w:spacing w:after="0"/>
              <w:rPr>
                <w:sz w:val="20"/>
                <w:szCs w:val="20"/>
                <w:color w:val="auto"/>
              </w:rPr>
            </w:pPr>
            <w:r>
              <w:rPr>
                <w:rFonts w:ascii="Arial" w:cs="Arial" w:eastAsia="Arial" w:hAnsi="Arial"/>
                <w:sz w:val="13"/>
                <w:szCs w:val="13"/>
                <w:color w:val="auto"/>
              </w:rPr>
              <w:t>n/a</w:t>
            </w:r>
          </w:p>
        </w:tc>
        <w:tc>
          <w:tcPr>
            <w:tcW w:w="10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7,025,759</w:t>
            </w:r>
          </w:p>
        </w:tc>
        <w:tc>
          <w:tcPr>
            <w:tcW w:w="1240" w:type="dxa"/>
            <w:vAlign w:val="bottom"/>
            <w:shd w:val="clear" w:color="auto" w:fill="CCEEFF"/>
          </w:tcPr>
          <w:p>
            <w:pPr>
              <w:jc w:val="right"/>
              <w:ind w:right="277"/>
              <w:spacing w:after="0"/>
              <w:rPr>
                <w:sz w:val="20"/>
                <w:szCs w:val="20"/>
                <w:color w:val="auto"/>
              </w:rPr>
            </w:pPr>
            <w:r>
              <w:rPr>
                <w:rFonts w:ascii="Arial" w:cs="Arial" w:eastAsia="Arial" w:hAnsi="Arial"/>
                <w:sz w:val="13"/>
                <w:szCs w:val="13"/>
                <w:color w:val="auto"/>
              </w:rPr>
              <w:t>17,165,333</w:t>
            </w:r>
          </w:p>
        </w:tc>
        <w:tc>
          <w:tcPr>
            <w:tcW w:w="1160" w:type="dxa"/>
            <w:vAlign w:val="bottom"/>
            <w:shd w:val="clear" w:color="auto" w:fill="CCEEFF"/>
          </w:tcPr>
          <w:p>
            <w:pPr>
              <w:jc w:val="right"/>
              <w:ind w:right="257"/>
              <w:spacing w:after="0"/>
              <w:rPr>
                <w:sz w:val="20"/>
                <w:szCs w:val="20"/>
                <w:color w:val="auto"/>
              </w:rPr>
            </w:pPr>
            <w:r>
              <w:rPr>
                <w:rFonts w:ascii="Arial" w:cs="Arial" w:eastAsia="Arial" w:hAnsi="Arial"/>
                <w:sz w:val="13"/>
                <w:szCs w:val="13"/>
                <w:color w:val="auto"/>
              </w:rPr>
              <w:t>2,418,455</w:t>
            </w:r>
          </w:p>
        </w:tc>
        <w:tc>
          <w:tcPr>
            <w:tcW w:w="12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5,675,640</w:t>
            </w:r>
          </w:p>
        </w:tc>
        <w:tc>
          <w:tcPr>
            <w:tcW w:w="10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169.71</w:t>
            </w:r>
          </w:p>
        </w:tc>
        <w:tc>
          <w:tcPr>
            <w:tcW w:w="1020" w:type="dxa"/>
            <w:vAlign w:val="bottom"/>
            <w:shd w:val="clear" w:color="auto" w:fill="CCEEFF"/>
          </w:tcPr>
          <w:p>
            <w:pPr>
              <w:jc w:val="right"/>
              <w:ind w:right="237"/>
              <w:spacing w:after="0"/>
              <w:rPr>
                <w:sz w:val="20"/>
                <w:szCs w:val="20"/>
                <w:color w:val="auto"/>
              </w:rPr>
            </w:pPr>
            <w:r>
              <w:rPr>
                <w:rFonts w:ascii="Arial" w:cs="Arial" w:eastAsia="Arial" w:hAnsi="Arial"/>
                <w:sz w:val="13"/>
                <w:szCs w:val="13"/>
                <w:color w:val="auto"/>
              </w:rPr>
              <w:t>152.18</w:t>
            </w:r>
          </w:p>
        </w:tc>
        <w:tc>
          <w:tcPr>
            <w:tcW w:w="8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71.8</w:t>
            </w:r>
          </w:p>
        </w:tc>
        <w:tc>
          <w:tcPr>
            <w:tcW w:w="820" w:type="dxa"/>
            <w:vAlign w:val="bottom"/>
            <w:shd w:val="clear" w:color="auto" w:fill="CCEEFF"/>
          </w:tcPr>
          <w:p>
            <w:pPr>
              <w:jc w:val="right"/>
              <w:ind w:right="177"/>
              <w:spacing w:after="0"/>
              <w:rPr>
                <w:sz w:val="20"/>
                <w:szCs w:val="20"/>
                <w:color w:val="auto"/>
              </w:rPr>
            </w:pPr>
            <w:r>
              <w:rPr>
                <w:rFonts w:ascii="Arial" w:cs="Arial" w:eastAsia="Arial" w:hAnsi="Arial"/>
                <w:sz w:val="13"/>
                <w:szCs w:val="13"/>
                <w:color w:val="auto"/>
              </w:rPr>
              <w:t>154.9</w:t>
            </w:r>
          </w:p>
        </w:tc>
      </w:tr>
      <w:tr>
        <w:trPr>
          <w:trHeight w:val="28"/>
        </w:trPr>
        <w:tc>
          <w:tcPr>
            <w:tcW w:w="6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r>
    </w:tbl>
    <w:p>
      <w:pPr>
        <w:spacing w:after="0" w:line="193" w:lineRule="exact"/>
        <w:rPr>
          <w:sz w:val="20"/>
          <w:szCs w:val="20"/>
          <w:color w:val="auto"/>
        </w:rPr>
      </w:pPr>
    </w:p>
    <w:p>
      <w:pPr>
        <w:ind w:left="340" w:hanging="332"/>
        <w:spacing w:after="0"/>
        <w:tabs>
          <w:tab w:leader="none" w:pos="3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Paul Hennessy became CEO of the Company on July 1, 2022.</w:t>
      </w:r>
    </w:p>
    <w:p>
      <w:pPr>
        <w:spacing w:after="0" w:line="68" w:lineRule="exact"/>
        <w:rPr>
          <w:rFonts w:ascii="Arial" w:cs="Arial" w:eastAsia="Arial" w:hAnsi="Arial"/>
          <w:sz w:val="14"/>
          <w:szCs w:val="14"/>
          <w:color w:val="auto"/>
        </w:rPr>
      </w:pPr>
    </w:p>
    <w:p>
      <w:pPr>
        <w:ind w:left="340" w:hanging="332"/>
        <w:spacing w:after="0"/>
        <w:tabs>
          <w:tab w:leader="none" w:pos="3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Deductions from, and additions to, total compensation in the Summary Compensation Table by year to calculate Compensation Actually Paid include: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60" w:type="dxa"/>
            <w:vAlign w:val="bottom"/>
            <w:tcBorders>
              <w:bottom w:val="single" w:sz="8" w:color="auto"/>
            </w:tcBorders>
            <w:gridSpan w:val="2"/>
          </w:tcPr>
          <w:p>
            <w:pPr>
              <w:jc w:val="center"/>
              <w:ind w:left="188"/>
              <w:spacing w:after="0"/>
              <w:rPr>
                <w:sz w:val="20"/>
                <w:szCs w:val="20"/>
                <w:color w:val="auto"/>
              </w:rPr>
            </w:pPr>
            <w:r>
              <w:rPr>
                <w:rFonts w:ascii="Arial" w:cs="Arial" w:eastAsia="Arial" w:hAnsi="Arial"/>
                <w:sz w:val="14"/>
                <w:szCs w:val="14"/>
                <w:b w:val="1"/>
                <w:bCs w:val="1"/>
                <w:color w:val="auto"/>
              </w:rPr>
              <w:t>2024</w:t>
            </w:r>
          </w:p>
        </w:tc>
        <w:tc>
          <w:tcPr>
            <w:tcW w:w="24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Borders>
              <w:bottom w:val="single" w:sz="8" w:color="auto"/>
            </w:tcBorders>
            <w:gridSpan w:val="2"/>
          </w:tcPr>
          <w:p>
            <w:pPr>
              <w:jc w:val="center"/>
              <w:ind w:left="128"/>
              <w:spacing w:after="0"/>
              <w:rPr>
                <w:sz w:val="20"/>
                <w:szCs w:val="20"/>
                <w:color w:val="auto"/>
              </w:rPr>
            </w:pPr>
            <w:r>
              <w:rPr>
                <w:rFonts w:ascii="Arial" w:cs="Arial" w:eastAsia="Arial" w:hAnsi="Arial"/>
                <w:sz w:val="14"/>
                <w:szCs w:val="14"/>
                <w:b w:val="1"/>
                <w:bCs w:val="1"/>
                <w:color w:val="auto"/>
              </w:rPr>
              <w:t>2023</w:t>
            </w:r>
          </w:p>
        </w:tc>
        <w:tc>
          <w:tcPr>
            <w:tcW w:w="20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b w:val="1"/>
                <w:bCs w:val="1"/>
                <w:color w:val="auto"/>
                <w:w w:val="96"/>
              </w:rPr>
              <w:t>2022</w:t>
            </w:r>
          </w:p>
        </w:tc>
        <w:tc>
          <w:tcPr>
            <w:tcW w:w="8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Borders>
              <w:bottom w:val="single" w:sz="8" w:color="auto"/>
            </w:tcBorders>
            <w:gridSpan w:val="2"/>
          </w:tcPr>
          <w:p>
            <w:pPr>
              <w:jc w:val="center"/>
              <w:ind w:left="88"/>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Borders>
              <w:bottom w:val="single" w:sz="8" w:color="auto"/>
            </w:tcBorders>
            <w:gridSpan w:val="2"/>
          </w:tcPr>
          <w:p>
            <w:pPr>
              <w:jc w:val="center"/>
              <w:ind w:left="88"/>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60" w:type="dxa"/>
            <w:vAlign w:val="bottom"/>
            <w:gridSpan w:val="4"/>
          </w:tcPr>
          <w:p>
            <w:pPr>
              <w:ind w:left="40"/>
              <w:spacing w:after="0"/>
              <w:rPr>
                <w:sz w:val="20"/>
                <w:szCs w:val="20"/>
                <w:color w:val="auto"/>
              </w:rPr>
            </w:pPr>
            <w:r>
              <w:rPr>
                <w:rFonts w:ascii="Arial" w:cs="Arial" w:eastAsia="Arial" w:hAnsi="Arial"/>
                <w:sz w:val="14"/>
                <w:szCs w:val="14"/>
                <w:b w:val="1"/>
                <w:bCs w:val="1"/>
                <w:color w:val="auto"/>
              </w:rPr>
              <w:t>Paul Hennessy</w:t>
            </w:r>
          </w:p>
        </w:tc>
        <w:tc>
          <w:tcPr>
            <w:tcW w:w="1280" w:type="dxa"/>
            <w:vAlign w:val="bottom"/>
            <w:gridSpan w:val="4"/>
          </w:tcPr>
          <w:p>
            <w:pPr>
              <w:ind w:left="40"/>
              <w:spacing w:after="0"/>
              <w:rPr>
                <w:sz w:val="20"/>
                <w:szCs w:val="20"/>
                <w:color w:val="auto"/>
              </w:rPr>
            </w:pPr>
            <w:r>
              <w:rPr>
                <w:rFonts w:ascii="Arial" w:cs="Arial" w:eastAsia="Arial" w:hAnsi="Arial"/>
                <w:sz w:val="14"/>
                <w:szCs w:val="14"/>
                <w:b w:val="1"/>
                <w:bCs w:val="1"/>
                <w:color w:val="auto"/>
              </w:rPr>
              <w:t>Paul Hennessy</w:t>
            </w:r>
          </w:p>
        </w:tc>
        <w:tc>
          <w:tcPr>
            <w:tcW w:w="1100" w:type="dxa"/>
            <w:vAlign w:val="bottom"/>
            <w:gridSpan w:val="3"/>
          </w:tcPr>
          <w:p>
            <w:pPr>
              <w:ind w:left="80"/>
              <w:spacing w:after="0"/>
              <w:rPr>
                <w:sz w:val="20"/>
                <w:szCs w:val="20"/>
                <w:color w:val="auto"/>
              </w:rPr>
            </w:pPr>
            <w:r>
              <w:rPr>
                <w:rFonts w:ascii="Arial" w:cs="Arial" w:eastAsia="Arial" w:hAnsi="Arial"/>
                <w:sz w:val="14"/>
                <w:szCs w:val="14"/>
                <w:b w:val="1"/>
                <w:bCs w:val="1"/>
                <w:color w:val="auto"/>
              </w:rPr>
              <w:t>Paul Hennessy</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gridSpan w:val="4"/>
          </w:tcPr>
          <w:p>
            <w:pPr>
              <w:ind w:left="80"/>
              <w:spacing w:after="0"/>
              <w:rPr>
                <w:sz w:val="20"/>
                <w:szCs w:val="20"/>
                <w:color w:val="auto"/>
              </w:rPr>
            </w:pPr>
            <w:r>
              <w:rPr>
                <w:rFonts w:ascii="Arial" w:cs="Arial" w:eastAsia="Arial" w:hAnsi="Arial"/>
                <w:sz w:val="14"/>
                <w:szCs w:val="14"/>
                <w:b w:val="1"/>
                <w:bCs w:val="1"/>
                <w:color w:val="auto"/>
              </w:rPr>
              <w:t>Stan Pavlovsky</w:t>
            </w:r>
          </w:p>
        </w:tc>
        <w:tc>
          <w:tcPr>
            <w:tcW w:w="1280" w:type="dxa"/>
            <w:vAlign w:val="bottom"/>
            <w:gridSpan w:val="4"/>
          </w:tcPr>
          <w:p>
            <w:pPr>
              <w:ind w:left="20"/>
              <w:spacing w:after="0"/>
              <w:rPr>
                <w:sz w:val="20"/>
                <w:szCs w:val="20"/>
                <w:color w:val="auto"/>
              </w:rPr>
            </w:pPr>
            <w:r>
              <w:rPr>
                <w:rFonts w:ascii="Arial" w:cs="Arial" w:eastAsia="Arial" w:hAnsi="Arial"/>
                <w:sz w:val="14"/>
                <w:szCs w:val="14"/>
                <w:b w:val="1"/>
                <w:bCs w:val="1"/>
                <w:color w:val="auto"/>
              </w:rPr>
              <w:t>Stan Pavlovsky</w:t>
            </w:r>
          </w:p>
        </w:tc>
        <w:tc>
          <w:tcPr>
            <w:tcW w:w="1120" w:type="dxa"/>
            <w:vAlign w:val="bottom"/>
            <w:gridSpan w:val="3"/>
          </w:tcPr>
          <w:p>
            <w:pPr>
              <w:ind w:left="40"/>
              <w:spacing w:after="0"/>
              <w:rPr>
                <w:sz w:val="20"/>
                <w:szCs w:val="20"/>
                <w:color w:val="auto"/>
              </w:rPr>
            </w:pPr>
            <w:r>
              <w:rPr>
                <w:rFonts w:ascii="Arial" w:cs="Arial" w:eastAsia="Arial" w:hAnsi="Arial"/>
                <w:sz w:val="14"/>
                <w:szCs w:val="14"/>
                <w:b w:val="1"/>
                <w:bCs w:val="1"/>
                <w:color w:val="auto"/>
              </w:rPr>
              <w:t>Stan Pavlovsky</w:t>
            </w:r>
          </w:p>
        </w:tc>
        <w:tc>
          <w:tcPr>
            <w:tcW w:w="0" w:type="dxa"/>
            <w:vAlign w:val="bottom"/>
          </w:tcPr>
          <w:p>
            <w:pPr>
              <w:spacing w:after="0"/>
              <w:rPr>
                <w:sz w:val="1"/>
                <w:szCs w:val="1"/>
                <w:color w:val="auto"/>
              </w:rPr>
            </w:pPr>
          </w:p>
        </w:tc>
      </w:tr>
      <w:tr>
        <w:trPr>
          <w:trHeight w:val="174"/>
        </w:trPr>
        <w:tc>
          <w:tcPr>
            <w:tcW w:w="20" w:type="dxa"/>
            <w:vAlign w:val="bottom"/>
            <w:tcBorders>
              <w:top w:val="single" w:sz="8" w:color="CCEEFF"/>
            </w:tcBorders>
            <w:shd w:val="clear" w:color="auto" w:fill="CCEEFF"/>
          </w:tcPr>
          <w:p>
            <w:pPr>
              <w:spacing w:after="0"/>
              <w:rPr>
                <w:sz w:val="15"/>
                <w:szCs w:val="15"/>
                <w:color w:val="auto"/>
              </w:rPr>
            </w:pPr>
          </w:p>
        </w:tc>
        <w:tc>
          <w:tcPr>
            <w:tcW w:w="35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4"/>
                <w:szCs w:val="14"/>
                <w:b w:val="1"/>
                <w:bCs w:val="1"/>
                <w:color w:val="auto"/>
              </w:rPr>
              <w:t>Total Compensation from Summary Compensation</w:t>
            </w:r>
          </w:p>
        </w:tc>
        <w:tc>
          <w:tcPr>
            <w:tcW w:w="26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Table</w:t>
            </w:r>
          </w:p>
        </w:tc>
        <w:tc>
          <w:tcPr>
            <w:tcW w:w="1100" w:type="dxa"/>
            <w:vAlign w:val="bottom"/>
            <w:gridSpan w:val="3"/>
            <w:shd w:val="clear" w:color="auto" w:fill="CCEEFF"/>
          </w:tcPr>
          <w:p>
            <w:pPr>
              <w:jc w:val="center"/>
              <w:spacing w:after="0"/>
              <w:rPr>
                <w:sz w:val="20"/>
                <w:szCs w:val="20"/>
                <w:color w:val="auto"/>
              </w:rPr>
            </w:pPr>
            <w:r>
              <w:rPr>
                <w:rFonts w:ascii="Arial" w:cs="Arial" w:eastAsia="Arial" w:hAnsi="Arial"/>
                <w:sz w:val="14"/>
                <w:szCs w:val="14"/>
                <w:b w:val="1"/>
                <w:bCs w:val="1"/>
                <w:color w:val="auto"/>
              </w:rPr>
              <w:t>$7,176,468</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center"/>
              <w:ind w:left="128"/>
              <w:spacing w:after="0"/>
              <w:rPr>
                <w:sz w:val="20"/>
                <w:szCs w:val="20"/>
                <w:color w:val="auto"/>
              </w:rPr>
            </w:pPr>
            <w:r>
              <w:rPr>
                <w:rFonts w:ascii="Arial" w:cs="Arial" w:eastAsia="Arial" w:hAnsi="Arial"/>
                <w:sz w:val="14"/>
                <w:szCs w:val="14"/>
                <w:b w:val="1"/>
                <w:bCs w:val="1"/>
                <w:color w:val="auto"/>
              </w:rPr>
              <w:t>$8,113,511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center"/>
              <w:ind w:left="28"/>
              <w:spacing w:after="0"/>
              <w:rPr>
                <w:sz w:val="20"/>
                <w:szCs w:val="20"/>
                <w:color w:val="auto"/>
              </w:rPr>
            </w:pPr>
            <w:r>
              <w:rPr>
                <w:rFonts w:ascii="Arial" w:cs="Arial" w:eastAsia="Arial" w:hAnsi="Arial"/>
                <w:sz w:val="14"/>
                <w:szCs w:val="14"/>
                <w:b w:val="1"/>
                <w:bCs w:val="1"/>
                <w:color w:val="auto"/>
              </w:rPr>
              <w:t>$20,883,260</w:t>
            </w:r>
          </w:p>
        </w:tc>
        <w:tc>
          <w:tcPr>
            <w:tcW w:w="1280" w:type="dxa"/>
            <w:vAlign w:val="bottom"/>
            <w:gridSpan w:val="4"/>
            <w:shd w:val="clear" w:color="auto" w:fill="CCEEFF"/>
          </w:tcPr>
          <w:p>
            <w:pPr>
              <w:jc w:val="center"/>
              <w:ind w:left="328"/>
              <w:spacing w:after="0"/>
              <w:rPr>
                <w:sz w:val="20"/>
                <w:szCs w:val="20"/>
                <w:color w:val="auto"/>
              </w:rPr>
            </w:pPr>
            <w:r>
              <w:rPr>
                <w:rFonts w:ascii="Arial" w:cs="Arial" w:eastAsia="Arial" w:hAnsi="Arial"/>
                <w:sz w:val="14"/>
                <w:szCs w:val="14"/>
                <w:b w:val="1"/>
                <w:bCs w:val="1"/>
                <w:color w:val="auto"/>
              </w:rPr>
              <w:t>$5,913,330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center"/>
              <w:ind w:left="88"/>
              <w:spacing w:after="0"/>
              <w:rPr>
                <w:sz w:val="20"/>
                <w:szCs w:val="20"/>
                <w:color w:val="auto"/>
              </w:rPr>
            </w:pPr>
            <w:r>
              <w:rPr>
                <w:rFonts w:ascii="Arial" w:cs="Arial" w:eastAsia="Arial" w:hAnsi="Arial"/>
                <w:sz w:val="14"/>
                <w:szCs w:val="14"/>
                <w:b w:val="1"/>
                <w:bCs w:val="1"/>
                <w:color w:val="auto"/>
              </w:rPr>
              <w:t>$5,717,651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center"/>
              <w:ind w:left="88"/>
              <w:spacing w:after="0"/>
              <w:rPr>
                <w:sz w:val="20"/>
                <w:szCs w:val="20"/>
                <w:color w:val="auto"/>
              </w:rPr>
            </w:pPr>
            <w:r>
              <w:rPr>
                <w:rFonts w:ascii="Arial" w:cs="Arial" w:eastAsia="Arial" w:hAnsi="Arial"/>
                <w:sz w:val="14"/>
                <w:szCs w:val="14"/>
                <w:b w:val="1"/>
                <w:bCs w:val="1"/>
                <w:color w:val="auto"/>
              </w:rPr>
              <w:t>$7,025,759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540" w:type="dxa"/>
            <w:vAlign w:val="bottom"/>
            <w:gridSpan w:val="2"/>
          </w:tcPr>
          <w:p>
            <w:pPr>
              <w:spacing w:after="0"/>
              <w:rPr>
                <w:sz w:val="20"/>
                <w:szCs w:val="20"/>
                <w:color w:val="auto"/>
              </w:rPr>
            </w:pPr>
            <w:r>
              <w:rPr>
                <w:rFonts w:ascii="Arial" w:cs="Arial" w:eastAsia="Arial" w:hAnsi="Arial"/>
                <w:sz w:val="14"/>
                <w:szCs w:val="14"/>
                <w:b w:val="1"/>
                <w:bCs w:val="1"/>
                <w:color w:val="auto"/>
              </w:rPr>
              <w:t>Adjustments for Equity Awards</w:t>
            </w: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20" w:type="dxa"/>
            <w:vAlign w:val="bottom"/>
            <w:shd w:val="clear" w:color="auto" w:fill="CCEEFF"/>
          </w:tcPr>
          <w:p>
            <w:pPr>
              <w:spacing w:after="0"/>
              <w:rPr>
                <w:sz w:val="17"/>
                <w:szCs w:val="17"/>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Adjustment for grant date values in the Summary</w:t>
            </w:r>
          </w:p>
        </w:tc>
        <w:tc>
          <w:tcPr>
            <w:tcW w:w="2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tcBorders>
              <w:bottom w:val="single" w:sz="8" w:color="CCEEFF"/>
            </w:tcBorders>
            <w:shd w:val="clear" w:color="auto" w:fill="CCEEFF"/>
          </w:tcPr>
          <w:p>
            <w:pPr>
              <w:spacing w:after="0"/>
              <w:rPr>
                <w:sz w:val="16"/>
                <w:szCs w:val="16"/>
                <w:color w:val="auto"/>
              </w:rPr>
            </w:pPr>
          </w:p>
        </w:tc>
        <w:tc>
          <w:tcPr>
            <w:tcW w:w="35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Compensation Table</w:t>
            </w:r>
          </w:p>
        </w:tc>
        <w:tc>
          <w:tcPr>
            <w:tcW w:w="1100" w:type="dxa"/>
            <w:vAlign w:val="bottom"/>
            <w:tcBorders>
              <w:bottom w:val="single" w:sz="8" w:color="CCEEFF"/>
            </w:tcBorders>
            <w:gridSpan w:val="3"/>
            <w:shd w:val="clear" w:color="auto" w:fill="CCEEFF"/>
          </w:tcPr>
          <w:p>
            <w:pPr>
              <w:jc w:val="center"/>
              <w:spacing w:after="0"/>
              <w:rPr>
                <w:sz w:val="20"/>
                <w:szCs w:val="20"/>
                <w:color w:val="auto"/>
              </w:rPr>
            </w:pPr>
            <w:r>
              <w:rPr>
                <w:rFonts w:ascii="Arial" w:cs="Arial" w:eastAsia="Arial" w:hAnsi="Arial"/>
                <w:sz w:val="14"/>
                <w:szCs w:val="14"/>
                <w:color w:val="auto"/>
              </w:rPr>
              <w:t>$(5,871,670)</w:t>
            </w:r>
          </w:p>
        </w:tc>
        <w:tc>
          <w:tcPr>
            <w:tcW w:w="1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gridSpan w:val="3"/>
            <w:shd w:val="clear" w:color="auto" w:fill="CCEEFF"/>
          </w:tcPr>
          <w:p>
            <w:pPr>
              <w:jc w:val="center"/>
              <w:spacing w:after="0"/>
              <w:rPr>
                <w:sz w:val="20"/>
                <w:szCs w:val="20"/>
                <w:color w:val="auto"/>
              </w:rPr>
            </w:pPr>
            <w:r>
              <w:rPr>
                <w:rFonts w:ascii="Arial" w:cs="Arial" w:eastAsia="Arial" w:hAnsi="Arial"/>
                <w:sz w:val="14"/>
                <w:szCs w:val="14"/>
                <w:color w:val="auto"/>
              </w:rPr>
              <w:t>$(6,644,157)</w:t>
            </w:r>
          </w:p>
        </w:tc>
        <w:tc>
          <w:tcPr>
            <w:tcW w:w="16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gridSpan w:val="3"/>
            <w:shd w:val="clear" w:color="auto" w:fill="CCEEFF"/>
          </w:tcPr>
          <w:p>
            <w:pPr>
              <w:jc w:val="center"/>
              <w:ind w:left="8"/>
              <w:spacing w:after="0"/>
              <w:rPr>
                <w:sz w:val="20"/>
                <w:szCs w:val="20"/>
                <w:color w:val="auto"/>
              </w:rPr>
            </w:pPr>
            <w:r>
              <w:rPr>
                <w:rFonts w:ascii="Arial" w:cs="Arial" w:eastAsia="Arial" w:hAnsi="Arial"/>
                <w:sz w:val="14"/>
                <w:szCs w:val="14"/>
                <w:color w:val="auto"/>
              </w:rPr>
              <w:t>$(19,912,380)</w:t>
            </w:r>
          </w:p>
        </w:tc>
        <w:tc>
          <w:tcPr>
            <w:tcW w:w="1280" w:type="dxa"/>
            <w:vAlign w:val="bottom"/>
            <w:tcBorders>
              <w:bottom w:val="single" w:sz="8" w:color="CCEEFF"/>
            </w:tcBorders>
            <w:gridSpan w:val="4"/>
            <w:shd w:val="clear" w:color="auto" w:fill="CCEEFF"/>
          </w:tcPr>
          <w:p>
            <w:pPr>
              <w:jc w:val="center"/>
              <w:ind w:left="328"/>
              <w:spacing w:after="0"/>
              <w:rPr>
                <w:sz w:val="20"/>
                <w:szCs w:val="20"/>
                <w:color w:val="auto"/>
              </w:rPr>
            </w:pPr>
            <w:r>
              <w:rPr>
                <w:rFonts w:ascii="Arial" w:cs="Arial" w:eastAsia="Arial" w:hAnsi="Arial"/>
                <w:sz w:val="14"/>
                <w:szCs w:val="14"/>
                <w:color w:val="auto"/>
              </w:rPr>
              <w:t>$(5,636,921)</w:t>
            </w:r>
          </w:p>
        </w:tc>
        <w:tc>
          <w:tcPr>
            <w:tcW w:w="16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gridSpan w:val="3"/>
            <w:shd w:val="clear" w:color="auto" w:fill="CCEEFF"/>
          </w:tcPr>
          <w:p>
            <w:pPr>
              <w:jc w:val="center"/>
              <w:ind w:right="20"/>
              <w:spacing w:after="0"/>
              <w:rPr>
                <w:sz w:val="20"/>
                <w:szCs w:val="20"/>
                <w:color w:val="auto"/>
              </w:rPr>
            </w:pPr>
            <w:r>
              <w:rPr>
                <w:rFonts w:ascii="Arial" w:cs="Arial" w:eastAsia="Arial" w:hAnsi="Arial"/>
                <w:sz w:val="14"/>
                <w:szCs w:val="14"/>
                <w:color w:val="auto"/>
              </w:rPr>
              <w:t>$(4,131,482)</w:t>
            </w:r>
          </w:p>
        </w:tc>
        <w:tc>
          <w:tcPr>
            <w:tcW w:w="1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gridSpan w:val="3"/>
            <w:shd w:val="clear" w:color="auto" w:fill="CCEEFF"/>
          </w:tcPr>
          <w:p>
            <w:pPr>
              <w:jc w:val="center"/>
              <w:spacing w:after="0"/>
              <w:rPr>
                <w:sz w:val="20"/>
                <w:szCs w:val="20"/>
                <w:color w:val="auto"/>
              </w:rPr>
            </w:pPr>
            <w:r>
              <w:rPr>
                <w:rFonts w:ascii="Arial" w:cs="Arial" w:eastAsia="Arial" w:hAnsi="Arial"/>
                <w:sz w:val="14"/>
                <w:szCs w:val="14"/>
                <w:color w:val="auto"/>
              </w:rPr>
              <w:t>$(5,583,809)</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540" w:type="dxa"/>
            <w:vAlign w:val="bottom"/>
            <w:gridSpan w:val="2"/>
          </w:tcPr>
          <w:p>
            <w:pPr>
              <w:spacing w:after="0" w:line="153" w:lineRule="exact"/>
              <w:rPr>
                <w:sz w:val="20"/>
                <w:szCs w:val="20"/>
                <w:color w:val="auto"/>
              </w:rPr>
            </w:pPr>
            <w:r>
              <w:rPr>
                <w:rFonts w:ascii="Arial" w:cs="Arial" w:eastAsia="Arial" w:hAnsi="Arial"/>
                <w:sz w:val="14"/>
                <w:szCs w:val="14"/>
                <w:color w:val="auto"/>
              </w:rPr>
              <w:t>Year-end fair value of unvested awards granted in the</w:t>
            </w:r>
          </w:p>
        </w:tc>
        <w:tc>
          <w:tcPr>
            <w:tcW w:w="1100" w:type="dxa"/>
            <w:vAlign w:val="bottom"/>
            <w:gridSpan w:val="3"/>
            <w:vMerge w:val="restart"/>
          </w:tcPr>
          <w:p>
            <w:pPr>
              <w:jc w:val="center"/>
              <w:spacing w:after="0"/>
              <w:rPr>
                <w:sz w:val="20"/>
                <w:szCs w:val="20"/>
                <w:color w:val="auto"/>
              </w:rPr>
            </w:pPr>
            <w:r>
              <w:rPr>
                <w:rFonts w:ascii="Arial" w:cs="Arial" w:eastAsia="Arial" w:hAnsi="Arial"/>
                <w:sz w:val="14"/>
                <w:szCs w:val="14"/>
                <w:color w:val="auto"/>
              </w:rPr>
              <w:t>$4,879,074</w:t>
            </w:r>
          </w:p>
        </w:tc>
        <w:tc>
          <w:tcPr>
            <w:tcW w:w="160" w:type="dxa"/>
            <w:vAlign w:val="bottom"/>
          </w:tcPr>
          <w:p>
            <w:pPr>
              <w:spacing w:after="0"/>
              <w:rPr>
                <w:sz w:val="13"/>
                <w:szCs w:val="13"/>
                <w:color w:val="auto"/>
              </w:rPr>
            </w:pPr>
          </w:p>
        </w:tc>
        <w:tc>
          <w:tcPr>
            <w:tcW w:w="1120" w:type="dxa"/>
            <w:vAlign w:val="bottom"/>
            <w:gridSpan w:val="3"/>
            <w:vMerge w:val="restart"/>
          </w:tcPr>
          <w:p>
            <w:pPr>
              <w:jc w:val="center"/>
              <w:spacing w:after="0"/>
              <w:rPr>
                <w:sz w:val="20"/>
                <w:szCs w:val="20"/>
                <w:color w:val="auto"/>
              </w:rPr>
            </w:pPr>
            <w:r>
              <w:rPr>
                <w:rFonts w:ascii="Arial" w:cs="Arial" w:eastAsia="Arial" w:hAnsi="Arial"/>
                <w:sz w:val="14"/>
                <w:szCs w:val="14"/>
                <w:color w:val="auto"/>
              </w:rPr>
              <w:t>$4,965,639</w:t>
            </w:r>
          </w:p>
        </w:tc>
        <w:tc>
          <w:tcPr>
            <w:tcW w:w="160" w:type="dxa"/>
            <w:vAlign w:val="bottom"/>
          </w:tcPr>
          <w:p>
            <w:pPr>
              <w:spacing w:after="0"/>
              <w:rPr>
                <w:sz w:val="13"/>
                <w:szCs w:val="13"/>
                <w:color w:val="auto"/>
              </w:rPr>
            </w:pPr>
          </w:p>
        </w:tc>
        <w:tc>
          <w:tcPr>
            <w:tcW w:w="1100" w:type="dxa"/>
            <w:vAlign w:val="bottom"/>
            <w:gridSpan w:val="3"/>
            <w:vMerge w:val="restart"/>
          </w:tcPr>
          <w:p>
            <w:pPr>
              <w:jc w:val="center"/>
              <w:ind w:left="28"/>
              <w:spacing w:after="0"/>
              <w:rPr>
                <w:sz w:val="20"/>
                <w:szCs w:val="20"/>
                <w:color w:val="auto"/>
              </w:rPr>
            </w:pPr>
            <w:r>
              <w:rPr>
                <w:rFonts w:ascii="Arial" w:cs="Arial" w:eastAsia="Arial" w:hAnsi="Arial"/>
                <w:sz w:val="14"/>
                <w:szCs w:val="14"/>
                <w:color w:val="auto"/>
              </w:rPr>
              <w:t>$17,317,782</w:t>
            </w:r>
          </w:p>
        </w:tc>
        <w:tc>
          <w:tcPr>
            <w:tcW w:w="1280" w:type="dxa"/>
            <w:vAlign w:val="bottom"/>
            <w:gridSpan w:val="4"/>
            <w:vMerge w:val="restart"/>
          </w:tcPr>
          <w:p>
            <w:pPr>
              <w:jc w:val="center"/>
              <w:ind w:left="328"/>
              <w:spacing w:after="0"/>
              <w:rPr>
                <w:sz w:val="20"/>
                <w:szCs w:val="20"/>
                <w:color w:val="auto"/>
              </w:rPr>
            </w:pPr>
            <w:r>
              <w:rPr>
                <w:rFonts w:ascii="Arial" w:cs="Arial" w:eastAsia="Arial" w:hAnsi="Arial"/>
                <w:sz w:val="14"/>
                <w:szCs w:val="14"/>
                <w:color w:val="auto"/>
                <w:w w:val="96"/>
              </w:rPr>
              <w:t>$-</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vMerge w:val="restart"/>
          </w:tcPr>
          <w:p>
            <w:pPr>
              <w:jc w:val="center"/>
              <w:ind w:left="88"/>
              <w:spacing w:after="0"/>
              <w:rPr>
                <w:sz w:val="20"/>
                <w:szCs w:val="20"/>
                <w:color w:val="auto"/>
              </w:rPr>
            </w:pPr>
            <w:r>
              <w:rPr>
                <w:rFonts w:ascii="Arial" w:cs="Arial" w:eastAsia="Arial" w:hAnsi="Arial"/>
                <w:sz w:val="14"/>
                <w:szCs w:val="14"/>
                <w:color w:val="auto"/>
              </w:rPr>
              <w:t>$6,574,913</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3"/>
            <w:vMerge w:val="restart"/>
          </w:tcPr>
          <w:p>
            <w:pPr>
              <w:jc w:val="center"/>
              <w:spacing w:after="0"/>
              <w:rPr>
                <w:sz w:val="20"/>
                <w:szCs w:val="20"/>
                <w:color w:val="auto"/>
              </w:rPr>
            </w:pPr>
            <w:r>
              <w:rPr>
                <w:rFonts w:ascii="Arial" w:cs="Arial" w:eastAsia="Arial" w:hAnsi="Arial"/>
                <w:sz w:val="14"/>
                <w:szCs w:val="14"/>
                <w:color w:val="auto"/>
              </w:rPr>
              <w:t>$12,795,497</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540" w:type="dxa"/>
            <w:vAlign w:val="bottom"/>
            <w:gridSpan w:val="2"/>
          </w:tcPr>
          <w:p>
            <w:pPr>
              <w:spacing w:after="0"/>
              <w:rPr>
                <w:sz w:val="20"/>
                <w:szCs w:val="20"/>
                <w:color w:val="auto"/>
              </w:rPr>
            </w:pPr>
            <w:r>
              <w:rPr>
                <w:rFonts w:ascii="Arial" w:cs="Arial" w:eastAsia="Arial" w:hAnsi="Arial"/>
                <w:sz w:val="14"/>
                <w:szCs w:val="14"/>
                <w:color w:val="auto"/>
              </w:rPr>
              <w:t>current year</w:t>
            </w:r>
          </w:p>
        </w:tc>
        <w:tc>
          <w:tcPr>
            <w:tcW w:w="110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3"/>
            <w:vMerge w:val="continue"/>
          </w:tcPr>
          <w:p>
            <w:pPr>
              <w:spacing w:after="0"/>
              <w:rPr>
                <w:sz w:val="16"/>
                <w:szCs w:val="16"/>
                <w:color w:val="auto"/>
              </w:rPr>
            </w:pPr>
          </w:p>
        </w:tc>
        <w:tc>
          <w:tcPr>
            <w:tcW w:w="1280" w:type="dxa"/>
            <w:vAlign w:val="bottom"/>
            <w:gridSpan w:val="4"/>
            <w:vMerge w:val="continue"/>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shd w:val="clear" w:color="auto" w:fill="CCEEFF"/>
          </w:tcPr>
          <w:p>
            <w:pPr>
              <w:spacing w:after="0"/>
              <w:rPr>
                <w:sz w:val="16"/>
                <w:szCs w:val="16"/>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Year-over-year difference of year-end fair values for</w:t>
            </w:r>
          </w:p>
        </w:tc>
        <w:tc>
          <w:tcPr>
            <w:tcW w:w="2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Borders>
              <w:bottom w:val="single" w:sz="8" w:color="CCEEFF"/>
            </w:tcBorders>
            <w:shd w:val="clear" w:color="auto" w:fill="CCEEFF"/>
          </w:tcPr>
          <w:p>
            <w:pPr>
              <w:spacing w:after="0"/>
              <w:rPr>
                <w:sz w:val="16"/>
                <w:szCs w:val="16"/>
                <w:color w:val="auto"/>
              </w:rPr>
            </w:pPr>
          </w:p>
        </w:tc>
        <w:tc>
          <w:tcPr>
            <w:tcW w:w="35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unvested awards granted in prior years</w:t>
            </w:r>
          </w:p>
        </w:tc>
        <w:tc>
          <w:tcPr>
            <w:tcW w:w="1100" w:type="dxa"/>
            <w:vAlign w:val="bottom"/>
            <w:tcBorders>
              <w:bottom w:val="single" w:sz="8" w:color="CCEEFF"/>
            </w:tcBorders>
            <w:gridSpan w:val="3"/>
            <w:shd w:val="clear" w:color="auto" w:fill="CCEEFF"/>
          </w:tcPr>
          <w:p>
            <w:pPr>
              <w:jc w:val="center"/>
              <w:spacing w:after="0"/>
              <w:rPr>
                <w:sz w:val="20"/>
                <w:szCs w:val="20"/>
                <w:color w:val="auto"/>
              </w:rPr>
            </w:pPr>
            <w:r>
              <w:rPr>
                <w:rFonts w:ascii="Arial" w:cs="Arial" w:eastAsia="Arial" w:hAnsi="Arial"/>
                <w:sz w:val="14"/>
                <w:szCs w:val="14"/>
                <w:color w:val="auto"/>
              </w:rPr>
              <w:t>$(4,592,677)</w:t>
            </w:r>
          </w:p>
        </w:tc>
        <w:tc>
          <w:tcPr>
            <w:tcW w:w="1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gridSpan w:val="3"/>
            <w:shd w:val="clear" w:color="auto" w:fill="CCEEFF"/>
          </w:tcPr>
          <w:p>
            <w:pPr>
              <w:jc w:val="center"/>
              <w:spacing w:after="0"/>
              <w:rPr>
                <w:sz w:val="20"/>
                <w:szCs w:val="20"/>
                <w:color w:val="auto"/>
              </w:rPr>
            </w:pPr>
            <w:r>
              <w:rPr>
                <w:rFonts w:ascii="Arial" w:cs="Arial" w:eastAsia="Arial" w:hAnsi="Arial"/>
                <w:sz w:val="14"/>
                <w:szCs w:val="14"/>
                <w:color w:val="auto"/>
              </w:rPr>
              <w:t>$(1,069,552)</w:t>
            </w:r>
          </w:p>
        </w:tc>
        <w:tc>
          <w:tcPr>
            <w:tcW w:w="16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gridSpan w:val="2"/>
            <w:shd w:val="clear" w:color="auto" w:fill="CCEEFF"/>
          </w:tcPr>
          <w:p>
            <w:pPr>
              <w:jc w:val="center"/>
              <w:ind w:left="10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gridSpan w:val="4"/>
            <w:shd w:val="clear" w:color="auto" w:fill="CCEEFF"/>
          </w:tcPr>
          <w:p>
            <w:pPr>
              <w:jc w:val="center"/>
              <w:ind w:left="328"/>
              <w:spacing w:after="0"/>
              <w:rPr>
                <w:sz w:val="20"/>
                <w:szCs w:val="20"/>
                <w:color w:val="auto"/>
              </w:rPr>
            </w:pPr>
            <w:r>
              <w:rPr>
                <w:rFonts w:ascii="Arial" w:cs="Arial" w:eastAsia="Arial" w:hAnsi="Arial"/>
                <w:sz w:val="14"/>
                <w:szCs w:val="14"/>
                <w:color w:val="auto"/>
                <w:w w:val="96"/>
              </w:rPr>
              <w:t>$-</w:t>
            </w:r>
          </w:p>
        </w:tc>
        <w:tc>
          <w:tcPr>
            <w:tcW w:w="16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gridSpan w:val="2"/>
            <w:shd w:val="clear" w:color="auto" w:fill="CCEEFF"/>
          </w:tcPr>
          <w:p>
            <w:pPr>
              <w:jc w:val="center"/>
              <w:ind w:left="88"/>
              <w:spacing w:after="0"/>
              <w:rPr>
                <w:sz w:val="20"/>
                <w:szCs w:val="20"/>
                <w:color w:val="auto"/>
              </w:rPr>
            </w:pPr>
            <w:r>
              <w:rPr>
                <w:rFonts w:ascii="Arial" w:cs="Arial" w:eastAsia="Arial" w:hAnsi="Arial"/>
                <w:sz w:val="14"/>
                <w:szCs w:val="14"/>
                <w:color w:val="auto"/>
              </w:rPr>
              <w:t>$11,058,098</w:t>
            </w:r>
          </w:p>
        </w:tc>
        <w:tc>
          <w:tcPr>
            <w:tcW w:w="16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gridSpan w:val="2"/>
            <w:shd w:val="clear" w:color="auto" w:fill="CCEEFF"/>
          </w:tcPr>
          <w:p>
            <w:pPr>
              <w:jc w:val="center"/>
              <w:ind w:left="88"/>
              <w:spacing w:after="0"/>
              <w:rPr>
                <w:sz w:val="20"/>
                <w:szCs w:val="20"/>
                <w:color w:val="auto"/>
              </w:rPr>
            </w:pPr>
            <w:r>
              <w:rPr>
                <w:rFonts w:ascii="Arial" w:cs="Arial" w:eastAsia="Arial" w:hAnsi="Arial"/>
                <w:sz w:val="14"/>
                <w:szCs w:val="14"/>
                <w:color w:val="auto"/>
              </w:rPr>
              <w:t>$3,180,653</w:t>
            </w:r>
          </w:p>
        </w:tc>
        <w:tc>
          <w:tcPr>
            <w:tcW w:w="1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540" w:type="dxa"/>
            <w:vAlign w:val="bottom"/>
            <w:gridSpan w:val="2"/>
          </w:tcPr>
          <w:p>
            <w:pPr>
              <w:spacing w:after="0" w:line="153" w:lineRule="exact"/>
              <w:rPr>
                <w:sz w:val="20"/>
                <w:szCs w:val="20"/>
                <w:color w:val="auto"/>
              </w:rPr>
            </w:pPr>
            <w:r>
              <w:rPr>
                <w:rFonts w:ascii="Arial" w:cs="Arial" w:eastAsia="Arial" w:hAnsi="Arial"/>
                <w:sz w:val="14"/>
                <w:szCs w:val="14"/>
                <w:color w:val="auto"/>
              </w:rPr>
              <w:t>Fair values at vest date for awards granted and vested</w:t>
            </w:r>
          </w:p>
        </w:tc>
        <w:tc>
          <w:tcPr>
            <w:tcW w:w="860" w:type="dxa"/>
            <w:vAlign w:val="bottom"/>
            <w:gridSpan w:val="2"/>
            <w:vMerge w:val="restart"/>
          </w:tcPr>
          <w:p>
            <w:pPr>
              <w:jc w:val="center"/>
              <w:ind w:left="16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vMerge w:val="restart"/>
          </w:tcPr>
          <w:p>
            <w:pPr>
              <w:jc w:val="center"/>
              <w:ind w:left="128"/>
              <w:spacing w:after="0"/>
              <w:rPr>
                <w:sz w:val="20"/>
                <w:szCs w:val="20"/>
                <w:color w:val="auto"/>
              </w:rPr>
            </w:pPr>
            <w:r>
              <w:rPr>
                <w:rFonts w:ascii="Arial" w:cs="Arial" w:eastAsia="Arial" w:hAnsi="Arial"/>
                <w:sz w:val="14"/>
                <w:szCs w:val="14"/>
                <w:color w:val="auto"/>
                <w:w w:val="96"/>
              </w:rPr>
              <w:t>$-</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2"/>
            <w:vMerge w:val="restart"/>
          </w:tcPr>
          <w:p>
            <w:pPr>
              <w:jc w:val="center"/>
              <w:ind w:left="10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280" w:type="dxa"/>
            <w:vAlign w:val="bottom"/>
            <w:gridSpan w:val="4"/>
            <w:vMerge w:val="restart"/>
          </w:tcPr>
          <w:p>
            <w:pPr>
              <w:jc w:val="center"/>
              <w:ind w:left="328"/>
              <w:spacing w:after="0"/>
              <w:rPr>
                <w:sz w:val="20"/>
                <w:szCs w:val="20"/>
                <w:color w:val="auto"/>
              </w:rPr>
            </w:pPr>
            <w:r>
              <w:rPr>
                <w:rFonts w:ascii="Arial" w:cs="Arial" w:eastAsia="Arial" w:hAnsi="Arial"/>
                <w:sz w:val="14"/>
                <w:szCs w:val="14"/>
                <w:color w:val="auto"/>
                <w:w w:val="96"/>
              </w:rPr>
              <w:t>$-</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vMerge w:val="restart"/>
          </w:tcPr>
          <w:p>
            <w:pPr>
              <w:jc w:val="center"/>
              <w:ind w:left="88"/>
              <w:spacing w:after="0"/>
              <w:rPr>
                <w:sz w:val="20"/>
                <w:szCs w:val="20"/>
                <w:color w:val="auto"/>
              </w:rPr>
            </w:pPr>
            <w:r>
              <w:rPr>
                <w:rFonts w:ascii="Arial" w:cs="Arial" w:eastAsia="Arial" w:hAnsi="Arial"/>
                <w:sz w:val="14"/>
                <w:szCs w:val="14"/>
                <w:color w:val="auto"/>
                <w:w w:val="96"/>
              </w:rPr>
              <w:t>$-</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vMerge w:val="restart"/>
          </w:tcPr>
          <w:p>
            <w:pPr>
              <w:jc w:val="center"/>
              <w:ind w:left="88"/>
              <w:spacing w:after="0"/>
              <w:rPr>
                <w:sz w:val="20"/>
                <w:szCs w:val="20"/>
                <w:color w:val="auto"/>
              </w:rPr>
            </w:pPr>
            <w:r>
              <w:rPr>
                <w:rFonts w:ascii="Arial" w:cs="Arial" w:eastAsia="Arial" w:hAnsi="Arial"/>
                <w:sz w:val="14"/>
                <w:szCs w:val="14"/>
                <w:color w:val="auto"/>
                <w:w w:val="96"/>
              </w:rPr>
              <w:t>$-</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540" w:type="dxa"/>
            <w:vAlign w:val="bottom"/>
            <w:gridSpan w:val="2"/>
          </w:tcPr>
          <w:p>
            <w:pPr>
              <w:spacing w:after="0"/>
              <w:rPr>
                <w:sz w:val="20"/>
                <w:szCs w:val="20"/>
                <w:color w:val="auto"/>
              </w:rPr>
            </w:pPr>
            <w:r>
              <w:rPr>
                <w:rFonts w:ascii="Arial" w:cs="Arial" w:eastAsia="Arial" w:hAnsi="Arial"/>
                <w:sz w:val="14"/>
                <w:szCs w:val="14"/>
                <w:color w:val="auto"/>
              </w:rPr>
              <w:t>in current year</w:t>
            </w:r>
          </w:p>
        </w:tc>
        <w:tc>
          <w:tcPr>
            <w:tcW w:w="8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4"/>
            <w:vMerge w:val="continue"/>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shd w:val="clear" w:color="auto" w:fill="CCEEFF"/>
          </w:tcPr>
          <w:p>
            <w:pPr>
              <w:spacing w:after="0"/>
              <w:rPr>
                <w:sz w:val="16"/>
                <w:szCs w:val="16"/>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Difference in fair values between prior year-end fair</w:t>
            </w:r>
          </w:p>
        </w:tc>
        <w:tc>
          <w:tcPr>
            <w:tcW w:w="2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values and vest date fair values for awards granted in</w:t>
            </w:r>
          </w:p>
        </w:tc>
        <w:tc>
          <w:tcPr>
            <w:tcW w:w="1100" w:type="dxa"/>
            <w:vAlign w:val="bottom"/>
            <w:gridSpan w:val="3"/>
            <w:vMerge w:val="restart"/>
            <w:shd w:val="clear" w:color="auto" w:fill="CCEEFF"/>
          </w:tcPr>
          <w:p>
            <w:pPr>
              <w:jc w:val="center"/>
              <w:spacing w:after="0"/>
              <w:rPr>
                <w:sz w:val="20"/>
                <w:szCs w:val="20"/>
                <w:color w:val="auto"/>
              </w:rPr>
            </w:pPr>
            <w:r>
              <w:rPr>
                <w:rFonts w:ascii="Arial" w:cs="Arial" w:eastAsia="Arial" w:hAnsi="Arial"/>
                <w:sz w:val="14"/>
                <w:szCs w:val="14"/>
                <w:color w:val="auto"/>
              </w:rPr>
              <w:t>$(1,096,702)</w:t>
            </w:r>
          </w:p>
        </w:tc>
        <w:tc>
          <w:tcPr>
            <w:tcW w:w="160" w:type="dxa"/>
            <w:vAlign w:val="bottom"/>
            <w:shd w:val="clear" w:color="auto" w:fill="CCEEFF"/>
          </w:tcPr>
          <w:p>
            <w:pPr>
              <w:spacing w:after="0"/>
              <w:rPr>
                <w:sz w:val="15"/>
                <w:szCs w:val="15"/>
                <w:color w:val="auto"/>
              </w:rPr>
            </w:pPr>
          </w:p>
        </w:tc>
        <w:tc>
          <w:tcPr>
            <w:tcW w:w="920" w:type="dxa"/>
            <w:vAlign w:val="bottom"/>
            <w:gridSpan w:val="2"/>
            <w:vMerge w:val="restart"/>
            <w:shd w:val="clear" w:color="auto" w:fill="CCEEFF"/>
          </w:tcPr>
          <w:p>
            <w:pPr>
              <w:jc w:val="center"/>
              <w:ind w:left="128"/>
              <w:spacing w:after="0"/>
              <w:rPr>
                <w:sz w:val="20"/>
                <w:szCs w:val="20"/>
                <w:color w:val="auto"/>
              </w:rPr>
            </w:pPr>
            <w:r>
              <w:rPr>
                <w:rFonts w:ascii="Arial" w:cs="Arial" w:eastAsia="Arial" w:hAnsi="Arial"/>
                <w:sz w:val="14"/>
                <w:szCs w:val="14"/>
                <w:color w:val="auto"/>
              </w:rPr>
              <w:t>$(354,764)</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gridSpan w:val="2"/>
            <w:vMerge w:val="restart"/>
            <w:shd w:val="clear" w:color="auto" w:fill="CCEEFF"/>
          </w:tcPr>
          <w:p>
            <w:pPr>
              <w:jc w:val="center"/>
              <w:ind w:left="108"/>
              <w:spacing w:after="0"/>
              <w:rPr>
                <w:sz w:val="20"/>
                <w:szCs w:val="20"/>
                <w:color w:val="auto"/>
              </w:rPr>
            </w:pPr>
            <w:r>
              <w:rPr>
                <w:rFonts w:ascii="Arial" w:cs="Arial" w:eastAsia="Arial" w:hAnsi="Arial"/>
                <w:sz w:val="14"/>
                <w:szCs w:val="14"/>
                <w:color w:val="auto"/>
              </w:rPr>
              <w:t>$(87,381)</w:t>
            </w:r>
          </w:p>
        </w:tc>
        <w:tc>
          <w:tcPr>
            <w:tcW w:w="100" w:type="dxa"/>
            <w:vAlign w:val="bottom"/>
            <w:shd w:val="clear" w:color="auto" w:fill="CCEEFF"/>
          </w:tcPr>
          <w:p>
            <w:pPr>
              <w:spacing w:after="0"/>
              <w:rPr>
                <w:sz w:val="15"/>
                <w:szCs w:val="15"/>
                <w:color w:val="auto"/>
              </w:rPr>
            </w:pPr>
          </w:p>
        </w:tc>
        <w:tc>
          <w:tcPr>
            <w:tcW w:w="1280" w:type="dxa"/>
            <w:vAlign w:val="bottom"/>
            <w:gridSpan w:val="4"/>
            <w:vMerge w:val="restart"/>
            <w:shd w:val="clear" w:color="auto" w:fill="CCEEFF"/>
          </w:tcPr>
          <w:p>
            <w:pPr>
              <w:jc w:val="center"/>
              <w:ind w:left="328"/>
              <w:spacing w:after="0"/>
              <w:rPr>
                <w:sz w:val="20"/>
                <w:szCs w:val="20"/>
                <w:color w:val="auto"/>
              </w:rPr>
            </w:pPr>
            <w:r>
              <w:rPr>
                <w:rFonts w:ascii="Arial" w:cs="Arial" w:eastAsia="Arial" w:hAnsi="Arial"/>
                <w:sz w:val="14"/>
                <w:szCs w:val="14"/>
                <w:color w:val="auto"/>
              </w:rPr>
              <w:t>$(3,320,357)</w:t>
            </w: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gridSpan w:val="2"/>
            <w:vMerge w:val="restart"/>
            <w:shd w:val="clear" w:color="auto" w:fill="CCEEFF"/>
          </w:tcPr>
          <w:p>
            <w:pPr>
              <w:jc w:val="center"/>
              <w:ind w:left="88"/>
              <w:spacing w:after="0"/>
              <w:rPr>
                <w:sz w:val="20"/>
                <w:szCs w:val="20"/>
                <w:color w:val="auto"/>
              </w:rPr>
            </w:pPr>
            <w:r>
              <w:rPr>
                <w:rFonts w:ascii="Arial" w:cs="Arial" w:eastAsia="Arial" w:hAnsi="Arial"/>
                <w:sz w:val="14"/>
                <w:szCs w:val="14"/>
                <w:color w:val="auto"/>
              </w:rPr>
              <w:t>$3,289,735</w:t>
            </w: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gridSpan w:val="2"/>
            <w:vMerge w:val="restart"/>
            <w:shd w:val="clear" w:color="auto" w:fill="CCEEFF"/>
          </w:tcPr>
          <w:p>
            <w:pPr>
              <w:jc w:val="center"/>
              <w:ind w:left="88"/>
              <w:spacing w:after="0"/>
              <w:rPr>
                <w:sz w:val="20"/>
                <w:szCs w:val="20"/>
                <w:color w:val="auto"/>
              </w:rPr>
            </w:pPr>
            <w:r>
              <w:rPr>
                <w:rFonts w:ascii="Arial" w:cs="Arial" w:eastAsia="Arial" w:hAnsi="Arial"/>
                <w:sz w:val="14"/>
                <w:szCs w:val="14"/>
                <w:color w:val="auto"/>
              </w:rPr>
              <w:t>$(252,767)</w:t>
            </w: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0" w:type="dxa"/>
            <w:vAlign w:val="bottom"/>
            <w:shd w:val="clear" w:color="auto" w:fill="CCEEFF"/>
          </w:tcPr>
          <w:p>
            <w:pPr>
              <w:spacing w:after="0"/>
              <w:rPr>
                <w:sz w:val="17"/>
                <w:szCs w:val="17"/>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prior years</w:t>
            </w:r>
          </w:p>
        </w:tc>
        <w:tc>
          <w:tcPr>
            <w:tcW w:w="1100" w:type="dxa"/>
            <w:vAlign w:val="bottom"/>
            <w:gridSpan w:val="3"/>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gridSpan w:val="4"/>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540" w:type="dxa"/>
            <w:vAlign w:val="bottom"/>
            <w:gridSpan w:val="2"/>
          </w:tcPr>
          <w:p>
            <w:pPr>
              <w:spacing w:after="0" w:line="153" w:lineRule="exact"/>
              <w:rPr>
                <w:sz w:val="20"/>
                <w:szCs w:val="20"/>
                <w:color w:val="auto"/>
              </w:rPr>
            </w:pPr>
            <w:r>
              <w:rPr>
                <w:rFonts w:ascii="Arial" w:cs="Arial" w:eastAsia="Arial" w:hAnsi="Arial"/>
                <w:sz w:val="14"/>
                <w:szCs w:val="14"/>
                <w:color w:val="auto"/>
              </w:rPr>
              <w:t>Forfeitures during current year equal to prior year-end</w:t>
            </w:r>
          </w:p>
        </w:tc>
        <w:tc>
          <w:tcPr>
            <w:tcW w:w="860" w:type="dxa"/>
            <w:vAlign w:val="bottom"/>
            <w:gridSpan w:val="2"/>
            <w:vMerge w:val="restart"/>
          </w:tcPr>
          <w:p>
            <w:pPr>
              <w:jc w:val="center"/>
              <w:ind w:left="16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vMerge w:val="restart"/>
          </w:tcPr>
          <w:p>
            <w:pPr>
              <w:jc w:val="center"/>
              <w:ind w:left="128"/>
              <w:spacing w:after="0"/>
              <w:rPr>
                <w:sz w:val="20"/>
                <w:szCs w:val="20"/>
                <w:color w:val="auto"/>
              </w:rPr>
            </w:pPr>
            <w:r>
              <w:rPr>
                <w:rFonts w:ascii="Arial" w:cs="Arial" w:eastAsia="Arial" w:hAnsi="Arial"/>
                <w:sz w:val="14"/>
                <w:szCs w:val="14"/>
                <w:color w:val="auto"/>
                <w:w w:val="96"/>
              </w:rPr>
              <w:t>$-</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2"/>
            <w:vMerge w:val="restart"/>
          </w:tcPr>
          <w:p>
            <w:pPr>
              <w:jc w:val="center"/>
              <w:ind w:left="10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440" w:type="dxa"/>
            <w:vAlign w:val="bottom"/>
            <w:gridSpan w:val="5"/>
            <w:vMerge w:val="restart"/>
          </w:tcPr>
          <w:p>
            <w:pPr>
              <w:jc w:val="center"/>
              <w:ind w:left="168"/>
              <w:spacing w:after="0"/>
              <w:rPr>
                <w:sz w:val="20"/>
                <w:szCs w:val="20"/>
                <w:color w:val="auto"/>
              </w:rPr>
            </w:pPr>
            <w:r>
              <w:rPr>
                <w:rFonts w:ascii="Arial" w:cs="Arial" w:eastAsia="Arial" w:hAnsi="Arial"/>
                <w:sz w:val="14"/>
                <w:szCs w:val="14"/>
                <w:color w:val="auto"/>
              </w:rPr>
              <w:t>$(13,936,393)</w:t>
            </w:r>
          </w:p>
        </w:tc>
        <w:tc>
          <w:tcPr>
            <w:tcW w:w="160" w:type="dxa"/>
            <w:vAlign w:val="bottom"/>
          </w:tcPr>
          <w:p>
            <w:pPr>
              <w:spacing w:after="0"/>
              <w:rPr>
                <w:sz w:val="13"/>
                <w:szCs w:val="13"/>
                <w:color w:val="auto"/>
              </w:rPr>
            </w:pPr>
          </w:p>
        </w:tc>
        <w:tc>
          <w:tcPr>
            <w:tcW w:w="960" w:type="dxa"/>
            <w:vAlign w:val="bottom"/>
            <w:gridSpan w:val="2"/>
            <w:vMerge w:val="restart"/>
          </w:tcPr>
          <w:p>
            <w:pPr>
              <w:jc w:val="center"/>
              <w:ind w:left="88"/>
              <w:spacing w:after="0"/>
              <w:rPr>
                <w:sz w:val="20"/>
                <w:szCs w:val="20"/>
                <w:color w:val="auto"/>
              </w:rPr>
            </w:pPr>
            <w:r>
              <w:rPr>
                <w:rFonts w:ascii="Arial" w:cs="Arial" w:eastAsia="Arial" w:hAnsi="Arial"/>
                <w:sz w:val="14"/>
                <w:szCs w:val="14"/>
                <w:color w:val="auto"/>
                <w:w w:val="96"/>
              </w:rPr>
              <w:t>$-</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vMerge w:val="restart"/>
          </w:tcPr>
          <w:p>
            <w:pPr>
              <w:jc w:val="center"/>
              <w:ind w:left="88"/>
              <w:spacing w:after="0"/>
              <w:rPr>
                <w:sz w:val="20"/>
                <w:szCs w:val="20"/>
                <w:color w:val="auto"/>
              </w:rPr>
            </w:pPr>
            <w:r>
              <w:rPr>
                <w:rFonts w:ascii="Arial" w:cs="Arial" w:eastAsia="Arial" w:hAnsi="Arial"/>
                <w:sz w:val="14"/>
                <w:szCs w:val="14"/>
                <w:color w:val="auto"/>
                <w:w w:val="96"/>
              </w:rPr>
              <w:t>$-</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540" w:type="dxa"/>
            <w:vAlign w:val="bottom"/>
            <w:gridSpan w:val="2"/>
          </w:tcPr>
          <w:p>
            <w:pPr>
              <w:spacing w:after="0"/>
              <w:rPr>
                <w:sz w:val="20"/>
                <w:szCs w:val="20"/>
                <w:color w:val="auto"/>
              </w:rPr>
            </w:pPr>
            <w:r>
              <w:rPr>
                <w:rFonts w:ascii="Arial" w:cs="Arial" w:eastAsia="Arial" w:hAnsi="Arial"/>
                <w:sz w:val="14"/>
                <w:szCs w:val="14"/>
                <w:color w:val="auto"/>
              </w:rPr>
              <w:t>fair value</w:t>
            </w:r>
          </w:p>
        </w:tc>
        <w:tc>
          <w:tcPr>
            <w:tcW w:w="8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5"/>
            <w:vMerge w:val="continue"/>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shd w:val="clear" w:color="auto" w:fill="CCEEFF"/>
          </w:tcPr>
          <w:p>
            <w:pPr>
              <w:spacing w:after="0"/>
              <w:rPr>
                <w:sz w:val="16"/>
                <w:szCs w:val="16"/>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Dividends or dividend equivalents not otherwise</w:t>
            </w:r>
          </w:p>
        </w:tc>
        <w:tc>
          <w:tcPr>
            <w:tcW w:w="2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Borders>
              <w:bottom w:val="single" w:sz="8" w:color="CCEEFF"/>
            </w:tcBorders>
            <w:shd w:val="clear" w:color="auto" w:fill="CCEEFF"/>
          </w:tcPr>
          <w:p>
            <w:pPr>
              <w:spacing w:after="0"/>
              <w:rPr>
                <w:sz w:val="16"/>
                <w:szCs w:val="16"/>
                <w:color w:val="auto"/>
              </w:rPr>
            </w:pPr>
          </w:p>
        </w:tc>
        <w:tc>
          <w:tcPr>
            <w:tcW w:w="35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included in the total compensation</w:t>
            </w:r>
          </w:p>
        </w:tc>
        <w:tc>
          <w:tcPr>
            <w:tcW w:w="860" w:type="dxa"/>
            <w:vAlign w:val="bottom"/>
            <w:tcBorders>
              <w:bottom w:val="single" w:sz="8" w:color="CCEEFF"/>
            </w:tcBorders>
            <w:gridSpan w:val="2"/>
            <w:shd w:val="clear" w:color="auto" w:fill="CCEEFF"/>
          </w:tcPr>
          <w:p>
            <w:pPr>
              <w:jc w:val="center"/>
              <w:ind w:left="16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gridSpan w:val="2"/>
            <w:shd w:val="clear" w:color="auto" w:fill="CCEEFF"/>
          </w:tcPr>
          <w:p>
            <w:pPr>
              <w:jc w:val="center"/>
              <w:ind w:left="128"/>
              <w:spacing w:after="0"/>
              <w:rPr>
                <w:sz w:val="20"/>
                <w:szCs w:val="20"/>
                <w:color w:val="auto"/>
              </w:rPr>
            </w:pPr>
            <w:r>
              <w:rPr>
                <w:rFonts w:ascii="Arial" w:cs="Arial" w:eastAsia="Arial" w:hAnsi="Arial"/>
                <w:sz w:val="14"/>
                <w:szCs w:val="14"/>
                <w:color w:val="auto"/>
                <w:w w:val="96"/>
              </w:rPr>
              <w:t>$-</w:t>
            </w:r>
          </w:p>
        </w:tc>
        <w:tc>
          <w:tcPr>
            <w:tcW w:w="2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gridSpan w:val="2"/>
            <w:shd w:val="clear" w:color="auto" w:fill="CCEEFF"/>
          </w:tcPr>
          <w:p>
            <w:pPr>
              <w:jc w:val="center"/>
              <w:ind w:left="10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gridSpan w:val="4"/>
            <w:shd w:val="clear" w:color="auto" w:fill="CCEEFF"/>
          </w:tcPr>
          <w:p>
            <w:pPr>
              <w:jc w:val="center"/>
              <w:ind w:left="328"/>
              <w:spacing w:after="0"/>
              <w:rPr>
                <w:sz w:val="20"/>
                <w:szCs w:val="20"/>
                <w:color w:val="auto"/>
              </w:rPr>
            </w:pPr>
            <w:r>
              <w:rPr>
                <w:rFonts w:ascii="Arial" w:cs="Arial" w:eastAsia="Arial" w:hAnsi="Arial"/>
                <w:sz w:val="14"/>
                <w:szCs w:val="14"/>
                <w:color w:val="auto"/>
                <w:w w:val="96"/>
              </w:rPr>
              <w:t>$-</w:t>
            </w:r>
          </w:p>
        </w:tc>
        <w:tc>
          <w:tcPr>
            <w:tcW w:w="16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gridSpan w:val="2"/>
            <w:shd w:val="clear" w:color="auto" w:fill="CCEEFF"/>
          </w:tcPr>
          <w:p>
            <w:pPr>
              <w:jc w:val="center"/>
              <w:ind w:left="88"/>
              <w:spacing w:after="0"/>
              <w:rPr>
                <w:sz w:val="20"/>
                <w:szCs w:val="20"/>
                <w:color w:val="auto"/>
              </w:rPr>
            </w:pPr>
            <w:r>
              <w:rPr>
                <w:rFonts w:ascii="Arial" w:cs="Arial" w:eastAsia="Arial" w:hAnsi="Arial"/>
                <w:sz w:val="14"/>
                <w:szCs w:val="14"/>
                <w:color w:val="auto"/>
                <w:w w:val="96"/>
              </w:rPr>
              <w:t>$-</w:t>
            </w:r>
          </w:p>
        </w:tc>
        <w:tc>
          <w:tcPr>
            <w:tcW w:w="16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gridSpan w:val="2"/>
            <w:shd w:val="clear" w:color="auto" w:fill="CCEEFF"/>
          </w:tcPr>
          <w:p>
            <w:pPr>
              <w:jc w:val="center"/>
              <w:ind w:left="88"/>
              <w:spacing w:after="0"/>
              <w:rPr>
                <w:sz w:val="20"/>
                <w:szCs w:val="20"/>
                <w:color w:val="auto"/>
              </w:rPr>
            </w:pPr>
            <w:r>
              <w:rPr>
                <w:rFonts w:ascii="Arial" w:cs="Arial" w:eastAsia="Arial" w:hAnsi="Arial"/>
                <w:sz w:val="14"/>
                <w:szCs w:val="14"/>
                <w:color w:val="auto"/>
                <w:w w:val="96"/>
              </w:rPr>
              <w:t>$-</w:t>
            </w:r>
          </w:p>
        </w:tc>
        <w:tc>
          <w:tcPr>
            <w:tcW w:w="1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540" w:type="dxa"/>
            <w:vAlign w:val="bottom"/>
            <w:gridSpan w:val="2"/>
          </w:tcPr>
          <w:p>
            <w:pPr>
              <w:spacing w:after="0"/>
              <w:rPr>
                <w:sz w:val="20"/>
                <w:szCs w:val="20"/>
                <w:color w:val="auto"/>
              </w:rPr>
            </w:pPr>
            <w:r>
              <w:rPr>
                <w:rFonts w:ascii="Arial" w:cs="Arial" w:eastAsia="Arial" w:hAnsi="Arial"/>
                <w:sz w:val="14"/>
                <w:szCs w:val="14"/>
                <w:b w:val="1"/>
                <w:bCs w:val="1"/>
                <w:color w:val="auto"/>
              </w:rPr>
              <w:t>Total Adjustments for Equity Awards</w:t>
            </w:r>
          </w:p>
        </w:tc>
        <w:tc>
          <w:tcPr>
            <w:tcW w:w="1100" w:type="dxa"/>
            <w:vAlign w:val="bottom"/>
            <w:gridSpan w:val="3"/>
          </w:tcPr>
          <w:p>
            <w:pPr>
              <w:jc w:val="center"/>
              <w:spacing w:after="0"/>
              <w:rPr>
                <w:sz w:val="20"/>
                <w:szCs w:val="20"/>
                <w:color w:val="auto"/>
              </w:rPr>
            </w:pPr>
            <w:r>
              <w:rPr>
                <w:rFonts w:ascii="Arial" w:cs="Arial" w:eastAsia="Arial" w:hAnsi="Arial"/>
                <w:sz w:val="14"/>
                <w:szCs w:val="14"/>
                <w:b w:val="1"/>
                <w:bCs w:val="1"/>
                <w:color w:val="auto"/>
              </w:rPr>
              <w:t>$(6,681,975)</w:t>
            </w:r>
          </w:p>
        </w:tc>
        <w:tc>
          <w:tcPr>
            <w:tcW w:w="160" w:type="dxa"/>
            <w:vAlign w:val="bottom"/>
          </w:tcPr>
          <w:p>
            <w:pPr>
              <w:spacing w:after="0"/>
              <w:rPr>
                <w:sz w:val="19"/>
                <w:szCs w:val="19"/>
                <w:color w:val="auto"/>
              </w:rPr>
            </w:pPr>
          </w:p>
        </w:tc>
        <w:tc>
          <w:tcPr>
            <w:tcW w:w="1120" w:type="dxa"/>
            <w:vAlign w:val="bottom"/>
            <w:gridSpan w:val="3"/>
          </w:tcPr>
          <w:p>
            <w:pPr>
              <w:jc w:val="center"/>
              <w:spacing w:after="0"/>
              <w:rPr>
                <w:sz w:val="20"/>
                <w:szCs w:val="20"/>
                <w:color w:val="auto"/>
              </w:rPr>
            </w:pPr>
            <w:r>
              <w:rPr>
                <w:rFonts w:ascii="Arial" w:cs="Arial" w:eastAsia="Arial" w:hAnsi="Arial"/>
                <w:sz w:val="14"/>
                <w:szCs w:val="14"/>
                <w:b w:val="1"/>
                <w:bCs w:val="1"/>
                <w:color w:val="auto"/>
              </w:rPr>
              <w:t>$(3,102,833)</w:t>
            </w:r>
          </w:p>
        </w:tc>
        <w:tc>
          <w:tcPr>
            <w:tcW w:w="160" w:type="dxa"/>
            <w:vAlign w:val="bottom"/>
          </w:tcPr>
          <w:p>
            <w:pPr>
              <w:spacing w:after="0"/>
              <w:rPr>
                <w:sz w:val="19"/>
                <w:szCs w:val="19"/>
                <w:color w:val="auto"/>
              </w:rPr>
            </w:pPr>
          </w:p>
        </w:tc>
        <w:tc>
          <w:tcPr>
            <w:tcW w:w="1100" w:type="dxa"/>
            <w:vAlign w:val="bottom"/>
            <w:gridSpan w:val="3"/>
          </w:tcPr>
          <w:p>
            <w:pPr>
              <w:jc w:val="center"/>
              <w:ind w:left="8"/>
              <w:spacing w:after="0"/>
              <w:rPr>
                <w:sz w:val="20"/>
                <w:szCs w:val="20"/>
                <w:color w:val="auto"/>
              </w:rPr>
            </w:pPr>
            <w:r>
              <w:rPr>
                <w:rFonts w:ascii="Arial" w:cs="Arial" w:eastAsia="Arial" w:hAnsi="Arial"/>
                <w:sz w:val="14"/>
                <w:szCs w:val="14"/>
                <w:b w:val="1"/>
                <w:bCs w:val="1"/>
                <w:color w:val="auto"/>
              </w:rPr>
              <w:t>$(2,681,979)</w:t>
            </w:r>
          </w:p>
        </w:tc>
        <w:tc>
          <w:tcPr>
            <w:tcW w:w="1440" w:type="dxa"/>
            <w:vAlign w:val="bottom"/>
            <w:gridSpan w:val="5"/>
          </w:tcPr>
          <w:p>
            <w:pPr>
              <w:jc w:val="center"/>
              <w:ind w:left="168"/>
              <w:spacing w:after="0"/>
              <w:rPr>
                <w:sz w:val="20"/>
                <w:szCs w:val="20"/>
                <w:color w:val="auto"/>
              </w:rPr>
            </w:pPr>
            <w:r>
              <w:rPr>
                <w:rFonts w:ascii="Arial" w:cs="Arial" w:eastAsia="Arial" w:hAnsi="Arial"/>
                <w:sz w:val="14"/>
                <w:szCs w:val="14"/>
                <w:b w:val="1"/>
                <w:bCs w:val="1"/>
                <w:color w:val="auto"/>
              </w:rPr>
              <w:t>$(22,893,671)</w:t>
            </w:r>
          </w:p>
        </w:tc>
        <w:tc>
          <w:tcPr>
            <w:tcW w:w="160" w:type="dxa"/>
            <w:vAlign w:val="bottom"/>
          </w:tcPr>
          <w:p>
            <w:pPr>
              <w:spacing w:after="0"/>
              <w:rPr>
                <w:sz w:val="19"/>
                <w:szCs w:val="19"/>
                <w:color w:val="auto"/>
              </w:rPr>
            </w:pPr>
          </w:p>
        </w:tc>
        <w:tc>
          <w:tcPr>
            <w:tcW w:w="1120" w:type="dxa"/>
            <w:vAlign w:val="bottom"/>
            <w:gridSpan w:val="3"/>
          </w:tcPr>
          <w:p>
            <w:pPr>
              <w:jc w:val="center"/>
              <w:spacing w:after="0"/>
              <w:rPr>
                <w:sz w:val="20"/>
                <w:szCs w:val="20"/>
                <w:color w:val="auto"/>
              </w:rPr>
            </w:pPr>
            <w:r>
              <w:rPr>
                <w:rFonts w:ascii="Arial" w:cs="Arial" w:eastAsia="Arial" w:hAnsi="Arial"/>
                <w:sz w:val="14"/>
                <w:szCs w:val="14"/>
                <w:b w:val="1"/>
                <w:bCs w:val="1"/>
                <w:color w:val="auto"/>
              </w:rPr>
              <w:t>$16,791,264</w:t>
            </w:r>
          </w:p>
        </w:tc>
        <w:tc>
          <w:tcPr>
            <w:tcW w:w="160" w:type="dxa"/>
            <w:vAlign w:val="bottom"/>
          </w:tcPr>
          <w:p>
            <w:pPr>
              <w:spacing w:after="0"/>
              <w:rPr>
                <w:sz w:val="19"/>
                <w:szCs w:val="19"/>
                <w:color w:val="auto"/>
              </w:rPr>
            </w:pPr>
          </w:p>
        </w:tc>
        <w:tc>
          <w:tcPr>
            <w:tcW w:w="1120" w:type="dxa"/>
            <w:vAlign w:val="bottom"/>
            <w:gridSpan w:val="3"/>
          </w:tcPr>
          <w:p>
            <w:pPr>
              <w:jc w:val="center"/>
              <w:spacing w:after="0"/>
              <w:rPr>
                <w:sz w:val="20"/>
                <w:szCs w:val="20"/>
                <w:color w:val="auto"/>
              </w:rPr>
            </w:pPr>
            <w:r>
              <w:rPr>
                <w:rFonts w:ascii="Arial" w:cs="Arial" w:eastAsia="Arial" w:hAnsi="Arial"/>
                <w:sz w:val="14"/>
                <w:szCs w:val="14"/>
                <w:b w:val="1"/>
                <w:bCs w:val="1"/>
                <w:color w:val="auto"/>
              </w:rPr>
              <w:t>$10,139,574</w:t>
            </w: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Compensation Actually Paid (as calculated)</w:t>
            </w:r>
          </w:p>
        </w:tc>
        <w:tc>
          <w:tcPr>
            <w:tcW w:w="1100" w:type="dxa"/>
            <w:vAlign w:val="bottom"/>
            <w:gridSpan w:val="3"/>
            <w:shd w:val="clear" w:color="auto" w:fill="CCEEFF"/>
          </w:tcPr>
          <w:p>
            <w:pPr>
              <w:jc w:val="cente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494,493</w:t>
            </w:r>
          </w:p>
        </w:tc>
        <w:tc>
          <w:tcPr>
            <w:tcW w:w="160" w:type="dxa"/>
            <w:vAlign w:val="bottom"/>
            <w:shd w:val="clear" w:color="auto" w:fill="CCEEFF"/>
          </w:tcPr>
          <w:p>
            <w:pPr>
              <w:spacing w:after="0"/>
              <w:rPr>
                <w:sz w:val="15"/>
                <w:szCs w:val="15"/>
                <w:color w:val="auto"/>
              </w:rPr>
            </w:pPr>
          </w:p>
        </w:tc>
        <w:tc>
          <w:tcPr>
            <w:tcW w:w="1120" w:type="dxa"/>
            <w:vAlign w:val="bottom"/>
            <w:gridSpan w:val="3"/>
            <w:shd w:val="clear" w:color="auto" w:fill="CCEEFF"/>
          </w:tcPr>
          <w:p>
            <w:pPr>
              <w:jc w:val="cente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5,010,678</w:t>
            </w:r>
          </w:p>
        </w:tc>
        <w:tc>
          <w:tcPr>
            <w:tcW w:w="160" w:type="dxa"/>
            <w:vAlign w:val="bottom"/>
            <w:shd w:val="clear" w:color="auto" w:fill="CCEEFF"/>
          </w:tcPr>
          <w:p>
            <w:pPr>
              <w:spacing w:after="0"/>
              <w:rPr>
                <w:sz w:val="15"/>
                <w:szCs w:val="15"/>
                <w:color w:val="auto"/>
              </w:rPr>
            </w:pPr>
          </w:p>
        </w:tc>
        <w:tc>
          <w:tcPr>
            <w:tcW w:w="1100" w:type="dxa"/>
            <w:vAlign w:val="bottom"/>
            <w:gridSpan w:val="3"/>
            <w:shd w:val="clear" w:color="auto" w:fill="CCEEFF"/>
          </w:tcPr>
          <w:p>
            <w:pPr>
              <w:jc w:val="center"/>
              <w:ind w:left="28"/>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18,201,281</w:t>
            </w:r>
          </w:p>
        </w:tc>
        <w:tc>
          <w:tcPr>
            <w:tcW w:w="1440" w:type="dxa"/>
            <w:vAlign w:val="bottom"/>
            <w:gridSpan w:val="5"/>
            <w:shd w:val="clear" w:color="auto" w:fill="CCEEFF"/>
          </w:tcPr>
          <w:p>
            <w:pPr>
              <w:jc w:val="center"/>
              <w:ind w:left="168"/>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(16,980,341)</w:t>
            </w:r>
          </w:p>
        </w:tc>
        <w:tc>
          <w:tcPr>
            <w:tcW w:w="160" w:type="dxa"/>
            <w:vAlign w:val="bottom"/>
            <w:shd w:val="clear" w:color="auto" w:fill="CCEEFF"/>
          </w:tcPr>
          <w:p>
            <w:pPr>
              <w:spacing w:after="0"/>
              <w:rPr>
                <w:sz w:val="15"/>
                <w:szCs w:val="15"/>
                <w:color w:val="auto"/>
              </w:rPr>
            </w:pPr>
          </w:p>
        </w:tc>
        <w:tc>
          <w:tcPr>
            <w:tcW w:w="1120" w:type="dxa"/>
            <w:vAlign w:val="bottom"/>
            <w:gridSpan w:val="3"/>
            <w:shd w:val="clear" w:color="auto" w:fill="CCEEFF"/>
          </w:tcPr>
          <w:p>
            <w:pPr>
              <w:jc w:val="cente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22,508,915</w:t>
            </w:r>
          </w:p>
        </w:tc>
        <w:tc>
          <w:tcPr>
            <w:tcW w:w="160" w:type="dxa"/>
            <w:vAlign w:val="bottom"/>
            <w:shd w:val="clear" w:color="auto" w:fill="CCEEFF"/>
          </w:tcPr>
          <w:p>
            <w:pPr>
              <w:spacing w:after="0"/>
              <w:rPr>
                <w:sz w:val="15"/>
                <w:szCs w:val="15"/>
                <w:color w:val="auto"/>
              </w:rPr>
            </w:pPr>
          </w:p>
        </w:tc>
        <w:tc>
          <w:tcPr>
            <w:tcW w:w="1120" w:type="dxa"/>
            <w:vAlign w:val="bottom"/>
            <w:gridSpan w:val="3"/>
            <w:shd w:val="clear" w:color="auto" w:fill="CCEEFF"/>
          </w:tcPr>
          <w:p>
            <w:pPr>
              <w:jc w:val="cente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17,165,333</w:t>
            </w:r>
          </w:p>
        </w:tc>
        <w:tc>
          <w:tcPr>
            <w:tcW w:w="0" w:type="dxa"/>
            <w:vAlign w:val="bottom"/>
          </w:tcPr>
          <w:p>
            <w:pPr>
              <w:spacing w:after="0"/>
              <w:rPr>
                <w:sz w:val="1"/>
                <w:szCs w:val="1"/>
                <w:color w:val="auto"/>
              </w:rPr>
            </w:pP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2980" w:type="dxa"/>
            <w:vAlign w:val="bottom"/>
            <w:tcBorders>
              <w:top w:val="single" w:sz="8" w:color="auto"/>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auto"/>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auto"/>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auto"/>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auto"/>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auto"/>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auto"/>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6297295</wp:posOffset>
            </wp:positionH>
            <wp:positionV relativeFrom="paragraph">
              <wp:posOffset>-2468245</wp:posOffset>
            </wp:positionV>
            <wp:extent cx="10287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-2468245</wp:posOffset>
            </wp:positionV>
            <wp:extent cx="10287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-2468245</wp:posOffset>
            </wp:positionV>
            <wp:extent cx="10287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-2468245</wp:posOffset>
            </wp:positionV>
            <wp:extent cx="10287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200"/>
          </w:cols>
          <w:pgMar w:left="320" w:top="877" w:right="379" w:bottom="1440" w:gutter="0" w:footer="0" w:header="0"/>
          <w:type w:val="continuous"/>
        </w:sectPr>
      </w:pPr>
    </w:p>
    <w:bookmarkStart w:id="43" w:name="page44"/>
    <w:bookmarkEnd w:id="43"/>
    <w:tbl>
      <w:tblPr>
        <w:tblLayout w:type="fixed"/>
        <w:tblInd w:w="0" w:type="dxa"/>
        <w:tblCellMar>
          <w:top w:w="0" w:type="dxa"/>
          <w:left w:w="0" w:type="dxa"/>
          <w:bottom w:w="0" w:type="dxa"/>
          <w:right w:w="0" w:type="dxa"/>
        </w:tblCellMar>
      </w:tblPr>
      <w:tr>
        <w:trPr>
          <w:trHeight w:val="197"/>
        </w:trPr>
        <w:tc>
          <w:tcPr>
            <w:tcW w:w="2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820" w:type="dxa"/>
            <w:vAlign w:val="bottom"/>
            <w:tcBorders>
              <w:bottom w:val="single" w:sz="8" w:color="auto"/>
            </w:tcBorders>
            <w:gridSpan w:val="2"/>
          </w:tcPr>
          <w:p>
            <w:pPr>
              <w:jc w:val="center"/>
              <w:ind w:left="148"/>
              <w:spacing w:after="0"/>
              <w:rPr>
                <w:sz w:val="20"/>
                <w:szCs w:val="20"/>
                <w:color w:val="auto"/>
              </w:rPr>
            </w:pPr>
            <w:r>
              <w:rPr>
                <w:rFonts w:ascii="Arial" w:cs="Arial" w:eastAsia="Arial" w:hAnsi="Arial"/>
                <w:sz w:val="14"/>
                <w:szCs w:val="14"/>
                <w:b w:val="1"/>
                <w:bCs w:val="1"/>
                <w:color w:val="auto"/>
              </w:rPr>
              <w:t>2024</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2"/>
          </w:tcPr>
          <w:p>
            <w:pPr>
              <w:jc w:val="center"/>
              <w:ind w:left="128"/>
              <w:spacing w:after="0"/>
              <w:rPr>
                <w:sz w:val="20"/>
                <w:szCs w:val="20"/>
                <w:color w:val="auto"/>
              </w:rPr>
            </w:pPr>
            <w:r>
              <w:rPr>
                <w:rFonts w:ascii="Arial" w:cs="Arial" w:eastAsia="Arial" w:hAnsi="Arial"/>
                <w:sz w:val="14"/>
                <w:szCs w:val="14"/>
                <w:b w:val="1"/>
                <w:bCs w:val="1"/>
                <w:color w:val="auto"/>
              </w:rPr>
              <w:t>2023</w:t>
            </w: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2"/>
          </w:tcPr>
          <w:p>
            <w:pPr>
              <w:jc w:val="center"/>
              <w:ind w:left="108"/>
              <w:spacing w:after="0"/>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2"/>
          </w:tcPr>
          <w:p>
            <w:pPr>
              <w:jc w:val="center"/>
              <w:ind w:left="88"/>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2"/>
          </w:tcPr>
          <w:p>
            <w:pPr>
              <w:jc w:val="center"/>
              <w:ind w:left="128"/>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auto"/>
            </w:tcBorders>
          </w:tcPr>
          <w:p>
            <w:pPr>
              <w:spacing w:after="0"/>
              <w:rPr>
                <w:sz w:val="17"/>
                <w:szCs w:val="17"/>
                <w:color w:val="auto"/>
              </w:rPr>
            </w:pPr>
          </w:p>
        </w:tc>
      </w:tr>
      <w:tr>
        <w:trPr>
          <w:trHeight w:val="196"/>
        </w:trPr>
        <w:tc>
          <w:tcPr>
            <w:tcW w:w="20" w:type="dxa"/>
            <w:vAlign w:val="bottom"/>
            <w:tcBorders>
              <w:bottom w:val="single" w:sz="8" w:color="CCEEFF"/>
            </w:tcBorders>
          </w:tcPr>
          <w:p>
            <w:pPr>
              <w:spacing w:after="0"/>
              <w:rPr>
                <w:sz w:val="17"/>
                <w:szCs w:val="17"/>
                <w:color w:val="auto"/>
              </w:rPr>
            </w:pPr>
          </w:p>
        </w:tc>
        <w:tc>
          <w:tcPr>
            <w:tcW w:w="2980" w:type="dxa"/>
            <w:vAlign w:val="bottom"/>
            <w:tcBorders>
              <w:bottom w:val="single" w:sz="8" w:color="CCEEFF"/>
            </w:tcBorders>
          </w:tcPr>
          <w:p>
            <w:pPr>
              <w:spacing w:after="0"/>
              <w:rPr>
                <w:sz w:val="17"/>
                <w:szCs w:val="17"/>
                <w:color w:val="auto"/>
              </w:rPr>
            </w:pPr>
          </w:p>
        </w:tc>
        <w:tc>
          <w:tcPr>
            <w:tcW w:w="26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200" w:type="dxa"/>
            <w:vAlign w:val="bottom"/>
            <w:tcBorders>
              <w:bottom w:val="single" w:sz="8" w:color="auto"/>
            </w:tcBorders>
            <w:gridSpan w:val="8"/>
          </w:tcPr>
          <w:p>
            <w:pPr>
              <w:ind w:left="660"/>
              <w:spacing w:after="0"/>
              <w:rPr>
                <w:sz w:val="20"/>
                <w:szCs w:val="20"/>
                <w:color w:val="auto"/>
              </w:rPr>
            </w:pPr>
            <w:r>
              <w:rPr>
                <w:rFonts w:ascii="Arial" w:cs="Arial" w:eastAsia="Arial" w:hAnsi="Arial"/>
                <w:sz w:val="14"/>
                <w:szCs w:val="14"/>
                <w:b w:val="1"/>
                <w:bCs w:val="1"/>
                <w:color w:val="auto"/>
              </w:rPr>
              <w:t>Average Non-CEO NEOs</w:t>
            </w: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r>
      <w:tr>
        <w:trPr>
          <w:trHeight w:val="224"/>
        </w:trPr>
        <w:tc>
          <w:tcPr>
            <w:tcW w:w="20" w:type="dxa"/>
            <w:vAlign w:val="bottom"/>
            <w:shd w:val="clear" w:color="auto" w:fill="CCEEFF"/>
          </w:tcPr>
          <w:p>
            <w:pPr>
              <w:spacing w:after="0"/>
              <w:rPr>
                <w:sz w:val="19"/>
                <w:szCs w:val="19"/>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Total Compensation from Summary Compensation Table</w:t>
            </w:r>
          </w:p>
        </w:tc>
        <w:tc>
          <w:tcPr>
            <w:tcW w:w="1100" w:type="dxa"/>
            <w:vAlign w:val="bottom"/>
            <w:gridSpan w:val="3"/>
            <w:shd w:val="clear" w:color="auto" w:fill="CCEEFF"/>
          </w:tcPr>
          <w:p>
            <w:pPr>
              <w:jc w:val="center"/>
              <w:ind w:right="60"/>
              <w:spacing w:after="0"/>
              <w:rPr>
                <w:sz w:val="20"/>
                <w:szCs w:val="20"/>
                <w:color w:val="auto"/>
              </w:rPr>
            </w:pPr>
            <w:r>
              <w:rPr>
                <w:rFonts w:ascii="Arial" w:cs="Arial" w:eastAsia="Arial" w:hAnsi="Arial"/>
                <w:sz w:val="14"/>
                <w:szCs w:val="14"/>
                <w:b w:val="1"/>
                <w:bCs w:val="1"/>
                <w:color w:val="auto"/>
              </w:rPr>
              <w:t>$2,944,372</w:t>
            </w:r>
          </w:p>
        </w:tc>
        <w:tc>
          <w:tcPr>
            <w:tcW w:w="920" w:type="dxa"/>
            <w:vAlign w:val="bottom"/>
            <w:gridSpan w:val="2"/>
            <w:shd w:val="clear" w:color="auto" w:fill="CCEEFF"/>
          </w:tcPr>
          <w:p>
            <w:pPr>
              <w:jc w:val="center"/>
              <w:ind w:left="128"/>
              <w:spacing w:after="0"/>
              <w:rPr>
                <w:sz w:val="20"/>
                <w:szCs w:val="20"/>
                <w:color w:val="auto"/>
              </w:rPr>
            </w:pPr>
            <w:r>
              <w:rPr>
                <w:rFonts w:ascii="Arial" w:cs="Arial" w:eastAsia="Arial" w:hAnsi="Arial"/>
                <w:sz w:val="14"/>
                <w:szCs w:val="14"/>
                <w:b w:val="1"/>
                <w:bCs w:val="1"/>
                <w:color w:val="auto"/>
              </w:rPr>
              <w:t>$6,195,115</w:t>
            </w:r>
          </w:p>
        </w:tc>
        <w:tc>
          <w:tcPr>
            <w:tcW w:w="2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center"/>
              <w:ind w:left="108"/>
              <w:spacing w:after="0"/>
              <w:rPr>
                <w:sz w:val="20"/>
                <w:szCs w:val="20"/>
                <w:color w:val="auto"/>
              </w:rPr>
            </w:pPr>
            <w:r>
              <w:rPr>
                <w:rFonts w:ascii="Arial" w:cs="Arial" w:eastAsia="Arial" w:hAnsi="Arial"/>
                <w:sz w:val="14"/>
                <w:szCs w:val="14"/>
                <w:b w:val="1"/>
                <w:bCs w:val="1"/>
                <w:color w:val="auto"/>
              </w:rPr>
              <w:t>$4,003,445</w:t>
            </w: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center"/>
              <w:ind w:left="88"/>
              <w:spacing w:after="0"/>
              <w:rPr>
                <w:sz w:val="20"/>
                <w:szCs w:val="20"/>
                <w:color w:val="auto"/>
              </w:rPr>
            </w:pPr>
            <w:r>
              <w:rPr>
                <w:rFonts w:ascii="Arial" w:cs="Arial" w:eastAsia="Arial" w:hAnsi="Arial"/>
                <w:sz w:val="14"/>
                <w:szCs w:val="14"/>
                <w:b w:val="1"/>
                <w:bCs w:val="1"/>
                <w:color w:val="auto"/>
              </w:rPr>
              <w:t>$3,394,474</w:t>
            </w:r>
          </w:p>
        </w:tc>
        <w:tc>
          <w:tcPr>
            <w:tcW w:w="18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center"/>
              <w:spacing w:after="0"/>
              <w:rPr>
                <w:sz w:val="20"/>
                <w:szCs w:val="20"/>
                <w:color w:val="auto"/>
              </w:rPr>
            </w:pPr>
            <w:r>
              <w:rPr>
                <w:rFonts w:ascii="Arial" w:cs="Arial" w:eastAsia="Arial" w:hAnsi="Arial"/>
                <w:sz w:val="14"/>
                <w:szCs w:val="14"/>
                <w:b w:val="1"/>
                <w:bCs w:val="1"/>
                <w:color w:val="auto"/>
              </w:rPr>
              <w:t>$2,418,455</w:t>
            </w:r>
          </w:p>
        </w:tc>
      </w:tr>
      <w:tr>
        <w:trPr>
          <w:trHeight w:val="222"/>
        </w:trPr>
        <w:tc>
          <w:tcPr>
            <w:tcW w:w="20" w:type="dxa"/>
            <w:vAlign w:val="bottom"/>
          </w:tcPr>
          <w:p>
            <w:pPr>
              <w:spacing w:after="0"/>
              <w:rPr>
                <w:sz w:val="19"/>
                <w:szCs w:val="19"/>
                <w:color w:val="auto"/>
              </w:rPr>
            </w:pPr>
          </w:p>
        </w:tc>
        <w:tc>
          <w:tcPr>
            <w:tcW w:w="5620" w:type="dxa"/>
            <w:vAlign w:val="bottom"/>
            <w:gridSpan w:val="2"/>
          </w:tcPr>
          <w:p>
            <w:pPr>
              <w:spacing w:after="0"/>
              <w:rPr>
                <w:sz w:val="20"/>
                <w:szCs w:val="20"/>
                <w:color w:val="auto"/>
              </w:rPr>
            </w:pPr>
            <w:r>
              <w:rPr>
                <w:rFonts w:ascii="Arial" w:cs="Arial" w:eastAsia="Arial" w:hAnsi="Arial"/>
                <w:sz w:val="14"/>
                <w:szCs w:val="14"/>
                <w:b w:val="1"/>
                <w:bCs w:val="1"/>
                <w:color w:val="auto"/>
              </w:rPr>
              <w:t>Adjustments for Equity Awards</w:t>
            </w: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17"/>
        </w:trPr>
        <w:tc>
          <w:tcPr>
            <w:tcW w:w="20" w:type="dxa"/>
            <w:vAlign w:val="bottom"/>
            <w:tcBorders>
              <w:bottom w:val="single" w:sz="8" w:color="CCEEFF"/>
            </w:tcBorders>
            <w:shd w:val="clear" w:color="auto" w:fill="CCEEFF"/>
          </w:tcPr>
          <w:p>
            <w:pPr>
              <w:spacing w:after="0"/>
              <w:rPr>
                <w:sz w:val="18"/>
                <w:szCs w:val="18"/>
                <w:color w:val="auto"/>
              </w:rPr>
            </w:pPr>
          </w:p>
        </w:tc>
        <w:tc>
          <w:tcPr>
            <w:tcW w:w="56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Adjustment for grant date values in the Summary Compensation Table</w:t>
            </w:r>
          </w:p>
        </w:tc>
        <w:tc>
          <w:tcPr>
            <w:tcW w:w="1100" w:type="dxa"/>
            <w:vAlign w:val="bottom"/>
            <w:tcBorders>
              <w:bottom w:val="single" w:sz="8" w:color="CCEEFF"/>
            </w:tcBorders>
            <w:gridSpan w:val="3"/>
            <w:shd w:val="clear" w:color="auto" w:fill="CCEEFF"/>
          </w:tcPr>
          <w:p>
            <w:pPr>
              <w:jc w:val="center"/>
              <w:ind w:right="40"/>
              <w:spacing w:after="0"/>
              <w:rPr>
                <w:sz w:val="20"/>
                <w:szCs w:val="20"/>
                <w:color w:val="auto"/>
              </w:rPr>
            </w:pPr>
            <w:r>
              <w:rPr>
                <w:rFonts w:ascii="Arial" w:cs="Arial" w:eastAsia="Arial" w:hAnsi="Arial"/>
                <w:sz w:val="14"/>
                <w:szCs w:val="14"/>
                <w:color w:val="auto"/>
              </w:rPr>
              <w:t>$(2,362,247)</w:t>
            </w:r>
          </w:p>
        </w:tc>
        <w:tc>
          <w:tcPr>
            <w:tcW w:w="1120" w:type="dxa"/>
            <w:vAlign w:val="bottom"/>
            <w:tcBorders>
              <w:bottom w:val="single" w:sz="8" w:color="CCEEFF"/>
            </w:tcBorders>
            <w:gridSpan w:val="3"/>
            <w:shd w:val="clear" w:color="auto" w:fill="CCEEFF"/>
          </w:tcPr>
          <w:p>
            <w:pPr>
              <w:jc w:val="center"/>
              <w:spacing w:after="0"/>
              <w:rPr>
                <w:sz w:val="20"/>
                <w:szCs w:val="20"/>
                <w:color w:val="auto"/>
              </w:rPr>
            </w:pPr>
            <w:r>
              <w:rPr>
                <w:rFonts w:ascii="Arial" w:cs="Arial" w:eastAsia="Arial" w:hAnsi="Arial"/>
                <w:sz w:val="14"/>
                <w:szCs w:val="14"/>
                <w:color w:val="auto"/>
              </w:rPr>
              <w:t>$(5,543,886)</w:t>
            </w:r>
          </w:p>
        </w:tc>
        <w:tc>
          <w:tcPr>
            <w:tcW w:w="1140" w:type="dxa"/>
            <w:vAlign w:val="bottom"/>
            <w:tcBorders>
              <w:bottom w:val="single" w:sz="8" w:color="CCEEFF"/>
            </w:tcBorders>
            <w:gridSpan w:val="3"/>
            <w:shd w:val="clear" w:color="auto" w:fill="CCEEFF"/>
          </w:tcPr>
          <w:p>
            <w:pPr>
              <w:jc w:val="center"/>
              <w:spacing w:after="0"/>
              <w:rPr>
                <w:sz w:val="20"/>
                <w:szCs w:val="20"/>
                <w:color w:val="auto"/>
              </w:rPr>
            </w:pPr>
            <w:r>
              <w:rPr>
                <w:rFonts w:ascii="Arial" w:cs="Arial" w:eastAsia="Arial" w:hAnsi="Arial"/>
                <w:sz w:val="14"/>
                <w:szCs w:val="14"/>
                <w:color w:val="auto"/>
              </w:rPr>
              <w:t>$(3,416,284)</w:t>
            </w:r>
          </w:p>
        </w:tc>
        <w:tc>
          <w:tcPr>
            <w:tcW w:w="1140" w:type="dxa"/>
            <w:vAlign w:val="bottom"/>
            <w:tcBorders>
              <w:bottom w:val="single" w:sz="8" w:color="CCEEFF"/>
            </w:tcBorders>
            <w:gridSpan w:val="3"/>
            <w:shd w:val="clear" w:color="auto" w:fill="CCEEFF"/>
          </w:tcPr>
          <w:p>
            <w:pPr>
              <w:jc w:val="center"/>
              <w:spacing w:after="0"/>
              <w:rPr>
                <w:sz w:val="20"/>
                <w:szCs w:val="20"/>
                <w:color w:val="auto"/>
              </w:rPr>
            </w:pPr>
            <w:r>
              <w:rPr>
                <w:rFonts w:ascii="Arial" w:cs="Arial" w:eastAsia="Arial" w:hAnsi="Arial"/>
                <w:sz w:val="14"/>
                <w:szCs w:val="14"/>
                <w:color w:val="auto"/>
              </w:rPr>
              <w:t>$(2,788,734)</w:t>
            </w:r>
          </w:p>
        </w:tc>
        <w:tc>
          <w:tcPr>
            <w:tcW w:w="1080" w:type="dxa"/>
            <w:vAlign w:val="bottom"/>
            <w:tcBorders>
              <w:bottom w:val="single" w:sz="8" w:color="CCEEFF"/>
            </w:tcBorders>
            <w:gridSpan w:val="3"/>
            <w:shd w:val="clear" w:color="auto" w:fill="CCEEFF"/>
          </w:tcPr>
          <w:p>
            <w:pPr>
              <w:jc w:val="center"/>
              <w:spacing w:after="0"/>
              <w:rPr>
                <w:sz w:val="20"/>
                <w:szCs w:val="20"/>
                <w:color w:val="auto"/>
              </w:rPr>
            </w:pPr>
            <w:r>
              <w:rPr>
                <w:rFonts w:ascii="Arial" w:cs="Arial" w:eastAsia="Arial" w:hAnsi="Arial"/>
                <w:sz w:val="14"/>
                <w:szCs w:val="14"/>
                <w:color w:val="auto"/>
              </w:rPr>
              <w:t>$(1,795,052)</w:t>
            </w:r>
          </w:p>
        </w:tc>
      </w:tr>
      <w:tr>
        <w:trPr>
          <w:trHeight w:val="208"/>
        </w:trPr>
        <w:tc>
          <w:tcPr>
            <w:tcW w:w="2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Arial" w:cs="Arial" w:eastAsia="Arial" w:hAnsi="Arial"/>
                <w:sz w:val="14"/>
                <w:szCs w:val="14"/>
                <w:color w:val="auto"/>
              </w:rPr>
              <w:t>Year-end fair value of unvested awards granted in the current year</w:t>
            </w:r>
          </w:p>
        </w:tc>
        <w:tc>
          <w:tcPr>
            <w:tcW w:w="1100" w:type="dxa"/>
            <w:vAlign w:val="bottom"/>
            <w:gridSpan w:val="3"/>
          </w:tcPr>
          <w:p>
            <w:pPr>
              <w:jc w:val="center"/>
              <w:ind w:right="60"/>
              <w:spacing w:after="0"/>
              <w:rPr>
                <w:sz w:val="20"/>
                <w:szCs w:val="20"/>
                <w:color w:val="auto"/>
              </w:rPr>
            </w:pPr>
            <w:r>
              <w:rPr>
                <w:rFonts w:ascii="Arial" w:cs="Arial" w:eastAsia="Arial" w:hAnsi="Arial"/>
                <w:sz w:val="14"/>
                <w:szCs w:val="14"/>
                <w:color w:val="auto"/>
              </w:rPr>
              <w:t>$1,129,586</w:t>
            </w:r>
          </w:p>
        </w:tc>
        <w:tc>
          <w:tcPr>
            <w:tcW w:w="1120" w:type="dxa"/>
            <w:vAlign w:val="bottom"/>
            <w:gridSpan w:val="3"/>
          </w:tcPr>
          <w:p>
            <w:pPr>
              <w:jc w:val="center"/>
              <w:spacing w:after="0"/>
              <w:rPr>
                <w:sz w:val="20"/>
                <w:szCs w:val="20"/>
                <w:color w:val="auto"/>
              </w:rPr>
            </w:pPr>
            <w:r>
              <w:rPr>
                <w:rFonts w:ascii="Arial" w:cs="Arial" w:eastAsia="Arial" w:hAnsi="Arial"/>
                <w:sz w:val="14"/>
                <w:szCs w:val="14"/>
                <w:color w:val="auto"/>
              </w:rPr>
              <w:t>$3,490,147</w:t>
            </w:r>
          </w:p>
        </w:tc>
        <w:tc>
          <w:tcPr>
            <w:tcW w:w="980" w:type="dxa"/>
            <w:vAlign w:val="bottom"/>
            <w:gridSpan w:val="2"/>
          </w:tcPr>
          <w:p>
            <w:pPr>
              <w:jc w:val="center"/>
              <w:ind w:left="108"/>
              <w:spacing w:after="0"/>
              <w:rPr>
                <w:sz w:val="20"/>
                <w:szCs w:val="20"/>
                <w:color w:val="auto"/>
              </w:rPr>
            </w:pPr>
            <w:r>
              <w:rPr>
                <w:rFonts w:ascii="Arial" w:cs="Arial" w:eastAsia="Arial" w:hAnsi="Arial"/>
                <w:sz w:val="14"/>
                <w:szCs w:val="14"/>
                <w:color w:val="auto"/>
              </w:rPr>
              <w:t>$1,413,942</w:t>
            </w:r>
          </w:p>
        </w:tc>
        <w:tc>
          <w:tcPr>
            <w:tcW w:w="160" w:type="dxa"/>
            <w:vAlign w:val="bottom"/>
          </w:tcPr>
          <w:p>
            <w:pPr>
              <w:spacing w:after="0"/>
              <w:rPr>
                <w:sz w:val="18"/>
                <w:szCs w:val="18"/>
                <w:color w:val="auto"/>
              </w:rPr>
            </w:pPr>
          </w:p>
        </w:tc>
        <w:tc>
          <w:tcPr>
            <w:tcW w:w="960" w:type="dxa"/>
            <w:vAlign w:val="bottom"/>
            <w:gridSpan w:val="2"/>
          </w:tcPr>
          <w:p>
            <w:pPr>
              <w:jc w:val="center"/>
              <w:ind w:left="88"/>
              <w:spacing w:after="0"/>
              <w:rPr>
                <w:sz w:val="20"/>
                <w:szCs w:val="20"/>
                <w:color w:val="auto"/>
              </w:rPr>
            </w:pPr>
            <w:r>
              <w:rPr>
                <w:rFonts w:ascii="Arial" w:cs="Arial" w:eastAsia="Arial" w:hAnsi="Arial"/>
                <w:sz w:val="14"/>
                <w:szCs w:val="14"/>
                <w:color w:val="auto"/>
              </w:rPr>
              <w:t>$4,664,241</w:t>
            </w:r>
          </w:p>
        </w:tc>
        <w:tc>
          <w:tcPr>
            <w:tcW w:w="180" w:type="dxa"/>
            <w:vAlign w:val="bottom"/>
          </w:tcPr>
          <w:p>
            <w:pPr>
              <w:spacing w:after="0"/>
              <w:rPr>
                <w:sz w:val="18"/>
                <w:szCs w:val="18"/>
                <w:color w:val="auto"/>
              </w:rPr>
            </w:pPr>
          </w:p>
        </w:tc>
        <w:tc>
          <w:tcPr>
            <w:tcW w:w="1080" w:type="dxa"/>
            <w:vAlign w:val="bottom"/>
            <w:gridSpan w:val="3"/>
          </w:tcPr>
          <w:p>
            <w:pPr>
              <w:jc w:val="center"/>
              <w:spacing w:after="0"/>
              <w:rPr>
                <w:sz w:val="20"/>
                <w:szCs w:val="20"/>
                <w:color w:val="auto"/>
              </w:rPr>
            </w:pPr>
            <w:r>
              <w:rPr>
                <w:rFonts w:ascii="Arial" w:cs="Arial" w:eastAsia="Arial" w:hAnsi="Arial"/>
                <w:sz w:val="14"/>
                <w:szCs w:val="14"/>
                <w:color w:val="auto"/>
              </w:rPr>
              <w:t>$3,546,374</w:t>
            </w:r>
          </w:p>
        </w:tc>
      </w:tr>
      <w:tr>
        <w:trPr>
          <w:trHeight w:val="22"/>
        </w:trPr>
        <w:tc>
          <w:tcPr>
            <w:tcW w:w="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3"/>
        </w:trPr>
        <w:tc>
          <w:tcPr>
            <w:tcW w:w="20" w:type="dxa"/>
            <w:vAlign w:val="bottom"/>
            <w:shd w:val="clear" w:color="auto" w:fill="CCEEFF"/>
          </w:tcPr>
          <w:p>
            <w:pPr>
              <w:spacing w:after="0"/>
              <w:rPr>
                <w:sz w:val="16"/>
                <w:szCs w:val="16"/>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Year-over-year difference of year-end fair values for unvested awards granted in prior</w:t>
            </w:r>
          </w:p>
        </w:tc>
        <w:tc>
          <w:tcPr>
            <w:tcW w:w="2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192"/>
        </w:trPr>
        <w:tc>
          <w:tcPr>
            <w:tcW w:w="20" w:type="dxa"/>
            <w:vAlign w:val="bottom"/>
            <w:tcBorders>
              <w:bottom w:val="single" w:sz="8" w:color="CCEEFF"/>
            </w:tcBorders>
            <w:shd w:val="clear" w:color="auto" w:fill="CCEEFF"/>
          </w:tcPr>
          <w:p>
            <w:pPr>
              <w:spacing w:after="0"/>
              <w:rPr>
                <w:sz w:val="16"/>
                <w:szCs w:val="16"/>
                <w:color w:val="auto"/>
              </w:rPr>
            </w:pPr>
          </w:p>
        </w:tc>
        <w:tc>
          <w:tcPr>
            <w:tcW w:w="56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years</w:t>
            </w:r>
          </w:p>
        </w:tc>
        <w:tc>
          <w:tcPr>
            <w:tcW w:w="1100" w:type="dxa"/>
            <w:vAlign w:val="bottom"/>
            <w:tcBorders>
              <w:bottom w:val="single" w:sz="8" w:color="CCEEFF"/>
            </w:tcBorders>
            <w:gridSpan w:val="3"/>
            <w:shd w:val="clear" w:color="auto" w:fill="CCEEFF"/>
          </w:tcPr>
          <w:p>
            <w:pPr>
              <w:jc w:val="center"/>
              <w:ind w:right="40"/>
              <w:spacing w:after="0"/>
              <w:rPr>
                <w:sz w:val="20"/>
                <w:szCs w:val="20"/>
                <w:color w:val="auto"/>
              </w:rPr>
            </w:pPr>
            <w:r>
              <w:rPr>
                <w:rFonts w:ascii="Arial" w:cs="Arial" w:eastAsia="Arial" w:hAnsi="Arial"/>
                <w:sz w:val="14"/>
                <w:szCs w:val="14"/>
                <w:color w:val="auto"/>
              </w:rPr>
              <w:t>$(184,224)</w:t>
            </w:r>
          </w:p>
        </w:tc>
        <w:tc>
          <w:tcPr>
            <w:tcW w:w="920" w:type="dxa"/>
            <w:vAlign w:val="bottom"/>
            <w:tcBorders>
              <w:bottom w:val="single" w:sz="8" w:color="CCEEFF"/>
            </w:tcBorders>
            <w:gridSpan w:val="2"/>
            <w:shd w:val="clear" w:color="auto" w:fill="CCEEFF"/>
          </w:tcPr>
          <w:p>
            <w:pPr>
              <w:jc w:val="center"/>
              <w:ind w:left="128"/>
              <w:spacing w:after="0"/>
              <w:rPr>
                <w:sz w:val="20"/>
                <w:szCs w:val="20"/>
                <w:color w:val="auto"/>
              </w:rPr>
            </w:pPr>
            <w:r>
              <w:rPr>
                <w:rFonts w:ascii="Arial" w:cs="Arial" w:eastAsia="Arial" w:hAnsi="Arial"/>
                <w:sz w:val="14"/>
                <w:szCs w:val="14"/>
                <w:color w:val="auto"/>
              </w:rPr>
              <w:t>$(737,047)</w:t>
            </w:r>
          </w:p>
        </w:tc>
        <w:tc>
          <w:tcPr>
            <w:tcW w:w="20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gridSpan w:val="3"/>
            <w:shd w:val="clear" w:color="auto" w:fill="CCEEFF"/>
          </w:tcPr>
          <w:p>
            <w:pPr>
              <w:jc w:val="center"/>
              <w:spacing w:after="0"/>
              <w:rPr>
                <w:sz w:val="20"/>
                <w:szCs w:val="20"/>
                <w:color w:val="auto"/>
              </w:rPr>
            </w:pPr>
            <w:r>
              <w:rPr>
                <w:rFonts w:ascii="Arial" w:cs="Arial" w:eastAsia="Arial" w:hAnsi="Arial"/>
                <w:sz w:val="14"/>
                <w:szCs w:val="14"/>
                <w:color w:val="auto"/>
              </w:rPr>
              <w:t>$(6,157,849)</w:t>
            </w:r>
          </w:p>
        </w:tc>
        <w:tc>
          <w:tcPr>
            <w:tcW w:w="960" w:type="dxa"/>
            <w:vAlign w:val="bottom"/>
            <w:tcBorders>
              <w:bottom w:val="single" w:sz="8" w:color="CCEEFF"/>
            </w:tcBorders>
            <w:gridSpan w:val="2"/>
            <w:shd w:val="clear" w:color="auto" w:fill="CCEEFF"/>
          </w:tcPr>
          <w:p>
            <w:pPr>
              <w:jc w:val="center"/>
              <w:ind w:left="88"/>
              <w:spacing w:after="0"/>
              <w:rPr>
                <w:sz w:val="20"/>
                <w:szCs w:val="20"/>
                <w:color w:val="auto"/>
              </w:rPr>
            </w:pPr>
            <w:r>
              <w:rPr>
                <w:rFonts w:ascii="Arial" w:cs="Arial" w:eastAsia="Arial" w:hAnsi="Arial"/>
                <w:sz w:val="14"/>
                <w:szCs w:val="14"/>
                <w:color w:val="auto"/>
              </w:rPr>
              <w:t>$6,217,305</w:t>
            </w:r>
          </w:p>
        </w:tc>
        <w:tc>
          <w:tcPr>
            <w:tcW w:w="18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gridSpan w:val="3"/>
            <w:shd w:val="clear" w:color="auto" w:fill="CCEEFF"/>
          </w:tcPr>
          <w:p>
            <w:pPr>
              <w:jc w:val="center"/>
              <w:spacing w:after="0"/>
              <w:rPr>
                <w:sz w:val="20"/>
                <w:szCs w:val="20"/>
                <w:color w:val="auto"/>
              </w:rPr>
            </w:pPr>
            <w:r>
              <w:rPr>
                <w:rFonts w:ascii="Arial" w:cs="Arial" w:eastAsia="Arial" w:hAnsi="Arial"/>
                <w:sz w:val="14"/>
                <w:szCs w:val="14"/>
                <w:color w:val="auto"/>
              </w:rPr>
              <w:t>$1,581,201</w:t>
            </w:r>
          </w:p>
        </w:tc>
      </w:tr>
      <w:tr>
        <w:trPr>
          <w:trHeight w:val="208"/>
        </w:trPr>
        <w:tc>
          <w:tcPr>
            <w:tcW w:w="2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Arial" w:cs="Arial" w:eastAsia="Arial" w:hAnsi="Arial"/>
                <w:sz w:val="14"/>
                <w:szCs w:val="14"/>
                <w:color w:val="auto"/>
              </w:rPr>
              <w:t>Fair values at vest date for awards granted and vested in current year</w:t>
            </w:r>
          </w:p>
        </w:tc>
        <w:tc>
          <w:tcPr>
            <w:tcW w:w="820" w:type="dxa"/>
            <w:vAlign w:val="bottom"/>
            <w:gridSpan w:val="2"/>
          </w:tcPr>
          <w:p>
            <w:pPr>
              <w:jc w:val="center"/>
              <w:ind w:left="148"/>
              <w:spacing w:after="0"/>
              <w:rPr>
                <w:sz w:val="20"/>
                <w:szCs w:val="20"/>
                <w:color w:val="auto"/>
              </w:rPr>
            </w:pPr>
            <w:r>
              <w:rPr>
                <w:rFonts w:ascii="Arial" w:cs="Arial" w:eastAsia="Arial" w:hAnsi="Arial"/>
                <w:sz w:val="14"/>
                <w:szCs w:val="14"/>
                <w:color w:val="auto"/>
              </w:rPr>
              <w:t>$13,439</w:t>
            </w:r>
          </w:p>
        </w:tc>
        <w:tc>
          <w:tcPr>
            <w:tcW w:w="280" w:type="dxa"/>
            <w:vAlign w:val="bottom"/>
          </w:tcPr>
          <w:p>
            <w:pPr>
              <w:spacing w:after="0"/>
              <w:rPr>
                <w:sz w:val="18"/>
                <w:szCs w:val="18"/>
                <w:color w:val="auto"/>
              </w:rPr>
            </w:pPr>
          </w:p>
        </w:tc>
        <w:tc>
          <w:tcPr>
            <w:tcW w:w="920" w:type="dxa"/>
            <w:vAlign w:val="bottom"/>
            <w:gridSpan w:val="2"/>
          </w:tcPr>
          <w:p>
            <w:pPr>
              <w:jc w:val="center"/>
              <w:ind w:left="128"/>
              <w:spacing w:after="0"/>
              <w:rPr>
                <w:sz w:val="20"/>
                <w:szCs w:val="20"/>
                <w:color w:val="auto"/>
              </w:rPr>
            </w:pPr>
            <w:r>
              <w:rPr>
                <w:rFonts w:ascii="Arial" w:cs="Arial" w:eastAsia="Arial" w:hAnsi="Arial"/>
                <w:sz w:val="14"/>
                <w:szCs w:val="14"/>
                <w:color w:val="auto"/>
                <w:w w:val="96"/>
              </w:rPr>
              <w:t>$-</w:t>
            </w:r>
          </w:p>
        </w:tc>
        <w:tc>
          <w:tcPr>
            <w:tcW w:w="200" w:type="dxa"/>
            <w:vAlign w:val="bottom"/>
          </w:tcPr>
          <w:p>
            <w:pPr>
              <w:spacing w:after="0"/>
              <w:rPr>
                <w:sz w:val="18"/>
                <w:szCs w:val="18"/>
                <w:color w:val="auto"/>
              </w:rPr>
            </w:pPr>
          </w:p>
        </w:tc>
        <w:tc>
          <w:tcPr>
            <w:tcW w:w="980" w:type="dxa"/>
            <w:vAlign w:val="bottom"/>
            <w:gridSpan w:val="2"/>
          </w:tcPr>
          <w:p>
            <w:pPr>
              <w:jc w:val="center"/>
              <w:ind w:left="108"/>
              <w:spacing w:after="0"/>
              <w:rPr>
                <w:sz w:val="20"/>
                <w:szCs w:val="20"/>
                <w:color w:val="auto"/>
              </w:rPr>
            </w:pPr>
            <w:r>
              <w:rPr>
                <w:rFonts w:ascii="Arial" w:cs="Arial" w:eastAsia="Arial" w:hAnsi="Arial"/>
                <w:sz w:val="14"/>
                <w:szCs w:val="14"/>
                <w:color w:val="auto"/>
              </w:rPr>
              <w:t>$25,894</w:t>
            </w:r>
          </w:p>
        </w:tc>
        <w:tc>
          <w:tcPr>
            <w:tcW w:w="160" w:type="dxa"/>
            <w:vAlign w:val="bottom"/>
          </w:tcPr>
          <w:p>
            <w:pPr>
              <w:spacing w:after="0"/>
              <w:rPr>
                <w:sz w:val="18"/>
                <w:szCs w:val="18"/>
                <w:color w:val="auto"/>
              </w:rPr>
            </w:pPr>
          </w:p>
        </w:tc>
        <w:tc>
          <w:tcPr>
            <w:tcW w:w="960" w:type="dxa"/>
            <w:vAlign w:val="bottom"/>
            <w:gridSpan w:val="2"/>
          </w:tcPr>
          <w:p>
            <w:pPr>
              <w:jc w:val="center"/>
              <w:ind w:left="10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920" w:type="dxa"/>
            <w:vAlign w:val="bottom"/>
            <w:gridSpan w:val="2"/>
          </w:tcPr>
          <w:p>
            <w:pPr>
              <w:jc w:val="center"/>
              <w:ind w:left="128"/>
              <w:spacing w:after="0"/>
              <w:rPr>
                <w:sz w:val="20"/>
                <w:szCs w:val="20"/>
                <w:color w:val="auto"/>
              </w:rPr>
            </w:pPr>
            <w:r>
              <w:rPr>
                <w:rFonts w:ascii="Arial" w:cs="Arial" w:eastAsia="Arial" w:hAnsi="Arial"/>
                <w:sz w:val="14"/>
                <w:szCs w:val="14"/>
                <w:color w:val="auto"/>
                <w:w w:val="96"/>
              </w:rPr>
              <w:t>$-</w:t>
            </w:r>
          </w:p>
        </w:tc>
        <w:tc>
          <w:tcPr>
            <w:tcW w:w="160" w:type="dxa"/>
            <w:vAlign w:val="bottom"/>
          </w:tcPr>
          <w:p>
            <w:pPr>
              <w:spacing w:after="0"/>
              <w:rPr>
                <w:sz w:val="18"/>
                <w:szCs w:val="18"/>
                <w:color w:val="auto"/>
              </w:rPr>
            </w:pPr>
          </w:p>
        </w:tc>
      </w:tr>
      <w:tr>
        <w:trPr>
          <w:trHeight w:val="22"/>
        </w:trPr>
        <w:tc>
          <w:tcPr>
            <w:tcW w:w="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3"/>
        </w:trPr>
        <w:tc>
          <w:tcPr>
            <w:tcW w:w="20" w:type="dxa"/>
            <w:vAlign w:val="bottom"/>
            <w:shd w:val="clear" w:color="auto" w:fill="CCEEFF"/>
          </w:tcPr>
          <w:p>
            <w:pPr>
              <w:spacing w:after="0"/>
              <w:rPr>
                <w:sz w:val="16"/>
                <w:szCs w:val="16"/>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Difference in fair values between prior year-end fair values and vest date fair values</w:t>
            </w:r>
          </w:p>
        </w:tc>
        <w:tc>
          <w:tcPr>
            <w:tcW w:w="2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192"/>
        </w:trPr>
        <w:tc>
          <w:tcPr>
            <w:tcW w:w="20" w:type="dxa"/>
            <w:vAlign w:val="bottom"/>
            <w:tcBorders>
              <w:bottom w:val="single" w:sz="8" w:color="CCEEFF"/>
            </w:tcBorders>
            <w:shd w:val="clear" w:color="auto" w:fill="CCEEFF"/>
          </w:tcPr>
          <w:p>
            <w:pPr>
              <w:spacing w:after="0"/>
              <w:rPr>
                <w:sz w:val="16"/>
                <w:szCs w:val="16"/>
                <w:color w:val="auto"/>
              </w:rPr>
            </w:pPr>
          </w:p>
        </w:tc>
        <w:tc>
          <w:tcPr>
            <w:tcW w:w="56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for awards granted in prior years</w:t>
            </w:r>
          </w:p>
        </w:tc>
        <w:tc>
          <w:tcPr>
            <w:tcW w:w="1100" w:type="dxa"/>
            <w:vAlign w:val="bottom"/>
            <w:tcBorders>
              <w:bottom w:val="single" w:sz="8" w:color="CCEEFF"/>
            </w:tcBorders>
            <w:gridSpan w:val="3"/>
            <w:shd w:val="clear" w:color="auto" w:fill="CCEEFF"/>
          </w:tcPr>
          <w:p>
            <w:pPr>
              <w:jc w:val="center"/>
              <w:ind w:right="40"/>
              <w:spacing w:after="0"/>
              <w:rPr>
                <w:sz w:val="20"/>
                <w:szCs w:val="20"/>
                <w:color w:val="auto"/>
              </w:rPr>
            </w:pPr>
            <w:r>
              <w:rPr>
                <w:rFonts w:ascii="Arial" w:cs="Arial" w:eastAsia="Arial" w:hAnsi="Arial"/>
                <w:sz w:val="14"/>
                <w:szCs w:val="14"/>
                <w:color w:val="auto"/>
              </w:rPr>
              <w:t>$(237,629)</w:t>
            </w:r>
          </w:p>
        </w:tc>
        <w:tc>
          <w:tcPr>
            <w:tcW w:w="920" w:type="dxa"/>
            <w:vAlign w:val="bottom"/>
            <w:tcBorders>
              <w:bottom w:val="single" w:sz="8" w:color="CCEEFF"/>
            </w:tcBorders>
            <w:gridSpan w:val="2"/>
            <w:shd w:val="clear" w:color="auto" w:fill="CCEEFF"/>
          </w:tcPr>
          <w:p>
            <w:pPr>
              <w:jc w:val="center"/>
              <w:ind w:left="128"/>
              <w:spacing w:after="0"/>
              <w:rPr>
                <w:sz w:val="20"/>
                <w:szCs w:val="20"/>
                <w:color w:val="auto"/>
              </w:rPr>
            </w:pPr>
            <w:r>
              <w:rPr>
                <w:rFonts w:ascii="Arial" w:cs="Arial" w:eastAsia="Arial" w:hAnsi="Arial"/>
                <w:sz w:val="14"/>
                <w:szCs w:val="14"/>
                <w:color w:val="auto"/>
              </w:rPr>
              <w:t>$765,513</w:t>
            </w:r>
          </w:p>
        </w:tc>
        <w:tc>
          <w:tcPr>
            <w:tcW w:w="20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gridSpan w:val="3"/>
            <w:shd w:val="clear" w:color="auto" w:fill="CCEEFF"/>
          </w:tcPr>
          <w:p>
            <w:pPr>
              <w:jc w:val="center"/>
              <w:spacing w:after="0"/>
              <w:rPr>
                <w:sz w:val="20"/>
                <w:szCs w:val="20"/>
                <w:color w:val="auto"/>
              </w:rPr>
            </w:pPr>
            <w:r>
              <w:rPr>
                <w:rFonts w:ascii="Arial" w:cs="Arial" w:eastAsia="Arial" w:hAnsi="Arial"/>
                <w:sz w:val="14"/>
                <w:szCs w:val="14"/>
                <w:color w:val="auto"/>
              </w:rPr>
              <w:t>$(1,304,882)</w:t>
            </w:r>
          </w:p>
        </w:tc>
        <w:tc>
          <w:tcPr>
            <w:tcW w:w="960" w:type="dxa"/>
            <w:vAlign w:val="bottom"/>
            <w:tcBorders>
              <w:bottom w:val="single" w:sz="8" w:color="CCEEFF"/>
            </w:tcBorders>
            <w:gridSpan w:val="2"/>
            <w:shd w:val="clear" w:color="auto" w:fill="CCEEFF"/>
          </w:tcPr>
          <w:p>
            <w:pPr>
              <w:jc w:val="center"/>
              <w:ind w:left="88"/>
              <w:spacing w:after="0"/>
              <w:rPr>
                <w:sz w:val="20"/>
                <w:szCs w:val="20"/>
                <w:color w:val="auto"/>
              </w:rPr>
            </w:pPr>
            <w:r>
              <w:rPr>
                <w:rFonts w:ascii="Arial" w:cs="Arial" w:eastAsia="Arial" w:hAnsi="Arial"/>
                <w:sz w:val="14"/>
                <w:szCs w:val="14"/>
                <w:color w:val="auto"/>
              </w:rPr>
              <w:t>$1,908,380</w:t>
            </w:r>
          </w:p>
        </w:tc>
        <w:tc>
          <w:tcPr>
            <w:tcW w:w="1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gridSpan w:val="2"/>
            <w:shd w:val="clear" w:color="auto" w:fill="CCEEFF"/>
          </w:tcPr>
          <w:p>
            <w:pPr>
              <w:jc w:val="center"/>
              <w:ind w:left="128"/>
              <w:spacing w:after="0"/>
              <w:rPr>
                <w:sz w:val="20"/>
                <w:szCs w:val="20"/>
                <w:color w:val="auto"/>
              </w:rPr>
            </w:pPr>
            <w:r>
              <w:rPr>
                <w:rFonts w:ascii="Arial" w:cs="Arial" w:eastAsia="Arial" w:hAnsi="Arial"/>
                <w:sz w:val="14"/>
                <w:szCs w:val="14"/>
                <w:color w:val="auto"/>
              </w:rPr>
              <w:t>$(75,338)</w:t>
            </w:r>
          </w:p>
        </w:tc>
        <w:tc>
          <w:tcPr>
            <w:tcW w:w="160" w:type="dxa"/>
            <w:vAlign w:val="bottom"/>
            <w:tcBorders>
              <w:bottom w:val="single" w:sz="8" w:color="CCEEFF"/>
            </w:tcBorders>
            <w:shd w:val="clear" w:color="auto" w:fill="CCEEFF"/>
          </w:tcPr>
          <w:p>
            <w:pPr>
              <w:spacing w:after="0"/>
              <w:rPr>
                <w:sz w:val="16"/>
                <w:szCs w:val="16"/>
                <w:color w:val="auto"/>
              </w:rPr>
            </w:pPr>
          </w:p>
        </w:tc>
      </w:tr>
      <w:tr>
        <w:trPr>
          <w:trHeight w:val="208"/>
        </w:trPr>
        <w:tc>
          <w:tcPr>
            <w:tcW w:w="2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Arial" w:cs="Arial" w:eastAsia="Arial" w:hAnsi="Arial"/>
                <w:sz w:val="14"/>
                <w:szCs w:val="14"/>
                <w:color w:val="auto"/>
              </w:rPr>
              <w:t>Forfeitures during current year equal to prior year-end fair value</w:t>
            </w:r>
          </w:p>
        </w:tc>
        <w:tc>
          <w:tcPr>
            <w:tcW w:w="1100" w:type="dxa"/>
            <w:vAlign w:val="bottom"/>
            <w:gridSpan w:val="3"/>
          </w:tcPr>
          <w:p>
            <w:pPr>
              <w:jc w:val="center"/>
              <w:ind w:right="40"/>
              <w:spacing w:after="0"/>
              <w:rPr>
                <w:sz w:val="20"/>
                <w:szCs w:val="20"/>
                <w:color w:val="auto"/>
              </w:rPr>
            </w:pPr>
            <w:r>
              <w:rPr>
                <w:rFonts w:ascii="Arial" w:cs="Arial" w:eastAsia="Arial" w:hAnsi="Arial"/>
                <w:sz w:val="14"/>
                <w:szCs w:val="14"/>
                <w:color w:val="auto"/>
              </w:rPr>
              <w:t>$(932,758)</w:t>
            </w:r>
          </w:p>
        </w:tc>
        <w:tc>
          <w:tcPr>
            <w:tcW w:w="920" w:type="dxa"/>
            <w:vAlign w:val="bottom"/>
            <w:gridSpan w:val="2"/>
          </w:tcPr>
          <w:p>
            <w:pPr>
              <w:jc w:val="center"/>
              <w:ind w:left="128"/>
              <w:spacing w:after="0"/>
              <w:rPr>
                <w:sz w:val="20"/>
                <w:szCs w:val="20"/>
                <w:color w:val="auto"/>
              </w:rPr>
            </w:pPr>
            <w:r>
              <w:rPr>
                <w:rFonts w:ascii="Arial" w:cs="Arial" w:eastAsia="Arial" w:hAnsi="Arial"/>
                <w:sz w:val="14"/>
                <w:szCs w:val="14"/>
                <w:color w:val="auto"/>
                <w:w w:val="96"/>
              </w:rPr>
              <w:t>$-</w:t>
            </w:r>
          </w:p>
        </w:tc>
        <w:tc>
          <w:tcPr>
            <w:tcW w:w="200" w:type="dxa"/>
            <w:vAlign w:val="bottom"/>
          </w:tcPr>
          <w:p>
            <w:pPr>
              <w:spacing w:after="0"/>
              <w:rPr>
                <w:sz w:val="18"/>
                <w:szCs w:val="18"/>
                <w:color w:val="auto"/>
              </w:rPr>
            </w:pPr>
          </w:p>
        </w:tc>
        <w:tc>
          <w:tcPr>
            <w:tcW w:w="980" w:type="dxa"/>
            <w:vAlign w:val="bottom"/>
            <w:gridSpan w:val="2"/>
          </w:tcPr>
          <w:p>
            <w:pPr>
              <w:jc w:val="center"/>
              <w:ind w:left="88"/>
              <w:spacing w:after="0"/>
              <w:rPr>
                <w:sz w:val="20"/>
                <w:szCs w:val="20"/>
                <w:color w:val="auto"/>
              </w:rPr>
            </w:pPr>
            <w:r>
              <w:rPr>
                <w:rFonts w:ascii="Arial" w:cs="Arial" w:eastAsia="Arial" w:hAnsi="Arial"/>
                <w:sz w:val="14"/>
                <w:szCs w:val="14"/>
                <w:color w:val="auto"/>
              </w:rPr>
              <w:t>$(359,251)</w:t>
            </w:r>
          </w:p>
        </w:tc>
        <w:tc>
          <w:tcPr>
            <w:tcW w:w="160" w:type="dxa"/>
            <w:vAlign w:val="bottom"/>
          </w:tcPr>
          <w:p>
            <w:pPr>
              <w:spacing w:after="0"/>
              <w:rPr>
                <w:sz w:val="18"/>
                <w:szCs w:val="18"/>
                <w:color w:val="auto"/>
              </w:rPr>
            </w:pPr>
          </w:p>
        </w:tc>
        <w:tc>
          <w:tcPr>
            <w:tcW w:w="960" w:type="dxa"/>
            <w:vAlign w:val="bottom"/>
            <w:gridSpan w:val="2"/>
          </w:tcPr>
          <w:p>
            <w:pPr>
              <w:jc w:val="center"/>
              <w:ind w:left="10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920" w:type="dxa"/>
            <w:vAlign w:val="bottom"/>
            <w:gridSpan w:val="2"/>
          </w:tcPr>
          <w:p>
            <w:pPr>
              <w:jc w:val="center"/>
              <w:ind w:left="128"/>
              <w:spacing w:after="0"/>
              <w:rPr>
                <w:sz w:val="20"/>
                <w:szCs w:val="20"/>
                <w:color w:val="auto"/>
              </w:rPr>
            </w:pPr>
            <w:r>
              <w:rPr>
                <w:rFonts w:ascii="Arial" w:cs="Arial" w:eastAsia="Arial" w:hAnsi="Arial"/>
                <w:sz w:val="14"/>
                <w:szCs w:val="14"/>
                <w:color w:val="auto"/>
                <w:w w:val="96"/>
              </w:rPr>
              <w:t>$-</w:t>
            </w:r>
          </w:p>
        </w:tc>
        <w:tc>
          <w:tcPr>
            <w:tcW w:w="160" w:type="dxa"/>
            <w:vAlign w:val="bottom"/>
          </w:tcPr>
          <w:p>
            <w:pPr>
              <w:spacing w:after="0"/>
              <w:rPr>
                <w:sz w:val="18"/>
                <w:szCs w:val="18"/>
                <w:color w:val="auto"/>
              </w:rPr>
            </w:pPr>
          </w:p>
        </w:tc>
      </w:tr>
      <w:tr>
        <w:trPr>
          <w:trHeight w:val="22"/>
        </w:trPr>
        <w:tc>
          <w:tcPr>
            <w:tcW w:w="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56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Dividends or dividend equivalents not otherwise included in the total compensation</w:t>
            </w:r>
          </w:p>
        </w:tc>
        <w:tc>
          <w:tcPr>
            <w:tcW w:w="820" w:type="dxa"/>
            <w:vAlign w:val="bottom"/>
            <w:tcBorders>
              <w:bottom w:val="single" w:sz="8" w:color="CCEEFF"/>
            </w:tcBorders>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6"/>
              </w:rPr>
              <w:t>$-</w:t>
            </w:r>
          </w:p>
        </w:tc>
        <w:tc>
          <w:tcPr>
            <w:tcW w:w="2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gridSpan w:val="2"/>
            <w:shd w:val="clear" w:color="auto" w:fill="CCEEFF"/>
          </w:tcPr>
          <w:p>
            <w:pPr>
              <w:jc w:val="center"/>
              <w:ind w:left="128"/>
              <w:spacing w:after="0"/>
              <w:rPr>
                <w:sz w:val="20"/>
                <w:szCs w:val="20"/>
                <w:color w:val="auto"/>
              </w:rPr>
            </w:pPr>
            <w:r>
              <w:rPr>
                <w:rFonts w:ascii="Arial" w:cs="Arial" w:eastAsia="Arial" w:hAnsi="Arial"/>
                <w:sz w:val="14"/>
                <w:szCs w:val="14"/>
                <w:color w:val="auto"/>
                <w:w w:val="96"/>
              </w:rPr>
              <w:t>$-</w:t>
            </w:r>
          </w:p>
        </w:tc>
        <w:tc>
          <w:tcPr>
            <w:tcW w:w="2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gridSpan w:val="2"/>
            <w:shd w:val="clear" w:color="auto" w:fill="CCEEFF"/>
          </w:tcPr>
          <w:p>
            <w:pPr>
              <w:jc w:val="center"/>
              <w:ind w:left="88"/>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gridSpan w:val="2"/>
            <w:shd w:val="clear" w:color="auto" w:fill="CCEEFF"/>
          </w:tcPr>
          <w:p>
            <w:pPr>
              <w:jc w:val="center"/>
              <w:ind w:left="10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gridSpan w:val="2"/>
            <w:shd w:val="clear" w:color="auto" w:fill="CCEEFF"/>
          </w:tcPr>
          <w:p>
            <w:pPr>
              <w:jc w:val="center"/>
              <w:ind w:left="128"/>
              <w:spacing w:after="0"/>
              <w:rPr>
                <w:sz w:val="20"/>
                <w:szCs w:val="20"/>
                <w:color w:val="auto"/>
              </w:rPr>
            </w:pPr>
            <w:r>
              <w:rPr>
                <w:rFonts w:ascii="Arial" w:cs="Arial" w:eastAsia="Arial" w:hAnsi="Arial"/>
                <w:sz w:val="14"/>
                <w:szCs w:val="14"/>
                <w:color w:val="auto"/>
                <w:w w:val="96"/>
              </w:rPr>
              <w:t>$-</w:t>
            </w:r>
          </w:p>
        </w:tc>
        <w:tc>
          <w:tcPr>
            <w:tcW w:w="160" w:type="dxa"/>
            <w:vAlign w:val="bottom"/>
            <w:tcBorders>
              <w:bottom w:val="single" w:sz="8" w:color="CCEEFF"/>
            </w:tcBorders>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5620" w:type="dxa"/>
            <w:vAlign w:val="bottom"/>
            <w:gridSpan w:val="2"/>
          </w:tcPr>
          <w:p>
            <w:pPr>
              <w:spacing w:after="0"/>
              <w:rPr>
                <w:sz w:val="20"/>
                <w:szCs w:val="20"/>
                <w:color w:val="auto"/>
              </w:rPr>
            </w:pPr>
            <w:r>
              <w:rPr>
                <w:rFonts w:ascii="Arial" w:cs="Arial" w:eastAsia="Arial" w:hAnsi="Arial"/>
                <w:sz w:val="14"/>
                <w:szCs w:val="14"/>
                <w:b w:val="1"/>
                <w:bCs w:val="1"/>
                <w:color w:val="auto"/>
              </w:rPr>
              <w:t>Total Adjustments for Equity Awards</w:t>
            </w:r>
          </w:p>
        </w:tc>
        <w:tc>
          <w:tcPr>
            <w:tcW w:w="110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rPr>
              <w:t>$(2,573,832)</w:t>
            </w:r>
          </w:p>
        </w:tc>
        <w:tc>
          <w:tcPr>
            <w:tcW w:w="1120" w:type="dxa"/>
            <w:vAlign w:val="bottom"/>
            <w:gridSpan w:val="3"/>
          </w:tcPr>
          <w:p>
            <w:pPr>
              <w:jc w:val="center"/>
              <w:spacing w:after="0"/>
              <w:rPr>
                <w:sz w:val="20"/>
                <w:szCs w:val="20"/>
                <w:color w:val="auto"/>
              </w:rPr>
            </w:pPr>
            <w:r>
              <w:rPr>
                <w:rFonts w:ascii="Arial" w:cs="Arial" w:eastAsia="Arial" w:hAnsi="Arial"/>
                <w:sz w:val="14"/>
                <w:szCs w:val="14"/>
                <w:b w:val="1"/>
                <w:bCs w:val="1"/>
                <w:color w:val="auto"/>
              </w:rPr>
              <w:t>$(2,025,273)</w:t>
            </w:r>
          </w:p>
        </w:tc>
        <w:tc>
          <w:tcPr>
            <w:tcW w:w="1140" w:type="dxa"/>
            <w:vAlign w:val="bottom"/>
            <w:gridSpan w:val="3"/>
          </w:tcPr>
          <w:p>
            <w:pPr>
              <w:jc w:val="center"/>
              <w:spacing w:after="0"/>
              <w:rPr>
                <w:sz w:val="20"/>
                <w:szCs w:val="20"/>
                <w:color w:val="auto"/>
              </w:rPr>
            </w:pPr>
            <w:r>
              <w:rPr>
                <w:rFonts w:ascii="Arial" w:cs="Arial" w:eastAsia="Arial" w:hAnsi="Arial"/>
                <w:sz w:val="14"/>
                <w:szCs w:val="14"/>
                <w:b w:val="1"/>
                <w:bCs w:val="1"/>
                <w:color w:val="auto"/>
              </w:rPr>
              <w:t>$(9,798,431)</w:t>
            </w:r>
          </w:p>
        </w:tc>
        <w:tc>
          <w:tcPr>
            <w:tcW w:w="114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rPr>
              <w:t>$10,001,192</w:t>
            </w:r>
          </w:p>
        </w:tc>
        <w:tc>
          <w:tcPr>
            <w:tcW w:w="1080" w:type="dxa"/>
            <w:vAlign w:val="bottom"/>
            <w:gridSpan w:val="3"/>
          </w:tcPr>
          <w:p>
            <w:pPr>
              <w:jc w:val="center"/>
              <w:spacing w:after="0"/>
              <w:rPr>
                <w:sz w:val="20"/>
                <w:szCs w:val="20"/>
                <w:color w:val="auto"/>
              </w:rPr>
            </w:pPr>
            <w:r>
              <w:rPr>
                <w:rFonts w:ascii="Arial" w:cs="Arial" w:eastAsia="Arial" w:hAnsi="Arial"/>
                <w:sz w:val="14"/>
                <w:szCs w:val="14"/>
                <w:b w:val="1"/>
                <w:bCs w:val="1"/>
                <w:color w:val="auto"/>
              </w:rPr>
              <w:t>$3,257,185</w:t>
            </w:r>
          </w:p>
        </w:tc>
      </w:tr>
      <w:tr>
        <w:trPr>
          <w:trHeight w:val="183"/>
        </w:trPr>
        <w:tc>
          <w:tcPr>
            <w:tcW w:w="20" w:type="dxa"/>
            <w:vAlign w:val="bottom"/>
            <w:shd w:val="clear" w:color="auto" w:fill="CCEEFF"/>
          </w:tcPr>
          <w:p>
            <w:pPr>
              <w:spacing w:after="0"/>
              <w:rPr>
                <w:sz w:val="15"/>
                <w:szCs w:val="15"/>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Compensation Actually Paid (as calculated)</w:t>
            </w:r>
          </w:p>
        </w:tc>
        <w:tc>
          <w:tcPr>
            <w:tcW w:w="1100" w:type="dxa"/>
            <w:vAlign w:val="bottom"/>
            <w:gridSpan w:val="3"/>
            <w:shd w:val="clear" w:color="auto" w:fill="CCEEFF"/>
          </w:tcPr>
          <w:p>
            <w:pPr>
              <w:jc w:val="center"/>
              <w:ind w:right="60"/>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370,539</w:t>
            </w:r>
          </w:p>
        </w:tc>
        <w:tc>
          <w:tcPr>
            <w:tcW w:w="1120" w:type="dxa"/>
            <w:vAlign w:val="bottom"/>
            <w:gridSpan w:val="3"/>
            <w:shd w:val="clear" w:color="auto" w:fill="CCEEFF"/>
          </w:tcPr>
          <w:p>
            <w:pPr>
              <w:jc w:val="cente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4,169,842</w:t>
            </w:r>
          </w:p>
        </w:tc>
        <w:tc>
          <w:tcPr>
            <w:tcW w:w="1140" w:type="dxa"/>
            <w:vAlign w:val="bottom"/>
            <w:gridSpan w:val="3"/>
            <w:shd w:val="clear" w:color="auto" w:fill="CCEEFF"/>
          </w:tcPr>
          <w:p>
            <w:pPr>
              <w:jc w:val="cente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(5,794,986)</w:t>
            </w:r>
          </w:p>
        </w:tc>
        <w:tc>
          <w:tcPr>
            <w:tcW w:w="1140" w:type="dxa"/>
            <w:vAlign w:val="bottom"/>
            <w:gridSpan w:val="3"/>
            <w:shd w:val="clear" w:color="auto" w:fill="CCEEFF"/>
          </w:tcPr>
          <w:p>
            <w:pPr>
              <w:jc w:val="center"/>
              <w:ind w:right="20"/>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13,395,666</w:t>
            </w:r>
          </w:p>
        </w:tc>
        <w:tc>
          <w:tcPr>
            <w:tcW w:w="1080" w:type="dxa"/>
            <w:vAlign w:val="bottom"/>
            <w:gridSpan w:val="3"/>
            <w:shd w:val="clear" w:color="auto" w:fill="CCEEFF"/>
          </w:tcPr>
          <w:p>
            <w:pPr>
              <w:jc w:val="cente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5,675,640</w:t>
            </w: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2980" w:type="dxa"/>
            <w:vAlign w:val="bottom"/>
            <w:tcBorders>
              <w:top w:val="single" w:sz="8" w:color="auto"/>
            </w:tcBorders>
            <w:shd w:val="clear" w:color="auto" w:fill="CCEEFF"/>
          </w:tcPr>
          <w:p>
            <w:pPr>
              <w:spacing w:after="0"/>
              <w:rPr>
                <w:sz w:val="2"/>
                <w:szCs w:val="2"/>
                <w:color w:val="auto"/>
              </w:rPr>
            </w:pPr>
          </w:p>
        </w:tc>
        <w:tc>
          <w:tcPr>
            <w:tcW w:w="26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auto"/>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auto"/>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auto"/>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auto"/>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auto"/>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r>
    </w:tbl>
    <w:p>
      <w:pPr>
        <w:spacing w:after="0" w:line="193" w:lineRule="exact"/>
        <w:rPr>
          <w:sz w:val="20"/>
          <w:szCs w:val="20"/>
          <w:color w:val="auto"/>
        </w:rPr>
      </w:pPr>
    </w:p>
    <w:p>
      <w:pPr>
        <w:ind w:left="340" w:hanging="332"/>
        <w:spacing w:after="0"/>
        <w:tabs>
          <w:tab w:leader="none" w:pos="3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Stan Pavlovsky became CEO of the Company on April 1, 2020 and served until May 3, 2022.</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Non-CEO NEOs reflect the average summary Compensation Table total compensation and average Compensation Actuary Paid for the following executives by years:</w:t>
      </w:r>
    </w:p>
    <w:p>
      <w:pPr>
        <w:spacing w:after="0" w:line="55" w:lineRule="exact"/>
        <w:rPr>
          <w:rFonts w:ascii="Arial" w:cs="Arial" w:eastAsia="Arial" w:hAnsi="Arial"/>
          <w:sz w:val="14"/>
          <w:szCs w:val="14"/>
          <w:color w:val="auto"/>
        </w:rPr>
      </w:pPr>
    </w:p>
    <w:p>
      <w:pPr>
        <w:ind w:left="660" w:hanging="328"/>
        <w:spacing w:after="0"/>
        <w:tabs>
          <w:tab w:leader="none" w:pos="660" w:val="left"/>
        </w:tabs>
        <w:numPr>
          <w:ilvl w:val="1"/>
          <w:numId w:val="44"/>
        </w:numPr>
        <w:rPr>
          <w:rFonts w:ascii="Arial" w:cs="Arial" w:eastAsia="Arial" w:hAnsi="Arial"/>
          <w:sz w:val="14"/>
          <w:szCs w:val="14"/>
          <w:color w:val="auto"/>
        </w:rPr>
      </w:pPr>
      <w:r>
        <w:rPr>
          <w:rFonts w:ascii="Arial" w:cs="Arial" w:eastAsia="Arial" w:hAnsi="Arial"/>
          <w:sz w:val="14"/>
          <w:szCs w:val="14"/>
          <w:color w:val="auto"/>
        </w:rPr>
        <w:t>2024: Jonathan Oringer, Jarrod Yahes, John Caine and Rik Powell</w:t>
      </w:r>
    </w:p>
    <w:p>
      <w:pPr>
        <w:spacing w:after="0" w:line="1" w:lineRule="exact"/>
        <w:rPr>
          <w:rFonts w:ascii="Arial" w:cs="Arial" w:eastAsia="Arial" w:hAnsi="Arial"/>
          <w:sz w:val="14"/>
          <w:szCs w:val="14"/>
          <w:color w:val="auto"/>
        </w:rPr>
      </w:pPr>
    </w:p>
    <w:p>
      <w:pPr>
        <w:ind w:left="660" w:hanging="328"/>
        <w:spacing w:after="0" w:line="221" w:lineRule="auto"/>
        <w:tabs>
          <w:tab w:leader="none" w:pos="660" w:val="left"/>
        </w:tabs>
        <w:numPr>
          <w:ilvl w:val="1"/>
          <w:numId w:val="44"/>
        </w:numPr>
        <w:rPr>
          <w:rFonts w:ascii="Arial" w:cs="Arial" w:eastAsia="Arial" w:hAnsi="Arial"/>
          <w:sz w:val="14"/>
          <w:szCs w:val="14"/>
          <w:color w:val="auto"/>
        </w:rPr>
      </w:pPr>
      <w:r>
        <w:rPr>
          <w:rFonts w:ascii="Arial" w:cs="Arial" w:eastAsia="Arial" w:hAnsi="Arial"/>
          <w:sz w:val="14"/>
          <w:szCs w:val="14"/>
          <w:color w:val="auto"/>
        </w:rPr>
        <w:t>2023: Jonathan Oringer, Jarrod Yahes and John Caine</w:t>
      </w:r>
    </w:p>
    <w:p>
      <w:pPr>
        <w:ind w:left="660" w:hanging="328"/>
        <w:spacing w:after="0" w:line="201" w:lineRule="auto"/>
        <w:tabs>
          <w:tab w:leader="none" w:pos="660" w:val="left"/>
        </w:tabs>
        <w:numPr>
          <w:ilvl w:val="1"/>
          <w:numId w:val="44"/>
        </w:numPr>
        <w:rPr>
          <w:rFonts w:ascii="Arial" w:cs="Arial" w:eastAsia="Arial" w:hAnsi="Arial"/>
          <w:sz w:val="14"/>
          <w:szCs w:val="14"/>
          <w:color w:val="auto"/>
        </w:rPr>
      </w:pPr>
      <w:r>
        <w:rPr>
          <w:rFonts w:ascii="Arial" w:cs="Arial" w:eastAsia="Arial" w:hAnsi="Arial"/>
          <w:sz w:val="14"/>
          <w:szCs w:val="14"/>
          <w:color w:val="auto"/>
        </w:rPr>
        <w:t>2022: Jonathan Oringer, Jarrod Yahes and Peter Silvio</w:t>
      </w:r>
    </w:p>
    <w:p>
      <w:pPr>
        <w:ind w:left="660" w:hanging="328"/>
        <w:spacing w:after="0" w:line="221" w:lineRule="auto"/>
        <w:tabs>
          <w:tab w:leader="none" w:pos="660" w:val="left"/>
        </w:tabs>
        <w:numPr>
          <w:ilvl w:val="1"/>
          <w:numId w:val="44"/>
        </w:numPr>
        <w:rPr>
          <w:rFonts w:ascii="Arial" w:cs="Arial" w:eastAsia="Arial" w:hAnsi="Arial"/>
          <w:sz w:val="14"/>
          <w:szCs w:val="14"/>
          <w:color w:val="auto"/>
        </w:rPr>
      </w:pPr>
      <w:r>
        <w:rPr>
          <w:rFonts w:ascii="Arial" w:cs="Arial" w:eastAsia="Arial" w:hAnsi="Arial"/>
          <w:sz w:val="14"/>
          <w:szCs w:val="14"/>
          <w:color w:val="auto"/>
        </w:rPr>
        <w:t>2021: Jonathan Oringer, Jarrod Yahes and Peter Silvio</w:t>
      </w:r>
    </w:p>
    <w:p>
      <w:pPr>
        <w:ind w:left="660" w:hanging="328"/>
        <w:spacing w:after="0"/>
        <w:tabs>
          <w:tab w:leader="none" w:pos="660" w:val="left"/>
        </w:tabs>
        <w:numPr>
          <w:ilvl w:val="1"/>
          <w:numId w:val="44"/>
        </w:numPr>
        <w:rPr>
          <w:rFonts w:ascii="Arial" w:cs="Arial" w:eastAsia="Arial" w:hAnsi="Arial"/>
          <w:sz w:val="14"/>
          <w:szCs w:val="14"/>
          <w:color w:val="auto"/>
        </w:rPr>
      </w:pPr>
      <w:r>
        <w:rPr>
          <w:rFonts w:ascii="Arial" w:cs="Arial" w:eastAsia="Arial" w:hAnsi="Arial"/>
          <w:sz w:val="14"/>
          <w:szCs w:val="14"/>
          <w:color w:val="auto"/>
        </w:rPr>
        <w:t>2020: Jonathan Oringer, Jarrod Yahes, Peter Silvio, Steve Ciardiello and Abraham Muchnick</w:t>
      </w:r>
    </w:p>
    <w:p>
      <w:pPr>
        <w:spacing w:after="0" w:line="89" w:lineRule="exact"/>
        <w:rPr>
          <w:sz w:val="20"/>
          <w:szCs w:val="20"/>
          <w:color w:val="auto"/>
        </w:rPr>
      </w:pPr>
    </w:p>
    <w:p>
      <w:pPr>
        <w:spacing w:after="0"/>
        <w:rPr>
          <w:sz w:val="20"/>
          <w:szCs w:val="20"/>
          <w:color w:val="auto"/>
        </w:rPr>
      </w:pPr>
      <w:r>
        <w:rPr>
          <w:rFonts w:ascii="Arial" w:cs="Arial" w:eastAsia="Arial" w:hAnsi="Arial"/>
          <w:sz w:val="22"/>
          <w:szCs w:val="22"/>
          <w:b w:val="1"/>
          <w:bCs w:val="1"/>
          <w:color w:val="EF3A35"/>
        </w:rPr>
        <w:t>Relationship Between “Compensation Actually Paid” and Performance</w:t>
      </w:r>
    </w:p>
    <w:p>
      <w:pPr>
        <w:spacing w:after="0" w:line="10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charts address the relationship between compensation “actually paid” as disclosed in the Pay vs. Performance Table and:</w:t>
      </w:r>
    </w:p>
    <w:p>
      <w:pPr>
        <w:spacing w:after="0" w:line="171" w:lineRule="exact"/>
        <w:rPr>
          <w:sz w:val="20"/>
          <w:szCs w:val="20"/>
          <w:color w:val="auto"/>
        </w:rPr>
      </w:pPr>
    </w:p>
    <w:p>
      <w:pPr>
        <w:ind w:left="680" w:hanging="294"/>
        <w:spacing w:after="0"/>
        <w:tabs>
          <w:tab w:leader="none" w:pos="6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Company’s cumulative and peer group TSR;</w:t>
      </w:r>
    </w:p>
    <w:p>
      <w:pPr>
        <w:spacing w:after="0" w:line="63" w:lineRule="exact"/>
        <w:rPr>
          <w:rFonts w:ascii="Arial" w:cs="Arial" w:eastAsia="Arial" w:hAnsi="Arial"/>
          <w:sz w:val="18"/>
          <w:szCs w:val="18"/>
          <w:color w:val="auto"/>
        </w:rPr>
      </w:pPr>
    </w:p>
    <w:p>
      <w:pPr>
        <w:ind w:left="680" w:hanging="294"/>
        <w:spacing w:after="0"/>
        <w:tabs>
          <w:tab w:leader="none" w:pos="6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Company’s net income; and</w:t>
      </w:r>
    </w:p>
    <w:p>
      <w:pPr>
        <w:spacing w:after="0" w:line="63" w:lineRule="exact"/>
        <w:rPr>
          <w:rFonts w:ascii="Arial" w:cs="Arial" w:eastAsia="Arial" w:hAnsi="Arial"/>
          <w:sz w:val="18"/>
          <w:szCs w:val="18"/>
          <w:color w:val="auto"/>
        </w:rPr>
      </w:pPr>
    </w:p>
    <w:p>
      <w:pPr>
        <w:ind w:left="680" w:hanging="294"/>
        <w:spacing w:after="0"/>
        <w:tabs>
          <w:tab w:leader="none" w:pos="6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Company’s Adjusted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154940</wp:posOffset>
            </wp:positionV>
            <wp:extent cx="5349240" cy="31203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349240" cy="3120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ectPr>
          <w:pgSz w:w="11900" w:h="16838" w:orient="portrait"/>
          <w:cols w:equalWidth="0" w:num="1">
            <w:col w:w="11220"/>
          </w:cols>
          <w:pgMar w:left="320" w:top="92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220"/>
          </w:cols>
          <w:pgMar w:left="320" w:top="927" w:right="359" w:bottom="1440" w:gutter="0" w:footer="0" w:header="0"/>
          <w:type w:val="continuous"/>
        </w:sectPr>
      </w:pPr>
    </w:p>
    <w:bookmarkStart w:id="44" w:name="page45"/>
    <w:bookmarkEnd w:id="4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568960</wp:posOffset>
            </wp:positionV>
            <wp:extent cx="5349240" cy="29578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clrChange>
                        <a:clrFrom>
                          <a:srgbClr val="FFFFFF"/>
                        </a:clrFrom>
                        <a:clrTo>
                          <a:srgbClr val="FFFFFF">
                            <a:alpha val="0"/>
                          </a:srgbClr>
                        </a:clrTo>
                      </a:clrChange>
                      <a:extLst>
                        <a:ext uri="{28A0092B-C50C-407E-A947-70E740481C1C}"/>
                      </a:extLst>
                    </a:blip>
                    <a:srcRect/>
                    <a:stretch>
                      <a:fillRect/>
                    </a:stretch>
                  </pic:blipFill>
                  <pic:spPr bwMode="auto">
                    <a:xfrm>
                      <a:off x="0" y="0"/>
                      <a:ext cx="5349240" cy="2957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308610</wp:posOffset>
            </wp:positionV>
            <wp:extent cx="5349240" cy="29571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349240" cy="2957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Arial" w:cs="Arial" w:eastAsia="Arial" w:hAnsi="Arial"/>
          <w:sz w:val="21"/>
          <w:szCs w:val="21"/>
          <w:b w:val="1"/>
          <w:bCs w:val="1"/>
          <w:color w:val="EF3A35"/>
        </w:rPr>
        <w:t>Tabular List of Most Important Financial Performance Measures</w:t>
      </w:r>
    </w:p>
    <w:p>
      <w:pPr>
        <w:spacing w:after="0" w:line="132" w:lineRule="exact"/>
        <w:rPr>
          <w:sz w:val="20"/>
          <w:szCs w:val="20"/>
          <w:color w:val="auto"/>
        </w:rPr>
      </w:pPr>
    </w:p>
    <w:p>
      <w:pPr>
        <w:ind w:firstLine="324"/>
        <w:spacing w:after="0" w:line="287" w:lineRule="auto"/>
        <w:rPr>
          <w:sz w:val="20"/>
          <w:szCs w:val="20"/>
          <w:color w:val="auto"/>
        </w:rPr>
      </w:pPr>
      <w:r>
        <w:rPr>
          <w:rFonts w:ascii="Arial" w:cs="Arial" w:eastAsia="Arial" w:hAnsi="Arial"/>
          <w:sz w:val="18"/>
          <w:szCs w:val="18"/>
          <w:color w:val="auto"/>
        </w:rPr>
        <w:t>The following is a list of the financial performance measures that we believe are the most important financial performance measures used to link NEO compensation to company performance:</w:t>
      </w:r>
    </w:p>
    <w:p>
      <w:pPr>
        <w:spacing w:after="0" w:line="99" w:lineRule="exact"/>
        <w:rPr>
          <w:sz w:val="20"/>
          <w:szCs w:val="20"/>
          <w:color w:val="auto"/>
        </w:rPr>
      </w:pPr>
    </w:p>
    <w:p>
      <w:pPr>
        <w:ind w:left="680" w:hanging="294"/>
        <w:spacing w:after="0"/>
        <w:tabs>
          <w:tab w:leader="none" w:pos="6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Adjusted EBITDA,</w:t>
      </w:r>
    </w:p>
    <w:p>
      <w:pPr>
        <w:spacing w:after="0" w:line="63" w:lineRule="exact"/>
        <w:rPr>
          <w:rFonts w:ascii="Arial" w:cs="Arial" w:eastAsia="Arial" w:hAnsi="Arial"/>
          <w:sz w:val="18"/>
          <w:szCs w:val="18"/>
          <w:color w:val="auto"/>
        </w:rPr>
      </w:pPr>
    </w:p>
    <w:p>
      <w:pPr>
        <w:ind w:left="680" w:hanging="294"/>
        <w:spacing w:after="0"/>
        <w:tabs>
          <w:tab w:leader="none" w:pos="6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Adjusted EBITDA Margin,</w:t>
      </w:r>
    </w:p>
    <w:p>
      <w:pPr>
        <w:spacing w:after="0" w:line="63" w:lineRule="exact"/>
        <w:rPr>
          <w:rFonts w:ascii="Arial" w:cs="Arial" w:eastAsia="Arial" w:hAnsi="Arial"/>
          <w:sz w:val="18"/>
          <w:szCs w:val="18"/>
          <w:color w:val="auto"/>
        </w:rPr>
      </w:pPr>
    </w:p>
    <w:p>
      <w:pPr>
        <w:ind w:left="680" w:hanging="294"/>
        <w:spacing w:after="0"/>
        <w:tabs>
          <w:tab w:leader="none" w:pos="6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Revenue, and</w:t>
      </w:r>
    </w:p>
    <w:p>
      <w:pPr>
        <w:spacing w:after="0" w:line="63" w:lineRule="exact"/>
        <w:rPr>
          <w:rFonts w:ascii="Arial" w:cs="Arial" w:eastAsia="Arial" w:hAnsi="Arial"/>
          <w:sz w:val="18"/>
          <w:szCs w:val="18"/>
          <w:color w:val="auto"/>
        </w:rPr>
      </w:pPr>
    </w:p>
    <w:p>
      <w:pPr>
        <w:ind w:left="680" w:hanging="294"/>
        <w:spacing w:after="0"/>
        <w:tabs>
          <w:tab w:leader="none" w:pos="6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Revenue growth.</w:t>
      </w:r>
    </w:p>
    <w:p>
      <w:pPr>
        <w:sectPr>
          <w:pgSz w:w="11900" w:h="16838" w:orient="portrait"/>
          <w:cols w:equalWidth="0" w:num="1">
            <w:col w:w="10820"/>
          </w:cols>
          <w:pgMar w:left="320" w:top="1440" w:right="7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0820"/>
          </w:cols>
          <w:pgMar w:left="320" w:top="1440" w:right="759" w:bottom="1440" w:gutter="0" w:footer="0" w:header="0"/>
          <w:type w:val="continuous"/>
        </w:sectPr>
      </w:pPr>
    </w:p>
    <w:bookmarkStart w:id="45" w:name="page46"/>
    <w:bookmarkEnd w:id="45"/>
    <w:p>
      <w:pPr>
        <w:ind w:firstLine="324"/>
        <w:spacing w:after="0" w:line="262" w:lineRule="auto"/>
        <w:rPr>
          <w:sz w:val="20"/>
          <w:szCs w:val="20"/>
          <w:color w:val="auto"/>
        </w:rPr>
      </w:pPr>
      <w:r>
        <w:rPr>
          <w:rFonts w:ascii="Arial" w:cs="Arial" w:eastAsia="Arial" w:hAnsi="Arial"/>
          <w:sz w:val="18"/>
          <w:szCs w:val="18"/>
          <w:color w:val="auto"/>
        </w:rPr>
        <w:t>For more information, see “Executive Compensation – Compensation Discussion &amp; Analysis” in this Proxy Statement. Although we do not in practice use any performance measures to link compensation “actually paid” (as calculated herein) to Company performance, we are providing this list in accordance with Item 402(v) of Regulation S-K to provide information on performance measures used by the Compensation Committee to determine NEO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060"/>
          </w:cols>
          <w:pgMar w:left="320" w:top="877" w:right="519" w:bottom="1440" w:gutter="0" w:footer="0" w:header="0"/>
        </w:sectPr>
      </w:pPr>
    </w:p>
    <w:bookmarkStart w:id="46" w:name="page47"/>
    <w:bookmarkEnd w:id="46"/>
    <w:p>
      <w:pPr>
        <w:jc w:val="center"/>
        <w:ind w:right="-99"/>
        <w:spacing w:after="0"/>
        <w:rPr>
          <w:sz w:val="20"/>
          <w:szCs w:val="20"/>
          <w:color w:val="auto"/>
        </w:rPr>
      </w:pPr>
      <w:r>
        <w:rPr>
          <w:rFonts w:ascii="Arial" w:cs="Arial" w:eastAsia="Arial" w:hAnsi="Arial"/>
          <w:sz w:val="25"/>
          <w:szCs w:val="25"/>
          <w:b w:val="1"/>
          <w:bCs w:val="1"/>
          <w:color w:val="EF3A35"/>
        </w:rPr>
        <w:t>PROPOSAL THREE:</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25"/>
          <w:szCs w:val="25"/>
          <w:b w:val="1"/>
          <w:bCs w:val="1"/>
          <w:color w:val="EF3A35"/>
        </w:rPr>
        <w:t>RATIFICATION OF THE APPOINTMENT OF OUR INDEPENDENT</w:t>
      </w:r>
    </w:p>
    <w:p>
      <w:pPr>
        <w:spacing w:after="0" w:line="131" w:lineRule="exact"/>
        <w:rPr>
          <w:sz w:val="20"/>
          <w:szCs w:val="20"/>
          <w:color w:val="auto"/>
        </w:rPr>
      </w:pPr>
    </w:p>
    <w:p>
      <w:pPr>
        <w:jc w:val="center"/>
        <w:ind w:right="-99"/>
        <w:spacing w:after="0"/>
        <w:rPr>
          <w:sz w:val="20"/>
          <w:szCs w:val="20"/>
          <w:color w:val="auto"/>
        </w:rPr>
      </w:pPr>
      <w:r>
        <w:rPr>
          <w:rFonts w:ascii="Arial" w:cs="Arial" w:eastAsia="Arial" w:hAnsi="Arial"/>
          <w:sz w:val="25"/>
          <w:szCs w:val="25"/>
          <w:b w:val="1"/>
          <w:bCs w:val="1"/>
          <w:color w:val="EF3A35"/>
        </w:rPr>
        <w:t>REGISTERED PUBLIC ACCOUNTING FIRM</w:t>
      </w:r>
    </w:p>
    <w:p>
      <w:pPr>
        <w:spacing w:after="0" w:line="127" w:lineRule="exact"/>
        <w:rPr>
          <w:sz w:val="20"/>
          <w:szCs w:val="20"/>
          <w:color w:val="auto"/>
        </w:rPr>
      </w:pPr>
    </w:p>
    <w:p>
      <w:pPr>
        <w:spacing w:after="0"/>
        <w:rPr>
          <w:sz w:val="20"/>
          <w:szCs w:val="20"/>
          <w:color w:val="auto"/>
        </w:rPr>
      </w:pPr>
      <w:r>
        <w:rPr>
          <w:rFonts w:ascii="Arial" w:cs="Arial" w:eastAsia="Arial" w:hAnsi="Arial"/>
          <w:sz w:val="22"/>
          <w:szCs w:val="22"/>
          <w:b w:val="1"/>
          <w:bCs w:val="1"/>
          <w:color w:val="EF3A35"/>
        </w:rPr>
        <w:t>Selection of the Accounting Firm</w:t>
      </w:r>
    </w:p>
    <w:p>
      <w:pPr>
        <w:spacing w:after="0" w:line="108" w:lineRule="exact"/>
        <w:rPr>
          <w:sz w:val="20"/>
          <w:szCs w:val="20"/>
          <w:color w:val="auto"/>
        </w:rPr>
      </w:pPr>
    </w:p>
    <w:p>
      <w:pPr>
        <w:ind w:firstLine="324"/>
        <w:spacing w:after="0" w:line="268" w:lineRule="auto"/>
        <w:rPr>
          <w:sz w:val="20"/>
          <w:szCs w:val="20"/>
          <w:color w:val="auto"/>
        </w:rPr>
      </w:pPr>
      <w:r>
        <w:rPr>
          <w:rFonts w:ascii="Arial" w:cs="Arial" w:eastAsia="Arial" w:hAnsi="Arial"/>
          <w:sz w:val="18"/>
          <w:szCs w:val="18"/>
          <w:color w:val="auto"/>
        </w:rPr>
        <w:t>The Audit Committee has appointed PricewaterhouseCoopers LLP (“PricewaterhouseCoopers”) as our independent registered public accounting firm to perform the audit of our financial statements for fiscal 2025, and we are asking our stockholders to ratify this appointment. PricewaterhouseCoopers has been our independent registered public accounting firm since September 2011.</w:t>
      </w:r>
    </w:p>
    <w:p>
      <w:pPr>
        <w:spacing w:after="0" w:line="63" w:lineRule="exact"/>
        <w:rPr>
          <w:sz w:val="20"/>
          <w:szCs w:val="20"/>
          <w:color w:val="auto"/>
        </w:rPr>
      </w:pPr>
    </w:p>
    <w:p>
      <w:pPr>
        <w:ind w:right="20" w:firstLine="324"/>
        <w:spacing w:after="0" w:line="262" w:lineRule="auto"/>
        <w:rPr>
          <w:sz w:val="20"/>
          <w:szCs w:val="20"/>
          <w:color w:val="auto"/>
        </w:rPr>
      </w:pPr>
      <w:r>
        <w:rPr>
          <w:rFonts w:ascii="Arial" w:cs="Arial" w:eastAsia="Arial" w:hAnsi="Arial"/>
          <w:sz w:val="18"/>
          <w:szCs w:val="18"/>
          <w:color w:val="auto"/>
        </w:rPr>
        <w:t>The Audit Committee annually reviews the independent registered public accounting firm’s independence, including reviewing all relationships between the independent registered public accounting firm and us and any disclosed relationships or services that may impact the objectivity and independence of the independent registered public accounting firm, and the independent registered public accounting firm’s performance. The Audit Committee also reviews the performance of the independent registered public accounting firm annually.</w:t>
      </w:r>
    </w:p>
    <w:p>
      <w:pPr>
        <w:spacing w:after="0" w:line="68" w:lineRule="exact"/>
        <w:rPr>
          <w:sz w:val="20"/>
          <w:szCs w:val="20"/>
          <w:color w:val="auto"/>
        </w:rPr>
      </w:pPr>
    </w:p>
    <w:p>
      <w:pPr>
        <w:ind w:right="300" w:firstLine="324"/>
        <w:spacing w:after="0" w:line="262" w:lineRule="auto"/>
        <w:rPr>
          <w:sz w:val="20"/>
          <w:szCs w:val="20"/>
          <w:color w:val="auto"/>
        </w:rPr>
      </w:pPr>
      <w:r>
        <w:rPr>
          <w:rFonts w:ascii="Arial" w:cs="Arial" w:eastAsia="Arial" w:hAnsi="Arial"/>
          <w:sz w:val="18"/>
          <w:szCs w:val="18"/>
          <w:color w:val="auto"/>
        </w:rPr>
        <w:t>As a matter of good corporate governance, the Board, upon recommendation of the Audit Committee, has determined to submit to stockholders for ratification the appointment of PricewaterhouseCoopers. In the event that a majority of the shares of Common Stock represented by proxy or by attending the 2025 Annual Meeting and entitled to vote on Proposal Three does not ratify this appointment of PricewaterhouseCoopers, the Audit Committee may reconsider the appointment of PricewaterhouseCoopers.</w:t>
      </w:r>
    </w:p>
    <w:p>
      <w:pPr>
        <w:spacing w:after="0" w:line="68" w:lineRule="exact"/>
        <w:rPr>
          <w:sz w:val="20"/>
          <w:szCs w:val="20"/>
          <w:color w:val="auto"/>
        </w:rPr>
      </w:pPr>
    </w:p>
    <w:p>
      <w:pPr>
        <w:ind w:right="60" w:firstLine="324"/>
        <w:spacing w:after="0" w:line="287" w:lineRule="auto"/>
        <w:rPr>
          <w:sz w:val="20"/>
          <w:szCs w:val="20"/>
          <w:color w:val="auto"/>
        </w:rPr>
      </w:pPr>
      <w:r>
        <w:rPr>
          <w:rFonts w:ascii="Arial" w:cs="Arial" w:eastAsia="Arial" w:hAnsi="Arial"/>
          <w:sz w:val="18"/>
          <w:szCs w:val="18"/>
          <w:color w:val="auto"/>
        </w:rPr>
        <w:t>We expect that a representative of PricewaterhouseCoopers will be present at the 2025 Annual Meeting and will have an opportunity to make a statement if he or she desires and will be available to respond to appropriate questions.</w:t>
      </w:r>
    </w:p>
    <w:p>
      <w:pPr>
        <w:spacing w:after="0" w:line="49" w:lineRule="exact"/>
        <w:rPr>
          <w:sz w:val="20"/>
          <w:szCs w:val="20"/>
          <w:color w:val="auto"/>
        </w:rPr>
      </w:pPr>
    </w:p>
    <w:p>
      <w:pPr>
        <w:jc w:val="center"/>
        <w:ind w:left="440" w:right="1200"/>
        <w:spacing w:after="0" w:line="270" w:lineRule="auto"/>
        <w:rPr>
          <w:sz w:val="20"/>
          <w:szCs w:val="20"/>
          <w:color w:val="auto"/>
        </w:rPr>
      </w:pPr>
      <w:r>
        <w:rPr>
          <w:rFonts w:ascii="Arial" w:cs="Arial" w:eastAsia="Arial" w:hAnsi="Arial"/>
          <w:sz w:val="22"/>
          <w:szCs w:val="22"/>
          <w:b w:val="1"/>
          <w:bCs w:val="1"/>
          <w:color w:val="EF3A35"/>
        </w:rPr>
        <w:t>OUR BOARD UNANIMOUSLY RECOMMENDS A VOTE “FOR” THE RATIFICATION OF PRICEWATERHOUSECOOPERS LLP AS OUR INDEPENDENT REGISTERED PUBLIC ACCOUNTING FIRM FOR FISCAL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140"/>
          </w:cols>
          <w:pgMar w:left="320" w:top="871" w:right="439" w:bottom="1440" w:gutter="0" w:footer="0" w:header="0"/>
        </w:sectPr>
      </w:pPr>
    </w:p>
    <w:bookmarkStart w:id="47" w:name="page48"/>
    <w:bookmarkEnd w:id="47"/>
    <w:p>
      <w:pPr>
        <w:ind w:right="820"/>
        <w:spacing w:after="0" w:line="285" w:lineRule="auto"/>
        <w:rPr>
          <w:sz w:val="20"/>
          <w:szCs w:val="20"/>
          <w:color w:val="auto"/>
        </w:rPr>
      </w:pPr>
      <w:r>
        <w:rPr>
          <w:rFonts w:ascii="Arial" w:cs="Arial" w:eastAsia="Arial" w:hAnsi="Arial"/>
          <w:sz w:val="22"/>
          <w:szCs w:val="22"/>
          <w:b w:val="1"/>
          <w:bCs w:val="1"/>
          <w:color w:val="EF3A35"/>
        </w:rPr>
        <w:t>Policy on Audit Committee Pre-Approval of Audit and Permissible Non-Audit Services of Independent Registered Public Accounting Firm</w:t>
      </w:r>
    </w:p>
    <w:p>
      <w:pPr>
        <w:spacing w:after="0" w:line="16"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The Audit Committee has adopted policies and procedures for the pre-approval of audit and non-audit services for the purpose of maintaining the independence of our independent registered public accounting firm. We may not engage our independent registered public accounting firm to render any audit or non-audit service unless either the service is approved in advance by the Audit Committee, or the engagement to render the service is entered into pursuant to the Audit Committee’s pre-approval policies and procedures. Notwithstanding the foregoing, pre-approval is not required with respect to the provision of services, other than audit, review or attest services, by the independent registered public accounting firm if the aggregate amount of all such services is no more than 5% of the total amount paid by us to the independent auditor during the fiscal year in which the services are provided, such services were not recognized by us at the time of the engagement to be non-audit services and such services are promptly brought to the attention of the Audit Committee and approved prior to completion of the audit by the Audit Committee or by the Chairman of the Audit Committee.</w:t>
      </w:r>
    </w:p>
    <w:p>
      <w:pPr>
        <w:spacing w:after="0" w:line="73"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From time to time, our Audit Committee may pre-approve services that are expected to be provided to us by the independent registered public accounting firm during the following 12 months. At the time such pre-approval is granted, the Audit Committee must identify the particular pre-approved services in a sufficient level of detail so that our management will not be called upon to make a judgment as to whether a proposed service fits within the pre-approved services and, at each regularly scheduled meeting of the Audit Committee following such approval, management or the independent registered public accounting firm shall report to the Audit Committee regarding each service actually provided to us pursuant to such pre-approval.</w:t>
      </w:r>
    </w:p>
    <w:p>
      <w:pPr>
        <w:spacing w:after="0" w:line="74" w:lineRule="exact"/>
        <w:rPr>
          <w:sz w:val="20"/>
          <w:szCs w:val="20"/>
          <w:color w:val="auto"/>
        </w:rPr>
      </w:pPr>
    </w:p>
    <w:p>
      <w:pPr>
        <w:jc w:val="both"/>
        <w:ind w:right="180" w:firstLine="324"/>
        <w:spacing w:after="0" w:line="268" w:lineRule="auto"/>
        <w:rPr>
          <w:sz w:val="20"/>
          <w:szCs w:val="20"/>
          <w:color w:val="auto"/>
        </w:rPr>
      </w:pPr>
      <w:r>
        <w:rPr>
          <w:rFonts w:ascii="Arial" w:cs="Arial" w:eastAsia="Arial" w:hAnsi="Arial"/>
          <w:sz w:val="18"/>
          <w:szCs w:val="18"/>
          <w:color w:val="auto"/>
        </w:rPr>
        <w:t>The Audit Committee has delegated to its chairman the authority to grant pre-approvals of audit or non-audit services to be provided by the independent registered public accounting firm. Any approval of services by the chairman of the Audit Committee is reported to the Audit Committee at its next regularly scheduled meeting.</w:t>
      </w:r>
    </w:p>
    <w:p>
      <w:pPr>
        <w:spacing w:after="0" w:line="66" w:lineRule="exact"/>
        <w:rPr>
          <w:sz w:val="20"/>
          <w:szCs w:val="20"/>
          <w:color w:val="auto"/>
        </w:rPr>
      </w:pPr>
    </w:p>
    <w:p>
      <w:pPr>
        <w:spacing w:after="0"/>
        <w:rPr>
          <w:sz w:val="20"/>
          <w:szCs w:val="20"/>
          <w:color w:val="auto"/>
        </w:rPr>
      </w:pPr>
      <w:r>
        <w:rPr>
          <w:rFonts w:ascii="Arial" w:cs="Arial" w:eastAsia="Arial" w:hAnsi="Arial"/>
          <w:sz w:val="22"/>
          <w:szCs w:val="22"/>
          <w:b w:val="1"/>
          <w:bCs w:val="1"/>
          <w:color w:val="EF3A35"/>
        </w:rPr>
        <w:t>Principal Accountant Fees and Services</w:t>
      </w:r>
    </w:p>
    <w:p>
      <w:pPr>
        <w:spacing w:after="0" w:line="121" w:lineRule="exact"/>
        <w:rPr>
          <w:sz w:val="20"/>
          <w:szCs w:val="20"/>
          <w:color w:val="auto"/>
        </w:rPr>
      </w:pPr>
    </w:p>
    <w:p>
      <w:pPr>
        <w:ind w:right="340" w:firstLine="324"/>
        <w:spacing w:after="0" w:line="287" w:lineRule="auto"/>
        <w:rPr>
          <w:sz w:val="20"/>
          <w:szCs w:val="20"/>
          <w:color w:val="auto"/>
        </w:rPr>
      </w:pPr>
      <w:r>
        <w:rPr>
          <w:rFonts w:ascii="Arial" w:cs="Arial" w:eastAsia="Arial" w:hAnsi="Arial"/>
          <w:sz w:val="18"/>
          <w:szCs w:val="18"/>
          <w:color w:val="auto"/>
        </w:rPr>
        <w:t>The following is a summary of the fees billed to us by PricewaterhouseCoopers for professional services rendered for the fiscal years ended December 31, 2024 and December 31, 2023:</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80" w:type="dxa"/>
            <w:vAlign w:val="bottom"/>
          </w:tcPr>
          <w:p>
            <w:pPr>
              <w:spacing w:after="0"/>
              <w:rPr>
                <w:sz w:val="18"/>
                <w:szCs w:val="18"/>
                <w:color w:val="auto"/>
              </w:rPr>
            </w:pPr>
          </w:p>
        </w:tc>
        <w:tc>
          <w:tcPr>
            <w:tcW w:w="4300" w:type="dxa"/>
            <w:vAlign w:val="bottom"/>
          </w:tcPr>
          <w:p>
            <w:pPr>
              <w:ind w:left="2520"/>
              <w:spacing w:after="0"/>
              <w:rPr>
                <w:sz w:val="20"/>
                <w:szCs w:val="20"/>
                <w:color w:val="auto"/>
              </w:rPr>
            </w:pPr>
            <w:r>
              <w:rPr>
                <w:rFonts w:ascii="Arial" w:cs="Arial" w:eastAsia="Arial" w:hAnsi="Arial"/>
                <w:sz w:val="18"/>
                <w:szCs w:val="18"/>
                <w:b w:val="1"/>
                <w:bCs w:val="1"/>
                <w:color w:val="auto"/>
              </w:rPr>
              <w:t>Fiscal</w:t>
            </w:r>
          </w:p>
        </w:tc>
        <w:tc>
          <w:tcPr>
            <w:tcW w:w="3060" w:type="dxa"/>
            <w:vAlign w:val="bottom"/>
          </w:tcPr>
          <w:p>
            <w:pPr>
              <w:ind w:left="1280"/>
              <w:spacing w:after="0"/>
              <w:rPr>
                <w:sz w:val="20"/>
                <w:szCs w:val="20"/>
                <w:color w:val="auto"/>
              </w:rPr>
            </w:pPr>
            <w:r>
              <w:rPr>
                <w:rFonts w:ascii="Arial" w:cs="Arial" w:eastAsia="Arial" w:hAnsi="Arial"/>
                <w:sz w:val="18"/>
                <w:szCs w:val="18"/>
                <w:b w:val="1"/>
                <w:bCs w:val="1"/>
                <w:color w:val="auto"/>
              </w:rPr>
              <w:t>Fiscal</w:t>
            </w:r>
          </w:p>
        </w:tc>
      </w:tr>
      <w:tr>
        <w:trPr>
          <w:trHeight w:val="255"/>
        </w:trPr>
        <w:tc>
          <w:tcPr>
            <w:tcW w:w="38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Fee Category</w:t>
            </w:r>
          </w:p>
        </w:tc>
        <w:tc>
          <w:tcPr>
            <w:tcW w:w="4300" w:type="dxa"/>
            <w:vAlign w:val="bottom"/>
            <w:tcBorders>
              <w:bottom w:val="single" w:sz="8" w:color="auto"/>
            </w:tcBorders>
          </w:tcPr>
          <w:p>
            <w:pPr>
              <w:jc w:val="center"/>
              <w:ind w:left="1170"/>
              <w:spacing w:after="0"/>
              <w:rPr>
                <w:sz w:val="20"/>
                <w:szCs w:val="20"/>
                <w:color w:val="auto"/>
              </w:rPr>
            </w:pPr>
            <w:r>
              <w:rPr>
                <w:rFonts w:ascii="Arial" w:cs="Arial" w:eastAsia="Arial" w:hAnsi="Arial"/>
                <w:sz w:val="18"/>
                <w:szCs w:val="18"/>
                <w:b w:val="1"/>
                <w:bCs w:val="1"/>
                <w:color w:val="auto"/>
                <w:w w:val="99"/>
              </w:rPr>
              <w:t>2024</w:t>
            </w:r>
          </w:p>
        </w:tc>
        <w:tc>
          <w:tcPr>
            <w:tcW w:w="30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2023</w:t>
            </w:r>
          </w:p>
        </w:tc>
      </w:tr>
      <w:tr>
        <w:trPr>
          <w:trHeight w:val="250"/>
        </w:trPr>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Audit Fees</w:t>
            </w:r>
          </w:p>
        </w:tc>
        <w:tc>
          <w:tcPr>
            <w:tcW w:w="4300" w:type="dxa"/>
            <w:vAlign w:val="bottom"/>
            <w:tcBorders>
              <w:bottom w:val="single" w:sz="8" w:color="CCEEFF"/>
            </w:tcBorders>
            <w:shd w:val="clear" w:color="auto" w:fill="CCEEFF"/>
          </w:tcPr>
          <w:p>
            <w:pPr>
              <w:jc w:val="center"/>
              <w:ind w:left="1190"/>
              <w:spacing w:after="0"/>
              <w:rPr>
                <w:sz w:val="20"/>
                <w:szCs w:val="20"/>
                <w:color w:val="auto"/>
              </w:rPr>
            </w:pPr>
            <w:r>
              <w:rPr>
                <w:rFonts w:ascii="Arial" w:cs="Arial" w:eastAsia="Arial" w:hAnsi="Arial"/>
                <w:sz w:val="18"/>
                <w:szCs w:val="18"/>
                <w:color w:val="auto"/>
                <w:w w:val="99"/>
              </w:rPr>
              <w:t>$4,014,500</w:t>
            </w:r>
          </w:p>
        </w:tc>
        <w:tc>
          <w:tcPr>
            <w:tcW w:w="3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$3,171,757</w:t>
            </w:r>
          </w:p>
        </w:tc>
      </w:tr>
      <w:tr>
        <w:trPr>
          <w:trHeight w:val="247"/>
        </w:trPr>
        <w:tc>
          <w:tcPr>
            <w:tcW w:w="3880" w:type="dxa"/>
            <w:vAlign w:val="bottom"/>
          </w:tcPr>
          <w:p>
            <w:pPr>
              <w:ind w:left="20"/>
              <w:spacing w:after="0"/>
              <w:rPr>
                <w:sz w:val="20"/>
                <w:szCs w:val="20"/>
                <w:color w:val="auto"/>
              </w:rPr>
            </w:pPr>
            <w:r>
              <w:rPr>
                <w:rFonts w:ascii="Arial" w:cs="Arial" w:eastAsia="Arial" w:hAnsi="Arial"/>
                <w:sz w:val="18"/>
                <w:szCs w:val="18"/>
                <w:color w:val="auto"/>
              </w:rPr>
              <w:t>Audit-Related Fees</w:t>
            </w:r>
          </w:p>
        </w:tc>
        <w:tc>
          <w:tcPr>
            <w:tcW w:w="4300" w:type="dxa"/>
            <w:vAlign w:val="bottom"/>
          </w:tcPr>
          <w:p>
            <w:pPr>
              <w:jc w:val="center"/>
              <w:ind w:left="1190"/>
              <w:spacing w:after="0"/>
              <w:rPr>
                <w:sz w:val="20"/>
                <w:szCs w:val="20"/>
                <w:color w:val="auto"/>
              </w:rPr>
            </w:pPr>
            <w:r>
              <w:rPr>
                <w:rFonts w:ascii="Arial" w:cs="Arial" w:eastAsia="Arial" w:hAnsi="Arial"/>
                <w:sz w:val="18"/>
                <w:szCs w:val="18"/>
                <w:color w:val="auto"/>
                <w:w w:val="98"/>
              </w:rPr>
              <w:t>$116,000</w:t>
            </w:r>
          </w:p>
        </w:tc>
        <w:tc>
          <w:tcPr>
            <w:tcW w:w="3060" w:type="dxa"/>
            <w:vAlign w:val="bottom"/>
          </w:tcPr>
          <w:p>
            <w:pPr>
              <w:jc w:val="center"/>
              <w:spacing w:after="0"/>
              <w:rPr>
                <w:sz w:val="20"/>
                <w:szCs w:val="20"/>
                <w:color w:val="auto"/>
              </w:rPr>
            </w:pPr>
            <w:r>
              <w:rPr>
                <w:rFonts w:ascii="Arial" w:cs="Arial" w:eastAsia="Arial" w:hAnsi="Arial"/>
                <w:sz w:val="18"/>
                <w:szCs w:val="18"/>
                <w:color w:val="auto"/>
              </w:rPr>
              <w:t>$35,000</w:t>
            </w:r>
          </w:p>
        </w:tc>
      </w:tr>
      <w:tr>
        <w:trPr>
          <w:trHeight w:val="23"/>
        </w:trPr>
        <w:tc>
          <w:tcPr>
            <w:tcW w:w="3880" w:type="dxa"/>
            <w:vAlign w:val="bottom"/>
          </w:tcPr>
          <w:p>
            <w:pPr>
              <w:spacing w:after="0"/>
              <w:rPr>
                <w:sz w:val="2"/>
                <w:szCs w:val="2"/>
                <w:color w:val="auto"/>
              </w:rPr>
            </w:pPr>
          </w:p>
        </w:tc>
        <w:tc>
          <w:tcPr>
            <w:tcW w:w="4300" w:type="dxa"/>
            <w:vAlign w:val="bottom"/>
          </w:tcPr>
          <w:p>
            <w:pPr>
              <w:spacing w:after="0"/>
              <w:rPr>
                <w:sz w:val="2"/>
                <w:szCs w:val="2"/>
                <w:color w:val="auto"/>
              </w:rPr>
            </w:pPr>
          </w:p>
        </w:tc>
        <w:tc>
          <w:tcPr>
            <w:tcW w:w="3060" w:type="dxa"/>
            <w:vAlign w:val="bottom"/>
          </w:tcPr>
          <w:p>
            <w:pPr>
              <w:spacing w:after="0"/>
              <w:rPr>
                <w:sz w:val="2"/>
                <w:szCs w:val="2"/>
                <w:color w:val="auto"/>
              </w:rPr>
            </w:pPr>
          </w:p>
        </w:tc>
      </w:tr>
      <w:tr>
        <w:trPr>
          <w:trHeight w:val="250"/>
        </w:trPr>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Tax Fees</w:t>
            </w:r>
          </w:p>
        </w:tc>
        <w:tc>
          <w:tcPr>
            <w:tcW w:w="4300" w:type="dxa"/>
            <w:vAlign w:val="bottom"/>
            <w:tcBorders>
              <w:bottom w:val="single" w:sz="8" w:color="CCEEFF"/>
            </w:tcBorders>
            <w:shd w:val="clear" w:color="auto" w:fill="CCEEFF"/>
          </w:tcPr>
          <w:p>
            <w:pPr>
              <w:jc w:val="center"/>
              <w:ind w:left="1170"/>
              <w:spacing w:after="0"/>
              <w:rPr>
                <w:sz w:val="20"/>
                <w:szCs w:val="20"/>
                <w:color w:val="auto"/>
              </w:rPr>
            </w:pPr>
            <w:r>
              <w:rPr>
                <w:rFonts w:ascii="Arial" w:cs="Arial" w:eastAsia="Arial" w:hAnsi="Arial"/>
                <w:sz w:val="18"/>
                <w:szCs w:val="18"/>
                <w:color w:val="auto"/>
              </w:rPr>
              <w:t>$431,400</w:t>
            </w:r>
          </w:p>
        </w:tc>
        <w:tc>
          <w:tcPr>
            <w:tcW w:w="3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8"/>
              </w:rPr>
              <w:t>$128,000</w:t>
            </w:r>
          </w:p>
        </w:tc>
      </w:tr>
      <w:tr>
        <w:trPr>
          <w:trHeight w:val="247"/>
        </w:trPr>
        <w:tc>
          <w:tcPr>
            <w:tcW w:w="3880" w:type="dxa"/>
            <w:vAlign w:val="bottom"/>
          </w:tcPr>
          <w:p>
            <w:pPr>
              <w:ind w:left="20"/>
              <w:spacing w:after="0"/>
              <w:rPr>
                <w:sz w:val="20"/>
                <w:szCs w:val="20"/>
                <w:color w:val="auto"/>
              </w:rPr>
            </w:pPr>
            <w:r>
              <w:rPr>
                <w:rFonts w:ascii="Arial" w:cs="Arial" w:eastAsia="Arial" w:hAnsi="Arial"/>
                <w:sz w:val="18"/>
                <w:szCs w:val="18"/>
                <w:color w:val="auto"/>
              </w:rPr>
              <w:t>All Other Fees</w:t>
            </w:r>
          </w:p>
        </w:tc>
        <w:tc>
          <w:tcPr>
            <w:tcW w:w="4300" w:type="dxa"/>
            <w:vAlign w:val="bottom"/>
          </w:tcPr>
          <w:p>
            <w:pPr>
              <w:jc w:val="center"/>
              <w:ind w:left="1170"/>
              <w:spacing w:after="0"/>
              <w:rPr>
                <w:sz w:val="20"/>
                <w:szCs w:val="20"/>
                <w:color w:val="auto"/>
              </w:rPr>
            </w:pPr>
            <w:r>
              <w:rPr>
                <w:rFonts w:ascii="Arial" w:cs="Arial" w:eastAsia="Arial" w:hAnsi="Arial"/>
                <w:sz w:val="18"/>
                <w:szCs w:val="18"/>
                <w:color w:val="auto"/>
              </w:rPr>
              <w:t>$7,000</w:t>
            </w:r>
          </w:p>
        </w:tc>
        <w:tc>
          <w:tcPr>
            <w:tcW w:w="3060" w:type="dxa"/>
            <w:vAlign w:val="bottom"/>
          </w:tcPr>
          <w:p>
            <w:pPr>
              <w:jc w:val="center"/>
              <w:spacing w:after="0"/>
              <w:rPr>
                <w:sz w:val="20"/>
                <w:szCs w:val="20"/>
                <w:color w:val="auto"/>
              </w:rPr>
            </w:pPr>
            <w:r>
              <w:rPr>
                <w:rFonts w:ascii="Arial" w:cs="Arial" w:eastAsia="Arial" w:hAnsi="Arial"/>
                <w:sz w:val="18"/>
                <w:szCs w:val="18"/>
                <w:color w:val="auto"/>
                <w:w w:val="98"/>
              </w:rPr>
              <w:t>$7,000</w:t>
            </w:r>
          </w:p>
        </w:tc>
      </w:tr>
      <w:tr>
        <w:trPr>
          <w:trHeight w:val="23"/>
        </w:trPr>
        <w:tc>
          <w:tcPr>
            <w:tcW w:w="3880" w:type="dxa"/>
            <w:vAlign w:val="bottom"/>
            <w:tcBorders>
              <w:bottom w:val="single" w:sz="8" w:color="auto"/>
            </w:tcBorders>
          </w:tcPr>
          <w:p>
            <w:pPr>
              <w:spacing w:after="0"/>
              <w:rPr>
                <w:sz w:val="2"/>
                <w:szCs w:val="2"/>
                <w:color w:val="auto"/>
              </w:rPr>
            </w:pPr>
          </w:p>
        </w:tc>
        <w:tc>
          <w:tcPr>
            <w:tcW w:w="430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tcPr>
          <w:p>
            <w:pPr>
              <w:spacing w:after="0"/>
              <w:rPr>
                <w:sz w:val="2"/>
                <w:szCs w:val="2"/>
                <w:color w:val="auto"/>
              </w:rPr>
            </w:pPr>
          </w:p>
        </w:tc>
      </w:tr>
      <w:tr>
        <w:trPr>
          <w:trHeight w:val="263"/>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Fees</w:t>
            </w:r>
          </w:p>
        </w:tc>
        <w:tc>
          <w:tcPr>
            <w:tcW w:w="4300" w:type="dxa"/>
            <w:vAlign w:val="bottom"/>
            <w:shd w:val="clear" w:color="auto" w:fill="CCEEFF"/>
          </w:tcPr>
          <w:p>
            <w:pPr>
              <w:jc w:val="center"/>
              <w:ind w:left="1190"/>
              <w:spacing w:after="0"/>
              <w:rPr>
                <w:sz w:val="20"/>
                <w:szCs w:val="20"/>
                <w:color w:val="auto"/>
              </w:rPr>
            </w:pPr>
            <w:r>
              <w:rPr>
                <w:rFonts w:ascii="Arial" w:cs="Arial" w:eastAsia="Arial" w:hAnsi="Arial"/>
                <w:sz w:val="18"/>
                <w:szCs w:val="18"/>
                <w:color w:val="auto"/>
                <w:w w:val="99"/>
              </w:rPr>
              <w:t>$4,568,900</w:t>
            </w:r>
          </w:p>
        </w:tc>
        <w:tc>
          <w:tcPr>
            <w:tcW w:w="3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$3,341,757</w:t>
            </w:r>
          </w:p>
        </w:tc>
      </w:tr>
    </w:tbl>
    <w:p>
      <w:pPr>
        <w:spacing w:after="0" w:line="170" w:lineRule="exact"/>
        <w:rPr>
          <w:sz w:val="20"/>
          <w:szCs w:val="20"/>
          <w:color w:val="auto"/>
        </w:rPr>
      </w:pPr>
    </w:p>
    <w:p>
      <w:pPr>
        <w:ind w:right="60" w:firstLine="324"/>
        <w:spacing w:after="0" w:line="287" w:lineRule="auto"/>
        <w:rPr>
          <w:sz w:val="20"/>
          <w:szCs w:val="20"/>
          <w:color w:val="auto"/>
        </w:rPr>
      </w:pPr>
      <w:r>
        <w:rPr>
          <w:rFonts w:ascii="Arial" w:cs="Arial" w:eastAsia="Arial" w:hAnsi="Arial"/>
          <w:sz w:val="18"/>
          <w:szCs w:val="18"/>
          <w:i w:val="1"/>
          <w:iCs w:val="1"/>
          <w:color w:val="auto"/>
        </w:rPr>
        <w:t xml:space="preserve">Audit Fees. </w:t>
      </w:r>
      <w:r>
        <w:rPr>
          <w:rFonts w:ascii="Arial" w:cs="Arial" w:eastAsia="Arial" w:hAnsi="Arial"/>
          <w:sz w:val="18"/>
          <w:szCs w:val="18"/>
          <w:color w:val="auto"/>
        </w:rPr>
        <w:t>Audit fees consists of fees for professional services rendered for the annual audits of our consolidated and statutory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statements and the review of our interim consolidated financial statements.</w:t>
      </w:r>
    </w:p>
    <w:p>
      <w:pPr>
        <w:spacing w:after="0" w:line="45" w:lineRule="exact"/>
        <w:rPr>
          <w:sz w:val="20"/>
          <w:szCs w:val="20"/>
          <w:color w:val="auto"/>
        </w:rPr>
      </w:pPr>
    </w:p>
    <w:p>
      <w:pPr>
        <w:jc w:val="both"/>
        <w:ind w:right="200" w:firstLine="324"/>
        <w:spacing w:after="0" w:line="268" w:lineRule="auto"/>
        <w:rPr>
          <w:sz w:val="20"/>
          <w:szCs w:val="20"/>
          <w:color w:val="auto"/>
        </w:rPr>
      </w:pPr>
      <w:r>
        <w:rPr>
          <w:rFonts w:ascii="Arial" w:cs="Arial" w:eastAsia="Arial" w:hAnsi="Arial"/>
          <w:sz w:val="18"/>
          <w:szCs w:val="18"/>
          <w:i w:val="1"/>
          <w:iCs w:val="1"/>
          <w:color w:val="auto"/>
        </w:rPr>
        <w:t xml:space="preserve">Audit Related Fees. </w:t>
      </w:r>
      <w:r>
        <w:rPr>
          <w:rFonts w:ascii="Arial" w:cs="Arial" w:eastAsia="Arial" w:hAnsi="Arial"/>
          <w:sz w:val="18"/>
          <w:szCs w:val="18"/>
          <w:color w:val="auto"/>
        </w:rPr>
        <w:t>Audit related fees consists of fees billed for professional services rendered for the annual audit of our consolidated</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statements, the review of the interim consolidated financial statements, and for the audit of statutory financial statements and are not reported under “Audit Fees”.</w:t>
      </w:r>
    </w:p>
    <w:p>
      <w:pPr>
        <w:spacing w:after="0" w:line="63" w:lineRule="exact"/>
        <w:rPr>
          <w:sz w:val="20"/>
          <w:szCs w:val="20"/>
          <w:color w:val="auto"/>
        </w:rPr>
      </w:pPr>
    </w:p>
    <w:p>
      <w:pPr>
        <w:ind w:right="780" w:firstLine="324"/>
        <w:spacing w:after="0" w:line="287" w:lineRule="auto"/>
        <w:rPr>
          <w:sz w:val="20"/>
          <w:szCs w:val="20"/>
          <w:color w:val="auto"/>
        </w:rPr>
      </w:pPr>
      <w:r>
        <w:rPr>
          <w:rFonts w:ascii="Arial" w:cs="Arial" w:eastAsia="Arial" w:hAnsi="Arial"/>
          <w:sz w:val="18"/>
          <w:szCs w:val="18"/>
          <w:i w:val="1"/>
          <w:iCs w:val="1"/>
          <w:color w:val="auto"/>
        </w:rPr>
        <w:t xml:space="preserve">Tax Fees. </w:t>
      </w:r>
      <w:r>
        <w:rPr>
          <w:rFonts w:ascii="Arial" w:cs="Arial" w:eastAsia="Arial" w:hAnsi="Arial"/>
          <w:sz w:val="18"/>
          <w:szCs w:val="18"/>
          <w:color w:val="auto"/>
        </w:rPr>
        <w:t>Tax fees for the years ended December 31, 2024 and December 31, 2023 include fees related to tax compliance and</w:t>
      </w:r>
      <w:r>
        <w:rPr>
          <w:rFonts w:ascii="Arial" w:cs="Arial" w:eastAsia="Arial" w:hAnsi="Arial"/>
          <w:sz w:val="18"/>
          <w:szCs w:val="18"/>
          <w:i w:val="1"/>
          <w:iCs w:val="1"/>
          <w:color w:val="auto"/>
        </w:rPr>
        <w:t xml:space="preserve"> </w:t>
      </w:r>
      <w:r>
        <w:rPr>
          <w:rFonts w:ascii="Arial" w:cs="Arial" w:eastAsia="Arial" w:hAnsi="Arial"/>
          <w:sz w:val="18"/>
          <w:szCs w:val="18"/>
          <w:color w:val="auto"/>
        </w:rPr>
        <w:t>consulting services.</w:t>
      </w:r>
    </w:p>
    <w:p>
      <w:pPr>
        <w:spacing w:after="0" w:line="45" w:lineRule="exact"/>
        <w:rPr>
          <w:sz w:val="20"/>
          <w:szCs w:val="20"/>
          <w:color w:val="auto"/>
        </w:rPr>
      </w:pPr>
    </w:p>
    <w:p>
      <w:pPr>
        <w:ind w:right="520" w:firstLine="324"/>
        <w:spacing w:after="0" w:line="287" w:lineRule="auto"/>
        <w:rPr>
          <w:sz w:val="20"/>
          <w:szCs w:val="20"/>
          <w:color w:val="auto"/>
        </w:rPr>
      </w:pPr>
      <w:r>
        <w:rPr>
          <w:rFonts w:ascii="Arial" w:cs="Arial" w:eastAsia="Arial" w:hAnsi="Arial"/>
          <w:sz w:val="18"/>
          <w:szCs w:val="18"/>
          <w:i w:val="1"/>
          <w:iCs w:val="1"/>
          <w:color w:val="auto"/>
        </w:rPr>
        <w:t xml:space="preserve">All Other Fees. </w:t>
      </w:r>
      <w:r>
        <w:rPr>
          <w:rFonts w:ascii="Arial" w:cs="Arial" w:eastAsia="Arial" w:hAnsi="Arial"/>
          <w:sz w:val="18"/>
          <w:szCs w:val="18"/>
          <w:color w:val="auto"/>
        </w:rPr>
        <w:t>For the years ended December 31, 2024 and December 31, 2023, all other fees consisted of fees related to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research software products.</w:t>
      </w:r>
    </w:p>
    <w:p>
      <w:pPr>
        <w:spacing w:after="0" w:line="45" w:lineRule="exact"/>
        <w:rPr>
          <w:sz w:val="20"/>
          <w:szCs w:val="20"/>
          <w:color w:val="auto"/>
        </w:rPr>
      </w:pPr>
    </w:p>
    <w:p>
      <w:pPr>
        <w:ind w:right="500" w:firstLine="324"/>
        <w:spacing w:after="0" w:line="268" w:lineRule="auto"/>
        <w:rPr>
          <w:sz w:val="20"/>
          <w:szCs w:val="20"/>
          <w:color w:val="auto"/>
        </w:rPr>
      </w:pPr>
      <w:r>
        <w:rPr>
          <w:rFonts w:ascii="Arial" w:cs="Arial" w:eastAsia="Arial" w:hAnsi="Arial"/>
          <w:sz w:val="18"/>
          <w:szCs w:val="18"/>
          <w:color w:val="auto"/>
        </w:rPr>
        <w:t>The Audit Committee determined that PricewaterhouseCoopers’s provision of these services, and the fees that we paid for these services, are compatible with maintaining the independence of the independent registered public accounting firm. The Audit Committee approved all services that PricewaterhouseCoopers provided in the fiscal years ended December 31, 2024 and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240"/>
          </w:cols>
          <w:pgMar w:left="320" w:top="881" w:right="339" w:bottom="1440" w:gutter="0" w:footer="0" w:header="0"/>
        </w:sectPr>
      </w:pPr>
    </w:p>
    <w:bookmarkStart w:id="48" w:name="page49"/>
    <w:bookmarkEnd w:id="48"/>
    <w:p>
      <w:pPr>
        <w:jc w:val="center"/>
        <w:ind w:right="-19"/>
        <w:spacing w:after="0"/>
        <w:rPr>
          <w:sz w:val="20"/>
          <w:szCs w:val="20"/>
          <w:color w:val="auto"/>
        </w:rPr>
      </w:pPr>
      <w:r>
        <w:rPr>
          <w:rFonts w:ascii="Arial" w:cs="Arial" w:eastAsia="Arial" w:hAnsi="Arial"/>
          <w:sz w:val="25"/>
          <w:szCs w:val="25"/>
          <w:b w:val="1"/>
          <w:bCs w:val="1"/>
          <w:color w:val="EF3A35"/>
        </w:rPr>
        <w:t>AUDIT COMMITTEE REPORT</w:t>
      </w:r>
    </w:p>
    <w:p>
      <w:pPr>
        <w:spacing w:after="0" w:line="123" w:lineRule="exact"/>
        <w:rPr>
          <w:sz w:val="20"/>
          <w:szCs w:val="20"/>
          <w:color w:val="auto"/>
        </w:rPr>
      </w:pPr>
    </w:p>
    <w:p>
      <w:pPr>
        <w:ind w:right="240" w:firstLine="324"/>
        <w:spacing w:after="0" w:line="318" w:lineRule="auto"/>
        <w:rPr>
          <w:sz w:val="20"/>
          <w:szCs w:val="20"/>
          <w:color w:val="auto"/>
        </w:rPr>
      </w:pPr>
      <w:r>
        <w:rPr>
          <w:rFonts w:ascii="Arial" w:cs="Arial" w:eastAsia="Arial" w:hAnsi="Arial"/>
          <w:sz w:val="17"/>
          <w:szCs w:val="17"/>
          <w:color w:val="auto"/>
        </w:rPr>
        <w:t>The Audit Committee consists of the three directors whose names appear below. Each member of the Audit Committee meets the definition of “independent director” and otherwise is qualified to be a member of the Audit Committee under the NYSE listing requirements.</w:t>
      </w:r>
    </w:p>
    <w:p>
      <w:pPr>
        <w:spacing w:after="0" w:line="22" w:lineRule="exact"/>
        <w:rPr>
          <w:sz w:val="20"/>
          <w:szCs w:val="20"/>
          <w:color w:val="auto"/>
        </w:rPr>
      </w:pPr>
    </w:p>
    <w:p>
      <w:pPr>
        <w:ind w:firstLine="324"/>
        <w:spacing w:after="0" w:line="287" w:lineRule="auto"/>
        <w:rPr>
          <w:sz w:val="20"/>
          <w:szCs w:val="20"/>
          <w:color w:val="auto"/>
        </w:rPr>
      </w:pPr>
      <w:r>
        <w:rPr>
          <w:rFonts w:ascii="Arial" w:cs="Arial" w:eastAsia="Arial" w:hAnsi="Arial"/>
          <w:sz w:val="18"/>
          <w:szCs w:val="18"/>
          <w:color w:val="auto"/>
        </w:rPr>
        <w:t>The Audit Committee’s general role is to assist the Board in monitoring the Company’s financial reporting process and related matters. Its specific responsibilities are set forth in its charter. The Audit Committee reviews its charter at least annually.</w:t>
      </w:r>
    </w:p>
    <w:p>
      <w:pPr>
        <w:spacing w:after="0" w:line="45"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As required by its charter, the Audit Committee reviewed the Company’s audited financial statements for the fiscal year ended December 31, 2024, or fiscal 2024, and met with management, as well as with representatives of PricewaterhouseCoopers, the Company’s independent registered public accounting firm, to discuss the audited financial statements. The Audit Committee also discussed with members of PricewaterhouseCoopers the matters required to be discussed by the Statement on Auditing Standards 16, Communication with Audit Committees, as adopted by the Public Company Accounting Oversight Board, or PCAOB.</w:t>
      </w:r>
    </w:p>
    <w:p>
      <w:pPr>
        <w:spacing w:after="0" w:line="71" w:lineRule="exact"/>
        <w:rPr>
          <w:sz w:val="20"/>
          <w:szCs w:val="20"/>
          <w:color w:val="auto"/>
        </w:rPr>
      </w:pPr>
    </w:p>
    <w:p>
      <w:pPr>
        <w:ind w:right="140" w:firstLine="324"/>
        <w:spacing w:after="0" w:line="268" w:lineRule="auto"/>
        <w:rPr>
          <w:sz w:val="20"/>
          <w:szCs w:val="20"/>
          <w:color w:val="auto"/>
        </w:rPr>
      </w:pPr>
      <w:r>
        <w:rPr>
          <w:rFonts w:ascii="Arial" w:cs="Arial" w:eastAsia="Arial" w:hAnsi="Arial"/>
          <w:sz w:val="18"/>
          <w:szCs w:val="18"/>
          <w:color w:val="auto"/>
        </w:rPr>
        <w:t>In addition, the Audit Committee received the written disclosures and letter from PricewaterhouseCoopers required by the applicable requirements of the PCAOB regarding PricewaterhouseCoopers’s communications with the Audit Committee concerning independence and discussed with members of PricewaterhouseCoopers its independence from management and the Company.</w:t>
      </w:r>
    </w:p>
    <w:p>
      <w:pPr>
        <w:spacing w:after="0" w:line="63" w:lineRule="exact"/>
        <w:rPr>
          <w:sz w:val="20"/>
          <w:szCs w:val="20"/>
          <w:color w:val="auto"/>
        </w:rPr>
      </w:pPr>
    </w:p>
    <w:p>
      <w:pPr>
        <w:ind w:right="60" w:firstLine="324"/>
        <w:spacing w:after="0" w:line="262" w:lineRule="auto"/>
        <w:rPr>
          <w:sz w:val="20"/>
          <w:szCs w:val="20"/>
          <w:color w:val="auto"/>
        </w:rPr>
      </w:pPr>
      <w:r>
        <w:rPr>
          <w:rFonts w:ascii="Arial" w:cs="Arial" w:eastAsia="Arial" w:hAnsi="Arial"/>
          <w:sz w:val="18"/>
          <w:szCs w:val="18"/>
          <w:color w:val="auto"/>
        </w:rPr>
        <w:t>Furthermore, in connection with the standards for independence promulgated by the SEC, the Audit Committee reviewed the services provided by PricewaterhouseCoopers, the fees the Company paid for these services, and whether the provision of the services is compatible with maintaining the independence of the independent registered public accounting firm. The Audit Committee deemed that the provision of the services is compatible with maintaining that independence.</w:t>
      </w:r>
    </w:p>
    <w:p>
      <w:pPr>
        <w:spacing w:after="0" w:line="68"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Based on the review and discussions described above, the Audit Committee recommended to the Board that the Company’s audited</w:t>
      </w:r>
    </w:p>
    <w:p>
      <w:pPr>
        <w:spacing w:after="0" w:line="27" w:lineRule="exact"/>
        <w:rPr>
          <w:sz w:val="20"/>
          <w:szCs w:val="20"/>
          <w:color w:val="auto"/>
        </w:rPr>
      </w:pPr>
    </w:p>
    <w:p>
      <w:pPr>
        <w:ind w:left="4220" w:right="60" w:hanging="4211"/>
        <w:spacing w:after="0" w:line="365" w:lineRule="auto"/>
        <w:rPr>
          <w:sz w:val="20"/>
          <w:szCs w:val="20"/>
          <w:color w:val="auto"/>
        </w:rPr>
      </w:pPr>
      <w:r>
        <w:rPr>
          <w:rFonts w:ascii="Arial" w:cs="Arial" w:eastAsia="Arial" w:hAnsi="Arial"/>
          <w:sz w:val="18"/>
          <w:szCs w:val="18"/>
          <w:color w:val="auto"/>
        </w:rPr>
        <w:t>financial statements for fiscal 2024 be included in the Company’s Annual Report on Form 10-K for the fiscal year ended December 31, 2024. Members of the Shutterstock, Inc. Audit Committee</w:t>
      </w:r>
    </w:p>
    <w:p>
      <w:pPr>
        <w:ind w:left="4220"/>
        <w:spacing w:after="0"/>
        <w:rPr>
          <w:sz w:val="20"/>
          <w:szCs w:val="20"/>
          <w:color w:val="auto"/>
        </w:rPr>
      </w:pPr>
      <w:r>
        <w:rPr>
          <w:rFonts w:ascii="Arial" w:cs="Arial" w:eastAsia="Arial" w:hAnsi="Arial"/>
          <w:sz w:val="18"/>
          <w:szCs w:val="18"/>
          <w:color w:val="auto"/>
        </w:rPr>
        <w:t xml:space="preserve">Alfonse Upshaw </w:t>
      </w:r>
      <w:r>
        <w:rPr>
          <w:rFonts w:ascii="Arial" w:cs="Arial" w:eastAsia="Arial" w:hAnsi="Arial"/>
          <w:sz w:val="18"/>
          <w:szCs w:val="18"/>
          <w:i w:val="1"/>
          <w:iCs w:val="1"/>
          <w:color w:val="auto"/>
        </w:rPr>
        <w:t>(Chairman)</w:t>
      </w:r>
    </w:p>
    <w:p>
      <w:pPr>
        <w:spacing w:after="0" w:line="27"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Thomas R. Evans</w:t>
      </w:r>
    </w:p>
    <w:p>
      <w:pPr>
        <w:spacing w:after="0" w:line="9"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Rachna Bhasin</w:t>
      </w:r>
    </w:p>
    <w:p>
      <w:pPr>
        <w:spacing w:after="0" w:line="99" w:lineRule="exact"/>
        <w:rPr>
          <w:sz w:val="20"/>
          <w:szCs w:val="20"/>
          <w:color w:val="auto"/>
        </w:rPr>
      </w:pPr>
    </w:p>
    <w:p>
      <w:pPr>
        <w:jc w:val="both"/>
        <w:ind w:right="300" w:firstLine="324"/>
        <w:spacing w:after="0" w:line="268" w:lineRule="auto"/>
        <w:rPr>
          <w:sz w:val="20"/>
          <w:szCs w:val="20"/>
          <w:color w:val="auto"/>
        </w:rPr>
      </w:pPr>
      <w:r>
        <w:rPr>
          <w:rFonts w:ascii="Arial" w:cs="Arial" w:eastAsia="Arial" w:hAnsi="Arial"/>
          <w:sz w:val="18"/>
          <w:szCs w:val="18"/>
          <w:color w:val="auto"/>
        </w:rPr>
        <w:t>The Audit Committee report above does not constitute “soliciting material” and will not be deemed “filed” or incorporated by reference into any of our filings under the Securities Act or the Exchange Act that might incorporate our SEC filings by reference, in whole or in part, notwithstanding anything to the contrary set forth in those filings.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240"/>
          </w:cols>
          <w:pgMar w:left="320" w:top="871" w:right="339" w:bottom="1440" w:gutter="0" w:footer="0" w:header="0"/>
        </w:sectPr>
      </w:pPr>
    </w:p>
    <w:bookmarkStart w:id="49" w:name="page50"/>
    <w:bookmarkEnd w:id="49"/>
    <w:p>
      <w:pPr>
        <w:jc w:val="center"/>
        <w:spacing w:after="0"/>
        <w:rPr>
          <w:sz w:val="20"/>
          <w:szCs w:val="20"/>
          <w:color w:val="auto"/>
        </w:rPr>
      </w:pPr>
      <w:r>
        <w:rPr>
          <w:rFonts w:ascii="Arial" w:cs="Arial" w:eastAsia="Arial" w:hAnsi="Arial"/>
          <w:sz w:val="25"/>
          <w:szCs w:val="25"/>
          <w:b w:val="1"/>
          <w:bCs w:val="1"/>
          <w:color w:val="EF3A35"/>
        </w:rPr>
        <w:t>EQUITY COMPENSATION PLAN INFORMATION</w:t>
      </w:r>
    </w:p>
    <w:p>
      <w:pPr>
        <w:spacing w:after="0" w:line="123" w:lineRule="exact"/>
        <w:rPr>
          <w:sz w:val="20"/>
          <w:szCs w:val="20"/>
          <w:color w:val="auto"/>
        </w:rPr>
      </w:pPr>
    </w:p>
    <w:p>
      <w:pPr>
        <w:ind w:right="160" w:firstLine="324"/>
        <w:spacing w:after="0" w:line="268" w:lineRule="auto"/>
        <w:rPr>
          <w:sz w:val="20"/>
          <w:szCs w:val="20"/>
          <w:color w:val="auto"/>
        </w:rPr>
      </w:pPr>
      <w:r>
        <w:rPr>
          <w:rFonts w:ascii="Arial" w:cs="Arial" w:eastAsia="Arial" w:hAnsi="Arial"/>
          <w:sz w:val="18"/>
          <w:szCs w:val="18"/>
          <w:color w:val="auto"/>
        </w:rPr>
        <w:t>The following table provides information as of December 31, 2024 about the securities authorized for issuance under our Amended and Restated 2012 Plan (the “</w:t>
      </w:r>
      <w:r>
        <w:rPr>
          <w:rFonts w:ascii="Arial" w:cs="Arial" w:eastAsia="Arial" w:hAnsi="Arial"/>
          <w:sz w:val="18"/>
          <w:szCs w:val="18"/>
          <w:u w:val="single" w:color="auto"/>
          <w:color w:val="auto"/>
        </w:rPr>
        <w:t>2012 Plan</w:t>
      </w:r>
      <w:r>
        <w:rPr>
          <w:rFonts w:ascii="Arial" w:cs="Arial" w:eastAsia="Arial" w:hAnsi="Arial"/>
          <w:sz w:val="18"/>
          <w:szCs w:val="18"/>
          <w:color w:val="auto"/>
        </w:rPr>
        <w:t>”) and our Amended and Restated 2022 Plan. Each of the 2012 Plan and the Amended and Restated 2022 Plan was adopted with the approval of our stockholders.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9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Number of securities to be issued</w:t>
            </w:r>
          </w:p>
        </w:tc>
        <w:tc>
          <w:tcPr>
            <w:tcW w:w="25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Weighted-average exercise</w:t>
            </w:r>
          </w:p>
        </w:tc>
        <w:tc>
          <w:tcPr>
            <w:tcW w:w="3120" w:type="dxa"/>
            <w:vAlign w:val="bottom"/>
          </w:tcPr>
          <w:p>
            <w:pPr>
              <w:jc w:val="center"/>
              <w:spacing w:after="0"/>
              <w:rPr>
                <w:sz w:val="20"/>
                <w:szCs w:val="20"/>
                <w:color w:val="auto"/>
              </w:rPr>
            </w:pPr>
            <w:r>
              <w:rPr>
                <w:rFonts w:ascii="Arial" w:cs="Arial" w:eastAsia="Arial" w:hAnsi="Arial"/>
                <w:sz w:val="14"/>
                <w:szCs w:val="14"/>
                <w:b w:val="1"/>
                <w:bCs w:val="1"/>
                <w:color w:val="auto"/>
              </w:rPr>
              <w:t>Number of securities remaining available for</w:t>
            </w:r>
          </w:p>
        </w:tc>
        <w:tc>
          <w:tcPr>
            <w:tcW w:w="0" w:type="dxa"/>
            <w:vAlign w:val="bottom"/>
          </w:tcPr>
          <w:p>
            <w:pPr>
              <w:spacing w:after="0"/>
              <w:rPr>
                <w:sz w:val="1"/>
                <w:szCs w:val="1"/>
                <w:color w:val="auto"/>
              </w:rPr>
            </w:pPr>
          </w:p>
        </w:tc>
      </w:tr>
      <w:tr>
        <w:trPr>
          <w:trHeight w:val="175"/>
        </w:trPr>
        <w:tc>
          <w:tcPr>
            <w:tcW w:w="2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9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upon exercise of outstanding</w:t>
            </w:r>
          </w:p>
        </w:tc>
        <w:tc>
          <w:tcPr>
            <w:tcW w:w="25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price of outstanding options,</w:t>
            </w:r>
          </w:p>
        </w:tc>
        <w:tc>
          <w:tcPr>
            <w:tcW w:w="3120" w:type="dxa"/>
            <w:vAlign w:val="bottom"/>
          </w:tcPr>
          <w:p>
            <w:pPr>
              <w:jc w:val="center"/>
              <w:spacing w:after="0"/>
              <w:rPr>
                <w:sz w:val="20"/>
                <w:szCs w:val="20"/>
                <w:color w:val="auto"/>
              </w:rPr>
            </w:pPr>
            <w:r>
              <w:rPr>
                <w:rFonts w:ascii="Arial" w:cs="Arial" w:eastAsia="Arial" w:hAnsi="Arial"/>
                <w:sz w:val="14"/>
                <w:szCs w:val="14"/>
                <w:b w:val="1"/>
                <w:bCs w:val="1"/>
                <w:color w:val="auto"/>
              </w:rPr>
              <w:t>issuance under equity compensation plans</w:t>
            </w:r>
          </w:p>
        </w:tc>
        <w:tc>
          <w:tcPr>
            <w:tcW w:w="0" w:type="dxa"/>
            <w:vAlign w:val="bottom"/>
          </w:tcPr>
          <w:p>
            <w:pPr>
              <w:spacing w:after="0"/>
              <w:rPr>
                <w:sz w:val="1"/>
                <w:szCs w:val="1"/>
                <w:color w:val="auto"/>
              </w:rPr>
            </w:pPr>
          </w:p>
        </w:tc>
      </w:tr>
      <w:tr>
        <w:trPr>
          <w:trHeight w:val="176"/>
        </w:trPr>
        <w:tc>
          <w:tcPr>
            <w:tcW w:w="21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Plan Category</w:t>
            </w:r>
          </w:p>
        </w:tc>
        <w:tc>
          <w:tcPr>
            <w:tcW w:w="480" w:type="dxa"/>
            <w:vAlign w:val="bottom"/>
            <w:vMerge w:val="restart"/>
          </w:tcPr>
          <w:p>
            <w:pPr>
              <w:spacing w:after="0"/>
              <w:rPr>
                <w:sz w:val="15"/>
                <w:szCs w:val="15"/>
                <w:color w:val="auto"/>
              </w:rPr>
            </w:pPr>
          </w:p>
        </w:tc>
        <w:tc>
          <w:tcPr>
            <w:tcW w:w="29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options, warrants and rights</w:t>
            </w:r>
          </w:p>
        </w:tc>
        <w:tc>
          <w:tcPr>
            <w:tcW w:w="25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warrants and rights</w:t>
            </w:r>
          </w:p>
        </w:tc>
        <w:tc>
          <w:tcPr>
            <w:tcW w:w="3120" w:type="dxa"/>
            <w:vAlign w:val="bottom"/>
          </w:tcPr>
          <w:p>
            <w:pPr>
              <w:jc w:val="center"/>
              <w:spacing w:after="0"/>
              <w:rPr>
                <w:sz w:val="20"/>
                <w:szCs w:val="20"/>
                <w:color w:val="auto"/>
              </w:rPr>
            </w:pPr>
            <w:r>
              <w:rPr>
                <w:rFonts w:ascii="Arial" w:cs="Arial" w:eastAsia="Arial" w:hAnsi="Arial"/>
                <w:sz w:val="14"/>
                <w:szCs w:val="14"/>
                <w:b w:val="1"/>
                <w:bCs w:val="1"/>
                <w:color w:val="auto"/>
              </w:rPr>
              <w:t>(excluding securities reflected in column (a))</w:t>
            </w:r>
          </w:p>
        </w:tc>
        <w:tc>
          <w:tcPr>
            <w:tcW w:w="0" w:type="dxa"/>
            <w:vAlign w:val="bottom"/>
          </w:tcPr>
          <w:p>
            <w:pPr>
              <w:spacing w:after="0"/>
              <w:rPr>
                <w:sz w:val="1"/>
                <w:szCs w:val="1"/>
                <w:color w:val="auto"/>
              </w:rPr>
            </w:pPr>
          </w:p>
        </w:tc>
      </w:tr>
      <w:tr>
        <w:trPr>
          <w:trHeight w:val="197"/>
        </w:trPr>
        <w:tc>
          <w:tcPr>
            <w:tcW w:w="2140" w:type="dxa"/>
            <w:vAlign w:val="bottom"/>
            <w:tcBorders>
              <w:bottom w:val="single" w:sz="8" w:color="auto"/>
            </w:tcBorders>
            <w:vMerge w:val="continue"/>
          </w:tcPr>
          <w:p>
            <w:pPr>
              <w:spacing w:after="0"/>
              <w:rPr>
                <w:sz w:val="17"/>
                <w:szCs w:val="17"/>
                <w:color w:val="auto"/>
              </w:rPr>
            </w:pPr>
          </w:p>
        </w:tc>
        <w:tc>
          <w:tcPr>
            <w:tcW w:w="480" w:type="dxa"/>
            <w:vAlign w:val="bottom"/>
            <w:vMerge w:val="continue"/>
          </w:tcPr>
          <w:p>
            <w:pPr>
              <w:spacing w:after="0"/>
              <w:rPr>
                <w:sz w:val="17"/>
                <w:szCs w:val="17"/>
                <w:color w:val="auto"/>
              </w:rPr>
            </w:pPr>
          </w:p>
        </w:tc>
        <w:tc>
          <w:tcPr>
            <w:tcW w:w="2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w:t>
            </w:r>
          </w:p>
        </w:tc>
        <w:tc>
          <w:tcPr>
            <w:tcW w:w="480" w:type="dxa"/>
            <w:vAlign w:val="bottom"/>
          </w:tcPr>
          <w:p>
            <w:pPr>
              <w:spacing w:after="0"/>
              <w:rPr>
                <w:sz w:val="17"/>
                <w:szCs w:val="17"/>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(b)</w:t>
            </w:r>
          </w:p>
        </w:tc>
        <w:tc>
          <w:tcPr>
            <w:tcW w:w="480" w:type="dxa"/>
            <w:vAlign w:val="bottom"/>
          </w:tcPr>
          <w:p>
            <w:pPr>
              <w:spacing w:after="0"/>
              <w:rPr>
                <w:sz w:val="17"/>
                <w:szCs w:val="17"/>
                <w:color w:val="auto"/>
              </w:rPr>
            </w:pPr>
          </w:p>
        </w:tc>
        <w:tc>
          <w:tcPr>
            <w:tcW w:w="3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188"/>
        </w:trPr>
        <w:tc>
          <w:tcPr>
            <w:tcW w:w="2620" w:type="dxa"/>
            <w:vAlign w:val="bottom"/>
            <w:gridSpan w:val="2"/>
          </w:tcPr>
          <w:p>
            <w:pPr>
              <w:ind w:left="20"/>
              <w:spacing w:after="0"/>
              <w:rPr>
                <w:sz w:val="20"/>
                <w:szCs w:val="20"/>
                <w:color w:val="auto"/>
              </w:rPr>
            </w:pPr>
            <w:r>
              <w:rPr>
                <w:rFonts w:ascii="Arial" w:cs="Arial" w:eastAsia="Arial" w:hAnsi="Arial"/>
                <w:sz w:val="14"/>
                <w:szCs w:val="14"/>
                <w:color w:val="auto"/>
              </w:rPr>
              <w:t>Equity compensation plans</w:t>
            </w:r>
          </w:p>
        </w:tc>
        <w:tc>
          <w:tcPr>
            <w:tcW w:w="24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620" w:type="dxa"/>
            <w:vAlign w:val="bottom"/>
            <w:gridSpan w:val="2"/>
          </w:tcPr>
          <w:p>
            <w:pPr>
              <w:ind w:left="20"/>
              <w:spacing w:after="0"/>
              <w:rPr>
                <w:sz w:val="20"/>
                <w:szCs w:val="20"/>
                <w:color w:val="auto"/>
              </w:rPr>
            </w:pPr>
            <w:r>
              <w:rPr>
                <w:rFonts w:ascii="Arial" w:cs="Arial" w:eastAsia="Arial" w:hAnsi="Arial"/>
                <w:sz w:val="14"/>
                <w:szCs w:val="14"/>
                <w:color w:val="auto"/>
              </w:rPr>
              <w:t>approved by security holders</w:t>
            </w:r>
          </w:p>
        </w:tc>
        <w:tc>
          <w:tcPr>
            <w:tcW w:w="2480" w:type="dxa"/>
            <w:vAlign w:val="bottom"/>
          </w:tcPr>
          <w:p>
            <w:pPr>
              <w:jc w:val="center"/>
              <w:spacing w:after="0"/>
              <w:rPr>
                <w:sz w:val="20"/>
                <w:szCs w:val="20"/>
                <w:color w:val="auto"/>
              </w:rPr>
            </w:pPr>
            <w:r>
              <w:rPr>
                <w:rFonts w:ascii="Arial" w:cs="Arial" w:eastAsia="Arial" w:hAnsi="Arial"/>
                <w:sz w:val="14"/>
                <w:szCs w:val="14"/>
                <w:color w:val="auto"/>
              </w:rPr>
              <w:t>3,246,747</w:t>
            </w:r>
            <w:r>
              <w:rPr>
                <w:rFonts w:ascii="Arial" w:cs="Arial" w:eastAsia="Arial" w:hAnsi="Arial"/>
                <w:sz w:val="9"/>
                <w:szCs w:val="9"/>
                <w:color w:val="auto"/>
              </w:rPr>
              <w:t>(1)</w:t>
            </w:r>
          </w:p>
        </w:tc>
        <w:tc>
          <w:tcPr>
            <w:tcW w:w="480" w:type="dxa"/>
            <w:vAlign w:val="bottom"/>
          </w:tcPr>
          <w:p>
            <w:pPr>
              <w:spacing w:after="0"/>
              <w:rPr>
                <w:sz w:val="16"/>
                <w:szCs w:val="16"/>
                <w:color w:val="auto"/>
              </w:rPr>
            </w:pPr>
          </w:p>
        </w:tc>
        <w:tc>
          <w:tcPr>
            <w:tcW w:w="2060" w:type="dxa"/>
            <w:vAlign w:val="bottom"/>
          </w:tcPr>
          <w:p>
            <w:pPr>
              <w:jc w:val="center"/>
              <w:spacing w:after="0"/>
              <w:rPr>
                <w:sz w:val="20"/>
                <w:szCs w:val="20"/>
                <w:color w:val="auto"/>
              </w:rPr>
            </w:pPr>
            <w:r>
              <w:rPr>
                <w:rFonts w:ascii="Arial" w:cs="Arial" w:eastAsia="Arial" w:hAnsi="Arial"/>
                <w:sz w:val="14"/>
                <w:szCs w:val="14"/>
                <w:color w:val="auto"/>
                <w:w w:val="99"/>
              </w:rPr>
              <w:t>34.14</w:t>
            </w:r>
            <w:r>
              <w:rPr>
                <w:rFonts w:ascii="Arial" w:cs="Arial" w:eastAsia="Arial" w:hAnsi="Arial"/>
                <w:sz w:val="9"/>
                <w:szCs w:val="9"/>
                <w:color w:val="auto"/>
                <w:w w:val="99"/>
              </w:rPr>
              <w:t>(2)</w:t>
            </w:r>
          </w:p>
        </w:tc>
        <w:tc>
          <w:tcPr>
            <w:tcW w:w="480" w:type="dxa"/>
            <w:vAlign w:val="bottom"/>
          </w:tcPr>
          <w:p>
            <w:pPr>
              <w:spacing w:after="0"/>
              <w:rPr>
                <w:sz w:val="16"/>
                <w:szCs w:val="16"/>
                <w:color w:val="auto"/>
              </w:rPr>
            </w:pPr>
          </w:p>
        </w:tc>
        <w:tc>
          <w:tcPr>
            <w:tcW w:w="3120" w:type="dxa"/>
            <w:vAlign w:val="bottom"/>
          </w:tcPr>
          <w:p>
            <w:pPr>
              <w:jc w:val="center"/>
              <w:spacing w:after="0"/>
              <w:rPr>
                <w:sz w:val="20"/>
                <w:szCs w:val="20"/>
                <w:color w:val="auto"/>
              </w:rPr>
            </w:pPr>
            <w:r>
              <w:rPr>
                <w:rFonts w:ascii="Arial" w:cs="Arial" w:eastAsia="Arial" w:hAnsi="Arial"/>
                <w:sz w:val="14"/>
                <w:szCs w:val="14"/>
                <w:color w:val="auto"/>
              </w:rPr>
              <w:t>4,219,097</w:t>
            </w:r>
          </w:p>
        </w:tc>
        <w:tc>
          <w:tcPr>
            <w:tcW w:w="0" w:type="dxa"/>
            <w:vAlign w:val="bottom"/>
          </w:tcPr>
          <w:p>
            <w:pPr>
              <w:spacing w:after="0"/>
              <w:rPr>
                <w:sz w:val="1"/>
                <w:szCs w:val="1"/>
                <w:color w:val="auto"/>
              </w:rPr>
            </w:pPr>
          </w:p>
        </w:tc>
      </w:tr>
      <w:tr>
        <w:trPr>
          <w:trHeight w:val="215"/>
        </w:trPr>
        <w:tc>
          <w:tcPr>
            <w:tcW w:w="2620" w:type="dxa"/>
            <w:vAlign w:val="bottom"/>
            <w:gridSpan w:val="2"/>
          </w:tcPr>
          <w:p>
            <w:pPr>
              <w:ind w:left="20"/>
              <w:spacing w:after="0"/>
              <w:rPr>
                <w:sz w:val="20"/>
                <w:szCs w:val="20"/>
                <w:color w:val="auto"/>
              </w:rPr>
            </w:pPr>
            <w:r>
              <w:rPr>
                <w:rFonts w:ascii="Arial" w:cs="Arial" w:eastAsia="Arial" w:hAnsi="Arial"/>
                <w:sz w:val="14"/>
                <w:szCs w:val="14"/>
                <w:color w:val="auto"/>
              </w:rPr>
              <w:t>Equity compensation plans not</w:t>
            </w:r>
          </w:p>
        </w:tc>
        <w:tc>
          <w:tcPr>
            <w:tcW w:w="2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620" w:type="dxa"/>
            <w:vAlign w:val="bottom"/>
            <w:gridSpan w:val="2"/>
          </w:tcPr>
          <w:p>
            <w:pPr>
              <w:ind w:left="20"/>
              <w:spacing w:after="0"/>
              <w:rPr>
                <w:sz w:val="20"/>
                <w:szCs w:val="20"/>
                <w:color w:val="auto"/>
              </w:rPr>
            </w:pPr>
            <w:r>
              <w:rPr>
                <w:rFonts w:ascii="Arial" w:cs="Arial" w:eastAsia="Arial" w:hAnsi="Arial"/>
                <w:sz w:val="14"/>
                <w:szCs w:val="14"/>
                <w:color w:val="auto"/>
              </w:rPr>
              <w:t>approved by security holders</w:t>
            </w:r>
          </w:p>
        </w:tc>
        <w:tc>
          <w:tcPr>
            <w:tcW w:w="2480" w:type="dxa"/>
            <w:vAlign w:val="bottom"/>
          </w:tcPr>
          <w:p>
            <w:pPr>
              <w:jc w:val="center"/>
              <w:spacing w:after="0"/>
              <w:rPr>
                <w:sz w:val="20"/>
                <w:szCs w:val="20"/>
                <w:color w:val="auto"/>
              </w:rPr>
            </w:pPr>
            <w:r>
              <w:rPr>
                <w:rFonts w:ascii="Arial" w:cs="Arial" w:eastAsia="Arial" w:hAnsi="Arial"/>
                <w:sz w:val="14"/>
                <w:szCs w:val="14"/>
                <w:color w:val="auto"/>
                <w:w w:val="84"/>
              </w:rPr>
              <w:t>-</w:t>
            </w:r>
          </w:p>
        </w:tc>
        <w:tc>
          <w:tcPr>
            <w:tcW w:w="480" w:type="dxa"/>
            <w:vAlign w:val="bottom"/>
          </w:tcPr>
          <w:p>
            <w:pPr>
              <w:spacing w:after="0"/>
              <w:rPr>
                <w:sz w:val="16"/>
                <w:szCs w:val="16"/>
                <w:color w:val="auto"/>
              </w:rPr>
            </w:pPr>
          </w:p>
        </w:tc>
        <w:tc>
          <w:tcPr>
            <w:tcW w:w="2060" w:type="dxa"/>
            <w:vAlign w:val="bottom"/>
          </w:tcPr>
          <w:p>
            <w:pPr>
              <w:jc w:val="center"/>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6"/>
                <w:szCs w:val="16"/>
                <w:color w:val="auto"/>
              </w:rPr>
            </w:pPr>
          </w:p>
        </w:tc>
        <w:tc>
          <w:tcPr>
            <w:tcW w:w="3120" w:type="dxa"/>
            <w:vAlign w:val="bottom"/>
          </w:tcPr>
          <w:p>
            <w:pPr>
              <w:jc w:val="center"/>
              <w:spacing w:after="0"/>
              <w:rPr>
                <w:sz w:val="20"/>
                <w:szCs w:val="20"/>
                <w:color w:val="auto"/>
              </w:rPr>
            </w:pPr>
            <w:r>
              <w:rPr>
                <w:rFonts w:ascii="Arial" w:cs="Arial" w:eastAsia="Arial" w:hAnsi="Arial"/>
                <w:sz w:val="14"/>
                <w:szCs w:val="14"/>
                <w:color w:val="auto"/>
                <w:w w:val="84"/>
              </w:rPr>
              <w:t>-</w:t>
            </w:r>
          </w:p>
        </w:tc>
        <w:tc>
          <w:tcPr>
            <w:tcW w:w="0" w:type="dxa"/>
            <w:vAlign w:val="bottom"/>
          </w:tcPr>
          <w:p>
            <w:pPr>
              <w:spacing w:after="0"/>
              <w:rPr>
                <w:sz w:val="1"/>
                <w:szCs w:val="1"/>
                <w:color w:val="auto"/>
              </w:rPr>
            </w:pPr>
          </w:p>
        </w:tc>
      </w:tr>
      <w:tr>
        <w:trPr>
          <w:trHeight w:val="22"/>
        </w:trPr>
        <w:tc>
          <w:tcPr>
            <w:tcW w:w="21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8"/>
        </w:trPr>
        <w:tc>
          <w:tcPr>
            <w:tcW w:w="262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w:t>
            </w:r>
          </w:p>
        </w:tc>
        <w:tc>
          <w:tcPr>
            <w:tcW w:w="2480" w:type="dxa"/>
            <w:vAlign w:val="bottom"/>
          </w:tcPr>
          <w:p>
            <w:pPr>
              <w:jc w:val="center"/>
              <w:spacing w:after="0"/>
              <w:rPr>
                <w:sz w:val="20"/>
                <w:szCs w:val="20"/>
                <w:color w:val="auto"/>
              </w:rPr>
            </w:pPr>
            <w:r>
              <w:rPr>
                <w:rFonts w:ascii="Arial" w:cs="Arial" w:eastAsia="Arial" w:hAnsi="Arial"/>
                <w:sz w:val="14"/>
                <w:szCs w:val="14"/>
                <w:b w:val="1"/>
                <w:bCs w:val="1"/>
                <w:color w:val="auto"/>
              </w:rPr>
              <w:t>3,246,747</w:t>
            </w:r>
            <w:r>
              <w:rPr>
                <w:rFonts w:ascii="Arial" w:cs="Arial" w:eastAsia="Arial" w:hAnsi="Arial"/>
                <w:sz w:val="9"/>
                <w:szCs w:val="9"/>
                <w:b w:val="1"/>
                <w:bCs w:val="1"/>
                <w:color w:val="auto"/>
              </w:rPr>
              <w:t>(1)</w:t>
            </w:r>
          </w:p>
        </w:tc>
        <w:tc>
          <w:tcPr>
            <w:tcW w:w="480" w:type="dxa"/>
            <w:vAlign w:val="bottom"/>
          </w:tcPr>
          <w:p>
            <w:pPr>
              <w:spacing w:after="0"/>
              <w:rPr>
                <w:sz w:val="18"/>
                <w:szCs w:val="18"/>
                <w:color w:val="auto"/>
              </w:rPr>
            </w:pPr>
          </w:p>
        </w:tc>
        <w:tc>
          <w:tcPr>
            <w:tcW w:w="2060" w:type="dxa"/>
            <w:vAlign w:val="bottom"/>
          </w:tcPr>
          <w:p>
            <w:pPr>
              <w:jc w:val="center"/>
              <w:spacing w:after="0"/>
              <w:rPr>
                <w:sz w:val="20"/>
                <w:szCs w:val="20"/>
                <w:color w:val="auto"/>
              </w:rPr>
            </w:pPr>
            <w:r>
              <w:rPr>
                <w:rFonts w:ascii="Arial" w:cs="Arial" w:eastAsia="Arial" w:hAnsi="Arial"/>
                <w:sz w:val="14"/>
                <w:szCs w:val="14"/>
                <w:b w:val="1"/>
                <w:bCs w:val="1"/>
                <w:color w:val="auto"/>
                <w:w w:val="99"/>
              </w:rPr>
              <w:t>34.14</w:t>
            </w:r>
            <w:r>
              <w:rPr>
                <w:rFonts w:ascii="Arial" w:cs="Arial" w:eastAsia="Arial" w:hAnsi="Arial"/>
                <w:sz w:val="9"/>
                <w:szCs w:val="9"/>
                <w:b w:val="1"/>
                <w:bCs w:val="1"/>
                <w:color w:val="auto"/>
                <w:w w:val="99"/>
              </w:rPr>
              <w:t>(2)</w:t>
            </w:r>
          </w:p>
        </w:tc>
        <w:tc>
          <w:tcPr>
            <w:tcW w:w="480" w:type="dxa"/>
            <w:vAlign w:val="bottom"/>
          </w:tcPr>
          <w:p>
            <w:pPr>
              <w:spacing w:after="0"/>
              <w:rPr>
                <w:sz w:val="18"/>
                <w:szCs w:val="18"/>
                <w:color w:val="auto"/>
              </w:rPr>
            </w:pPr>
          </w:p>
        </w:tc>
        <w:tc>
          <w:tcPr>
            <w:tcW w:w="3120" w:type="dxa"/>
            <w:vAlign w:val="bottom"/>
          </w:tcPr>
          <w:p>
            <w:pPr>
              <w:jc w:val="center"/>
              <w:spacing w:after="0"/>
              <w:rPr>
                <w:sz w:val="20"/>
                <w:szCs w:val="20"/>
                <w:color w:val="auto"/>
              </w:rPr>
            </w:pPr>
            <w:r>
              <w:rPr>
                <w:rFonts w:ascii="Arial" w:cs="Arial" w:eastAsia="Arial" w:hAnsi="Arial"/>
                <w:sz w:val="14"/>
                <w:szCs w:val="14"/>
                <w:b w:val="1"/>
                <w:bCs w:val="1"/>
                <w:color w:val="auto"/>
              </w:rPr>
              <w:t>4,219,097</w:t>
            </w:r>
          </w:p>
        </w:tc>
        <w:tc>
          <w:tcPr>
            <w:tcW w:w="0" w:type="dxa"/>
            <w:vAlign w:val="bottom"/>
          </w:tcPr>
          <w:p>
            <w:pPr>
              <w:spacing w:after="0"/>
              <w:rPr>
                <w:sz w:val="1"/>
                <w:szCs w:val="1"/>
                <w:color w:val="auto"/>
              </w:rPr>
            </w:pPr>
          </w:p>
        </w:tc>
      </w:tr>
    </w:tbl>
    <w:p>
      <w:pPr>
        <w:spacing w:after="0" w:line="209" w:lineRule="exact"/>
        <w:rPr>
          <w:sz w:val="20"/>
          <w:szCs w:val="20"/>
          <w:color w:val="auto"/>
        </w:rPr>
      </w:pPr>
    </w:p>
    <w:p>
      <w:pPr>
        <w:ind w:left="660" w:right="60" w:hanging="652"/>
        <w:spacing w:after="0" w:line="281" w:lineRule="auto"/>
        <w:tabs>
          <w:tab w:leader="none" w:pos="348" w:val="left"/>
        </w:tabs>
        <w:numPr>
          <w:ilvl w:val="0"/>
          <w:numId w:val="47"/>
        </w:numPr>
        <w:rPr>
          <w:rFonts w:ascii="Arial" w:cs="Arial" w:eastAsia="Arial" w:hAnsi="Arial"/>
          <w:sz w:val="14"/>
          <w:szCs w:val="14"/>
          <w:color w:val="auto"/>
        </w:rPr>
      </w:pPr>
      <w:r>
        <w:rPr>
          <w:rFonts w:ascii="Arial" w:cs="Arial" w:eastAsia="Arial" w:hAnsi="Arial"/>
          <w:sz w:val="14"/>
          <w:szCs w:val="14"/>
          <w:color w:val="auto"/>
        </w:rPr>
        <w:t>Consists of 299,267 shares of our Common Stock to be issued upon the exercise of outstanding stock options under the Amended and Restated 2012 Plan and 2,947,480 shares of our Common Stock to be issued upon the vesting of RSUs granted under the 2012 Plan and Amended and Restated 2022 Plan. The 2012 Plan expired on June 2, 2022 and no further shares are available for issuance under this plan.</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Weighted-average exercise price relates to outstanding stock options. RSUs are deemed to have an exercise price of zero and are excluded from the calculation. On June</w:t>
      </w:r>
    </w:p>
    <w:p>
      <w:pPr>
        <w:spacing w:after="0" w:line="28" w:lineRule="exact"/>
        <w:rPr>
          <w:rFonts w:ascii="Arial" w:cs="Arial" w:eastAsia="Arial" w:hAnsi="Arial"/>
          <w:sz w:val="14"/>
          <w:szCs w:val="14"/>
          <w:color w:val="auto"/>
        </w:rPr>
      </w:pPr>
    </w:p>
    <w:p>
      <w:pPr>
        <w:ind w:left="660" w:right="100"/>
        <w:spacing w:after="0" w:line="262" w:lineRule="auto"/>
        <w:rPr>
          <w:rFonts w:ascii="Arial" w:cs="Arial" w:eastAsia="Arial" w:hAnsi="Arial"/>
          <w:sz w:val="14"/>
          <w:szCs w:val="14"/>
          <w:color w:val="auto"/>
        </w:rPr>
      </w:pPr>
      <w:r>
        <w:rPr>
          <w:rFonts w:ascii="Arial" w:cs="Arial" w:eastAsia="Arial" w:hAnsi="Arial"/>
          <w:sz w:val="14"/>
          <w:szCs w:val="14"/>
          <w:color w:val="auto"/>
        </w:rPr>
        <w:t>6, 2024, the Company’s stockholders approved the Amended and Restated 2022 Plan. The maximum aggregate number of shares that may be issued under the Amended and Restated 2022 Plan is 4,233,782 shares of our common stock and is subject to adjustment in connection with changes in capitalization, reorganization and change in control events. Shares subject to awards granted under the Amended and Restated 2022 Plan that expire unexercised or are forfeited, will become available for future grant under the Amended and Restated 2022 Plan. However, shares used to pay the exercise price of an award or to satisfy the tax withholding obligations related to an award will not become available for future grant under the Amended and Restated 2022 Plan. Awards granted subsequent to June 6, 2024 were granted under the Amended and Restated 2022 Plan.</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240"/>
          </w:cols>
          <w:pgMar w:left="320" w:top="871" w:right="339" w:bottom="1440" w:gutter="0" w:footer="0" w:header="0"/>
        </w:sectPr>
      </w:pPr>
    </w:p>
    <w:bookmarkStart w:id="50" w:name="page51"/>
    <w:bookmarkEnd w:id="50"/>
    <w:p>
      <w:pPr>
        <w:jc w:val="center"/>
        <w:spacing w:after="0"/>
        <w:rPr>
          <w:sz w:val="20"/>
          <w:szCs w:val="20"/>
          <w:color w:val="auto"/>
        </w:rPr>
      </w:pPr>
      <w:r>
        <w:rPr>
          <w:rFonts w:ascii="Arial" w:cs="Arial" w:eastAsia="Arial" w:hAnsi="Arial"/>
          <w:sz w:val="25"/>
          <w:szCs w:val="25"/>
          <w:b w:val="1"/>
          <w:bCs w:val="1"/>
          <w:color w:val="EF3A35"/>
        </w:rPr>
        <w:t>QUESTIONS AND ANSWERS ABOUT THE PROXY MATERIALS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EF3A35"/>
        </w:rPr>
        <w:t>AND THE 2025 ANNUAL MEETING</w:t>
      </w: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b w:val="1"/>
          <w:bCs w:val="1"/>
          <w:color w:val="EF3A35"/>
        </w:rPr>
        <w:t>Proxy Materials</w:t>
      </w:r>
    </w:p>
    <w:p>
      <w:pPr>
        <w:spacing w:after="0" w:line="148" w:lineRule="exact"/>
        <w:rPr>
          <w:sz w:val="20"/>
          <w:szCs w:val="20"/>
          <w:color w:val="auto"/>
        </w:rPr>
      </w:pPr>
    </w:p>
    <w:p>
      <w:pPr>
        <w:ind w:left="440" w:hanging="414"/>
        <w:spacing w:after="0"/>
        <w:tabs>
          <w:tab w:leader="none" w:pos="44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Why am I receiving these materials?</w:t>
      </w:r>
    </w:p>
    <w:p>
      <w:pPr>
        <w:spacing w:after="0" w:line="212"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 Board of Directors (the “</w:t>
      </w:r>
      <w:r>
        <w:rPr>
          <w:rFonts w:ascii="Arial" w:cs="Arial" w:eastAsia="Arial" w:hAnsi="Arial"/>
          <w:sz w:val="18"/>
          <w:szCs w:val="18"/>
          <w:u w:val="single" w:color="auto"/>
          <w:color w:val="auto"/>
        </w:rPr>
        <w:t>Board</w:t>
      </w:r>
      <w:r>
        <w:rPr>
          <w:rFonts w:ascii="Arial" w:cs="Arial" w:eastAsia="Arial" w:hAnsi="Arial"/>
          <w:sz w:val="18"/>
          <w:szCs w:val="18"/>
          <w:color w:val="auto"/>
        </w:rPr>
        <w:t>”) of Shutterstock, Inc. (“</w:t>
      </w:r>
      <w:r>
        <w:rPr>
          <w:rFonts w:ascii="Arial" w:cs="Arial" w:eastAsia="Arial" w:hAnsi="Arial"/>
          <w:sz w:val="18"/>
          <w:szCs w:val="18"/>
          <w:u w:val="single" w:color="auto"/>
          <w:color w:val="auto"/>
        </w:rPr>
        <w:t>Shutterstock</w:t>
      </w:r>
      <w:r>
        <w:rPr>
          <w:rFonts w:ascii="Arial" w:cs="Arial" w:eastAsia="Arial" w:hAnsi="Arial"/>
          <w:sz w:val="18"/>
          <w:szCs w:val="18"/>
          <w:color w:val="auto"/>
        </w:rPr>
        <w:t>” or the “</w:t>
      </w:r>
      <w:r>
        <w:rPr>
          <w:rFonts w:ascii="Arial" w:cs="Arial" w:eastAsia="Arial" w:hAnsi="Arial"/>
          <w:sz w:val="18"/>
          <w:szCs w:val="18"/>
          <w:u w:val="single" w:color="auto"/>
          <w:color w:val="auto"/>
        </w:rPr>
        <w:t>Company</w:t>
      </w:r>
      <w:r>
        <w:rPr>
          <w:rFonts w:ascii="Arial" w:cs="Arial" w:eastAsia="Arial" w:hAnsi="Arial"/>
          <w:sz w:val="18"/>
          <w:szCs w:val="18"/>
          <w:color w:val="auto"/>
        </w:rPr>
        <w:t>”) is providing these proxy materials to you in connection with the solicitation of proxies for use at the 2025 Annual Meeting of Stockholders to be held on Monday, December 22, 2025 at 10:00 a.m. Eastern Time (the “</w:t>
      </w:r>
      <w:r>
        <w:rPr>
          <w:rFonts w:ascii="Arial" w:cs="Arial" w:eastAsia="Arial" w:hAnsi="Arial"/>
          <w:sz w:val="18"/>
          <w:szCs w:val="18"/>
          <w:u w:val="single" w:color="auto"/>
          <w:color w:val="auto"/>
        </w:rPr>
        <w:t>2025 Annual Meeting</w:t>
      </w:r>
      <w:r>
        <w:rPr>
          <w:rFonts w:ascii="Arial" w:cs="Arial" w:eastAsia="Arial" w:hAnsi="Arial"/>
          <w:sz w:val="18"/>
          <w:szCs w:val="18"/>
          <w:color w:val="auto"/>
        </w:rPr>
        <w:t>”). As a stockholder of record, you are invited to attend the 2025 Annual Meeting and are requested to vote on the items of business described in this Proxy Statement. This Proxy Statement includes information that we are required to provide to you under Securities and Exchange Commission (“</w:t>
      </w:r>
      <w:r>
        <w:rPr>
          <w:rFonts w:ascii="Arial" w:cs="Arial" w:eastAsia="Arial" w:hAnsi="Arial"/>
          <w:sz w:val="18"/>
          <w:szCs w:val="18"/>
          <w:u w:val="single" w:color="auto"/>
          <w:color w:val="auto"/>
        </w:rPr>
        <w:t>SEC</w:t>
      </w:r>
      <w:r>
        <w:rPr>
          <w:rFonts w:ascii="Arial" w:cs="Arial" w:eastAsia="Arial" w:hAnsi="Arial"/>
          <w:sz w:val="18"/>
          <w:szCs w:val="18"/>
          <w:color w:val="auto"/>
        </w:rPr>
        <w:t>”) rules and that is designed to assist you in voting your shares.</w:t>
      </w:r>
    </w:p>
    <w:p>
      <w:pPr>
        <w:spacing w:after="0" w:line="125" w:lineRule="exact"/>
        <w:rPr>
          <w:sz w:val="20"/>
          <w:szCs w:val="20"/>
          <w:color w:val="auto"/>
        </w:rPr>
      </w:pPr>
    </w:p>
    <w:p>
      <w:pPr>
        <w:ind w:left="440" w:hanging="414"/>
        <w:spacing w:after="0"/>
        <w:tabs>
          <w:tab w:leader="none" w:pos="44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What is included in the proxy materials?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proxy materials include:</w:t>
      </w:r>
    </w:p>
    <w:p>
      <w:pPr>
        <w:spacing w:after="0" w:line="171" w:lineRule="exact"/>
        <w:rPr>
          <w:sz w:val="20"/>
          <w:szCs w:val="20"/>
          <w:color w:val="auto"/>
        </w:rPr>
      </w:pPr>
    </w:p>
    <w:p>
      <w:pPr>
        <w:ind w:left="660" w:hanging="310"/>
        <w:spacing w:after="0"/>
        <w:tabs>
          <w:tab w:leader="none" w:pos="660" w:val="left"/>
        </w:tabs>
        <w:numPr>
          <w:ilvl w:val="1"/>
          <w:numId w:val="50"/>
        </w:numPr>
        <w:rPr>
          <w:rFonts w:ascii="Arial" w:cs="Arial" w:eastAsia="Arial" w:hAnsi="Arial"/>
          <w:sz w:val="18"/>
          <w:szCs w:val="18"/>
          <w:color w:val="auto"/>
        </w:rPr>
      </w:pPr>
      <w:r>
        <w:rPr>
          <w:rFonts w:ascii="Arial" w:cs="Arial" w:eastAsia="Arial" w:hAnsi="Arial"/>
          <w:sz w:val="18"/>
          <w:szCs w:val="18"/>
          <w:color w:val="auto"/>
        </w:rPr>
        <w:t>our Proxy Statement for the 2025 Annual Meeting;</w:t>
      </w:r>
    </w:p>
    <w:p>
      <w:pPr>
        <w:spacing w:after="0" w:line="252" w:lineRule="exact"/>
        <w:rPr>
          <w:rFonts w:ascii="Arial" w:cs="Arial" w:eastAsia="Arial" w:hAnsi="Arial"/>
          <w:sz w:val="18"/>
          <w:szCs w:val="18"/>
          <w:color w:val="auto"/>
        </w:rPr>
      </w:pPr>
    </w:p>
    <w:p>
      <w:pPr>
        <w:ind w:left="680" w:right="220" w:hanging="330"/>
        <w:spacing w:after="0" w:line="273" w:lineRule="auto"/>
        <w:tabs>
          <w:tab w:leader="none" w:pos="675" w:val="left"/>
        </w:tabs>
        <w:numPr>
          <w:ilvl w:val="1"/>
          <w:numId w:val="50"/>
        </w:numPr>
        <w:rPr>
          <w:rFonts w:ascii="Arial" w:cs="Arial" w:eastAsia="Arial" w:hAnsi="Arial"/>
          <w:sz w:val="18"/>
          <w:szCs w:val="18"/>
          <w:color w:val="auto"/>
        </w:rPr>
      </w:pPr>
      <w:r>
        <w:rPr>
          <w:rFonts w:ascii="Arial" w:cs="Arial" w:eastAsia="Arial" w:hAnsi="Arial"/>
          <w:sz w:val="18"/>
          <w:szCs w:val="18"/>
          <w:color w:val="auto"/>
        </w:rPr>
        <w:t>our 2024 Annual Report to Stockholders (the “</w:t>
      </w:r>
      <w:r>
        <w:rPr>
          <w:rFonts w:ascii="Arial" w:cs="Arial" w:eastAsia="Arial" w:hAnsi="Arial"/>
          <w:sz w:val="18"/>
          <w:szCs w:val="18"/>
          <w:u w:val="single" w:color="auto"/>
          <w:color w:val="auto"/>
        </w:rPr>
        <w:t>2024 Annual Report</w:t>
      </w:r>
      <w:r>
        <w:rPr>
          <w:rFonts w:ascii="Arial" w:cs="Arial" w:eastAsia="Arial" w:hAnsi="Arial"/>
          <w:sz w:val="18"/>
          <w:szCs w:val="18"/>
          <w:color w:val="auto"/>
        </w:rPr>
        <w:t>”), which includes our Annual Report on Form 10-K for the fiscal year ended December 31, 2024 and our Form 10-K/A filed on March 28, 2025 (the “</w:t>
      </w:r>
      <w:r>
        <w:rPr>
          <w:rFonts w:ascii="Arial" w:cs="Arial" w:eastAsia="Arial" w:hAnsi="Arial"/>
          <w:sz w:val="18"/>
          <w:szCs w:val="18"/>
          <w:u w:val="single" w:color="auto"/>
          <w:color w:val="auto"/>
        </w:rPr>
        <w:t>2024 Form 10-K</w:t>
      </w:r>
      <w:r>
        <w:rPr>
          <w:rFonts w:ascii="Arial" w:cs="Arial" w:eastAsia="Arial" w:hAnsi="Arial"/>
          <w:sz w:val="18"/>
          <w:szCs w:val="18"/>
          <w:color w:val="auto"/>
        </w:rPr>
        <w:t>”); and</w:t>
      </w:r>
    </w:p>
    <w:p>
      <w:pPr>
        <w:spacing w:after="0" w:line="1" w:lineRule="exact"/>
        <w:rPr>
          <w:rFonts w:ascii="Arial" w:cs="Arial" w:eastAsia="Arial" w:hAnsi="Arial"/>
          <w:sz w:val="18"/>
          <w:szCs w:val="18"/>
          <w:color w:val="auto"/>
        </w:rPr>
      </w:pPr>
    </w:p>
    <w:p>
      <w:pPr>
        <w:ind w:left="660" w:hanging="310"/>
        <w:spacing w:after="0"/>
        <w:tabs>
          <w:tab w:leader="none" w:pos="660" w:val="left"/>
        </w:tabs>
        <w:numPr>
          <w:ilvl w:val="1"/>
          <w:numId w:val="50"/>
        </w:numPr>
        <w:rPr>
          <w:rFonts w:ascii="Arial" w:cs="Arial" w:eastAsia="Arial" w:hAnsi="Arial"/>
          <w:sz w:val="18"/>
          <w:szCs w:val="18"/>
          <w:color w:val="auto"/>
        </w:rPr>
      </w:pPr>
      <w:r>
        <w:rPr>
          <w:rFonts w:ascii="Arial" w:cs="Arial" w:eastAsia="Arial" w:hAnsi="Arial"/>
          <w:sz w:val="18"/>
          <w:szCs w:val="18"/>
          <w:color w:val="auto"/>
        </w:rPr>
        <w:t>the proxy card or a voting instruction form for the 2025 Annual Meeting.</w:t>
      </w:r>
    </w:p>
    <w:p>
      <w:pPr>
        <w:spacing w:after="0" w:line="233" w:lineRule="exact"/>
        <w:rPr>
          <w:rFonts w:ascii="Arial" w:cs="Arial" w:eastAsia="Arial" w:hAnsi="Arial"/>
          <w:sz w:val="18"/>
          <w:szCs w:val="18"/>
          <w:color w:val="auto"/>
        </w:rPr>
      </w:pPr>
    </w:p>
    <w:p>
      <w:pPr>
        <w:ind w:left="440" w:hanging="414"/>
        <w:spacing w:after="0"/>
        <w:tabs>
          <w:tab w:leader="none" w:pos="440" w:val="left"/>
        </w:tabs>
        <w:numPr>
          <w:ilvl w:val="0"/>
          <w:numId w:val="50"/>
        </w:numPr>
        <w:rPr>
          <w:rFonts w:ascii="Arial" w:cs="Arial" w:eastAsia="Arial" w:hAnsi="Arial"/>
          <w:sz w:val="36"/>
          <w:szCs w:val="36"/>
          <w:b w:val="1"/>
          <w:bCs w:val="1"/>
          <w:color w:val="auto"/>
          <w:vertAlign w:val="superscript"/>
        </w:rPr>
      </w:pPr>
      <w:r>
        <w:rPr>
          <w:rFonts w:ascii="Arial" w:cs="Arial" w:eastAsia="Arial" w:hAnsi="Arial"/>
          <w:sz w:val="18"/>
          <w:szCs w:val="18"/>
          <w:b w:val="1"/>
          <w:bCs w:val="1"/>
          <w:color w:val="auto"/>
        </w:rPr>
        <w:t>What information is included in the Proxy Statement?</w:t>
      </w:r>
    </w:p>
    <w:p>
      <w:pPr>
        <w:spacing w:after="0" w:line="307" w:lineRule="exact"/>
        <w:rPr>
          <w:sz w:val="20"/>
          <w:szCs w:val="20"/>
          <w:color w:val="auto"/>
        </w:rPr>
      </w:pPr>
    </w:p>
    <w:p>
      <w:pPr>
        <w:ind w:right="120" w:firstLine="324"/>
        <w:spacing w:after="0" w:line="268" w:lineRule="auto"/>
        <w:rPr>
          <w:sz w:val="20"/>
          <w:szCs w:val="20"/>
          <w:color w:val="auto"/>
        </w:rPr>
      </w:pPr>
      <w:r>
        <w:rPr>
          <w:rFonts w:ascii="Arial" w:cs="Arial" w:eastAsia="Arial" w:hAnsi="Arial"/>
          <w:sz w:val="18"/>
          <w:szCs w:val="18"/>
          <w:color w:val="auto"/>
        </w:rPr>
        <w:t>The information in this Proxy Statement relates to the proposals to be voted on at the 2025 Annual Meeting, the voting process, our Board and Board committees, the compensation of directors and certain executive officers, corporate governance matters, and certain other required information.</w:t>
      </w:r>
    </w:p>
    <w:p>
      <w:pPr>
        <w:spacing w:after="0" w:line="103" w:lineRule="exact"/>
        <w:rPr>
          <w:sz w:val="20"/>
          <w:szCs w:val="20"/>
          <w:color w:val="auto"/>
        </w:rPr>
      </w:pPr>
    </w:p>
    <w:p>
      <w:pPr>
        <w:ind w:left="440" w:hanging="414"/>
        <w:spacing w:after="0"/>
        <w:tabs>
          <w:tab w:leader="none" w:pos="44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How can I access the proxy materials over the Internet?</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Proxy Statement and 2024 Annual Report, as well as other financial information, are available on our Investor Relations website at: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investor.shutterstock.com.</w:t>
      </w:r>
    </w:p>
    <w:p>
      <w:pPr>
        <w:spacing w:after="0" w:line="9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proxy materials are also available for viewing at www.proxyvote.com.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240"/>
          </w:cols>
          <w:pgMar w:left="320" w:top="871" w:right="339" w:bottom="1440" w:gutter="0" w:footer="0" w:header="0"/>
        </w:sectPr>
      </w:pPr>
    </w:p>
    <w:bookmarkStart w:id="51" w:name="page52"/>
    <w:bookmarkEnd w:id="51"/>
    <w:p>
      <w:pPr>
        <w:spacing w:after="0"/>
        <w:rPr>
          <w:sz w:val="20"/>
          <w:szCs w:val="20"/>
          <w:color w:val="auto"/>
        </w:rPr>
      </w:pPr>
      <w:r>
        <w:rPr>
          <w:rFonts w:ascii="Arial" w:cs="Arial" w:eastAsia="Arial" w:hAnsi="Arial"/>
          <w:sz w:val="22"/>
          <w:szCs w:val="22"/>
          <w:b w:val="1"/>
          <w:bCs w:val="1"/>
          <w:color w:val="EF3A35"/>
        </w:rPr>
        <w:t>Voting Information</w:t>
      </w:r>
    </w:p>
    <w:p>
      <w:pPr>
        <w:spacing w:after="0" w:line="148" w:lineRule="exact"/>
        <w:rPr>
          <w:sz w:val="20"/>
          <w:szCs w:val="20"/>
          <w:color w:val="auto"/>
        </w:rPr>
      </w:pPr>
    </w:p>
    <w:p>
      <w:pPr>
        <w:ind w:left="440" w:hanging="414"/>
        <w:spacing w:after="0"/>
        <w:tabs>
          <w:tab w:leader="none" w:pos="44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What proposals am I voting on at the 2025 Annual Meeting?</w:t>
      </w:r>
    </w:p>
    <w:p>
      <w:pPr>
        <w:spacing w:after="0" w:line="21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You are voting on four proposals at the 2025 Annual Meeting:</w:t>
      </w:r>
    </w:p>
    <w:p>
      <w:pPr>
        <w:spacing w:after="0" w:line="347" w:lineRule="exact"/>
        <w:rPr>
          <w:sz w:val="20"/>
          <w:szCs w:val="20"/>
          <w:color w:val="auto"/>
        </w:rPr>
      </w:pPr>
    </w:p>
    <w:p>
      <w:pPr>
        <w:ind w:left="700" w:right="420" w:hanging="314"/>
        <w:spacing w:after="0" w:line="268" w:lineRule="auto"/>
        <w:tabs>
          <w:tab w:leader="none" w:pos="695" w:val="left"/>
        </w:tabs>
        <w:numPr>
          <w:ilvl w:val="0"/>
          <w:numId w:val="53"/>
        </w:numPr>
        <w:rPr>
          <w:rFonts w:ascii="Arial" w:cs="Arial" w:eastAsia="Arial" w:hAnsi="Arial"/>
          <w:sz w:val="18"/>
          <w:szCs w:val="18"/>
          <w:color w:val="auto"/>
        </w:rPr>
      </w:pPr>
      <w:r>
        <w:rPr>
          <w:rFonts w:ascii="Arial" w:cs="Arial" w:eastAsia="Arial" w:hAnsi="Arial"/>
          <w:sz w:val="18"/>
          <w:szCs w:val="18"/>
          <w:b w:val="1"/>
          <w:bCs w:val="1"/>
          <w:color w:val="auto"/>
        </w:rPr>
        <w:t xml:space="preserve">Proposal One: </w:t>
      </w:r>
      <w:r>
        <w:rPr>
          <w:rFonts w:ascii="Arial" w:cs="Arial" w:eastAsia="Arial" w:hAnsi="Arial"/>
          <w:sz w:val="18"/>
          <w:szCs w:val="18"/>
          <w:color w:val="auto"/>
        </w:rPr>
        <w:t>Election of each of Jonathan Oringer, Rachna Bhasin and Jaime Teevan to the Board, each to serve as a</w:t>
      </w:r>
      <w:r>
        <w:rPr>
          <w:rFonts w:ascii="Arial" w:cs="Arial" w:eastAsia="Arial" w:hAnsi="Arial"/>
          <w:sz w:val="18"/>
          <w:szCs w:val="18"/>
          <w:b w:val="1"/>
          <w:bCs w:val="1"/>
          <w:color w:val="auto"/>
        </w:rPr>
        <w:t xml:space="preserve"> </w:t>
      </w:r>
      <w:r>
        <w:rPr>
          <w:rFonts w:ascii="Arial" w:cs="Arial" w:eastAsia="Arial" w:hAnsi="Arial"/>
          <w:sz w:val="18"/>
          <w:szCs w:val="18"/>
          <w:color w:val="auto"/>
        </w:rPr>
        <w:t>Class I director for a three-year term ending at the 2028 Annual Meeting of Stockholders or until such director’s successor has been duly elected or appointed and qualified, or until such director’s earlier resignation or removal.</w:t>
      </w:r>
    </w:p>
    <w:p>
      <w:pPr>
        <w:spacing w:after="0" w:line="35" w:lineRule="exact"/>
        <w:rPr>
          <w:rFonts w:ascii="Arial" w:cs="Arial" w:eastAsia="Arial" w:hAnsi="Arial"/>
          <w:sz w:val="18"/>
          <w:szCs w:val="18"/>
          <w:color w:val="auto"/>
        </w:rPr>
      </w:pPr>
    </w:p>
    <w:p>
      <w:pPr>
        <w:ind w:left="700" w:right="460"/>
        <w:spacing w:after="0" w:line="255" w:lineRule="auto"/>
        <w:rPr>
          <w:rFonts w:ascii="Arial" w:cs="Arial" w:eastAsia="Arial" w:hAnsi="Arial"/>
          <w:sz w:val="18"/>
          <w:szCs w:val="18"/>
          <w:color w:val="auto"/>
        </w:rPr>
      </w:pPr>
      <w:r>
        <w:rPr>
          <w:rFonts w:ascii="Arial" w:cs="Arial" w:eastAsia="Arial" w:hAnsi="Arial"/>
          <w:sz w:val="18"/>
          <w:szCs w:val="18"/>
          <w:color w:val="auto"/>
        </w:rPr>
        <w:t>As requested by Getty Images, the Company has agreed to use reasonable best efforts to cause to be delivered to Getty Images prior to the closing of the Merger, resignations executed by directors and officers of Shutterstock and its subsidiaries, in each case to be effective upon the effective time of the Merger. Following the Merger, the Getty Images board will have eleven members, consisting of the Chief Executive Officer of Getty Images, six directors to be designated by Getty Images from among the directors serving on the Getty Images board as of immediately prior to the Merger and four directors to be designated by Shutterstock from among the directors serving on the Shutterstock board as of immediately prior to the Merger. Paul J. Hennessy is expected to be appointed to serve as one of the members of the Getty Images board, and the other three directors to be designated by Shutterstock have not yet been determined as of the date of this Proxy Statement;</w:t>
      </w:r>
    </w:p>
    <w:p>
      <w:pPr>
        <w:spacing w:after="0" w:line="22" w:lineRule="exact"/>
        <w:rPr>
          <w:rFonts w:ascii="Arial" w:cs="Arial" w:eastAsia="Arial" w:hAnsi="Arial"/>
          <w:sz w:val="18"/>
          <w:szCs w:val="18"/>
          <w:color w:val="auto"/>
        </w:rPr>
      </w:pPr>
    </w:p>
    <w:p>
      <w:pPr>
        <w:ind w:left="700" w:right="860" w:hanging="314"/>
        <w:spacing w:after="0" w:line="281" w:lineRule="auto"/>
        <w:tabs>
          <w:tab w:leader="none" w:pos="695" w:val="left"/>
        </w:tabs>
        <w:numPr>
          <w:ilvl w:val="0"/>
          <w:numId w:val="53"/>
        </w:numPr>
        <w:rPr>
          <w:rFonts w:ascii="Arial" w:cs="Arial" w:eastAsia="Arial" w:hAnsi="Arial"/>
          <w:sz w:val="18"/>
          <w:szCs w:val="18"/>
          <w:color w:val="auto"/>
        </w:rPr>
      </w:pPr>
      <w:r>
        <w:rPr>
          <w:rFonts w:ascii="Arial" w:cs="Arial" w:eastAsia="Arial" w:hAnsi="Arial"/>
          <w:sz w:val="18"/>
          <w:szCs w:val="18"/>
          <w:b w:val="1"/>
          <w:bCs w:val="1"/>
          <w:color w:val="auto"/>
        </w:rPr>
        <w:t xml:space="preserve">Proposal Two: </w:t>
      </w:r>
      <w:r>
        <w:rPr>
          <w:rFonts w:ascii="Arial" w:cs="Arial" w:eastAsia="Arial" w:hAnsi="Arial"/>
          <w:sz w:val="18"/>
          <w:szCs w:val="18"/>
          <w:color w:val="auto"/>
        </w:rPr>
        <w:t>Approval, on an advisory basis, of the compensation of our named executive officers, as disclosed in this</w:t>
      </w:r>
      <w:r>
        <w:rPr>
          <w:rFonts w:ascii="Arial" w:cs="Arial" w:eastAsia="Arial" w:hAnsi="Arial"/>
          <w:sz w:val="18"/>
          <w:szCs w:val="18"/>
          <w:b w:val="1"/>
          <w:bCs w:val="1"/>
          <w:color w:val="auto"/>
        </w:rPr>
        <w:t xml:space="preserve"> </w:t>
      </w:r>
      <w:r>
        <w:rPr>
          <w:rFonts w:ascii="Arial" w:cs="Arial" w:eastAsia="Arial" w:hAnsi="Arial"/>
          <w:sz w:val="18"/>
          <w:szCs w:val="18"/>
          <w:color w:val="auto"/>
        </w:rPr>
        <w:t>Proxy Statement (“</w:t>
      </w:r>
      <w:r>
        <w:rPr>
          <w:rFonts w:ascii="Arial" w:cs="Arial" w:eastAsia="Arial" w:hAnsi="Arial"/>
          <w:sz w:val="18"/>
          <w:szCs w:val="18"/>
          <w:u w:val="single" w:color="auto"/>
          <w:color w:val="auto"/>
        </w:rPr>
        <w:t>say-on-pay</w:t>
      </w:r>
      <w:r>
        <w:rPr>
          <w:rFonts w:ascii="Arial" w:cs="Arial" w:eastAsia="Arial" w:hAnsi="Arial"/>
          <w:sz w:val="18"/>
          <w:szCs w:val="18"/>
          <w:color w:val="auto"/>
        </w:rPr>
        <w:t>”); and</w:t>
      </w:r>
    </w:p>
    <w:p>
      <w:pPr>
        <w:spacing w:after="0" w:line="1" w:lineRule="exact"/>
        <w:rPr>
          <w:rFonts w:ascii="Arial" w:cs="Arial" w:eastAsia="Arial" w:hAnsi="Arial"/>
          <w:sz w:val="18"/>
          <w:szCs w:val="18"/>
          <w:color w:val="auto"/>
        </w:rPr>
      </w:pPr>
    </w:p>
    <w:p>
      <w:pPr>
        <w:ind w:left="700" w:right="1020" w:hanging="314"/>
        <w:spacing w:after="0" w:line="287" w:lineRule="auto"/>
        <w:tabs>
          <w:tab w:leader="none" w:pos="695" w:val="left"/>
        </w:tabs>
        <w:numPr>
          <w:ilvl w:val="0"/>
          <w:numId w:val="53"/>
        </w:numPr>
        <w:rPr>
          <w:rFonts w:ascii="Arial" w:cs="Arial" w:eastAsia="Arial" w:hAnsi="Arial"/>
          <w:sz w:val="18"/>
          <w:szCs w:val="18"/>
          <w:color w:val="auto"/>
        </w:rPr>
      </w:pPr>
      <w:r>
        <w:rPr>
          <w:rFonts w:ascii="Arial" w:cs="Arial" w:eastAsia="Arial" w:hAnsi="Arial"/>
          <w:sz w:val="18"/>
          <w:szCs w:val="18"/>
          <w:b w:val="1"/>
          <w:bCs w:val="1"/>
          <w:color w:val="auto"/>
        </w:rPr>
        <w:t>Proposal Three</w:t>
      </w:r>
      <w:r>
        <w:rPr>
          <w:rFonts w:ascii="Arial" w:cs="Arial" w:eastAsia="Arial" w:hAnsi="Arial"/>
          <w:sz w:val="18"/>
          <w:szCs w:val="18"/>
          <w:color w:val="auto"/>
        </w:rPr>
        <w:t>: Ratification of the appointment of PricewaterhouseCoopers LLP as our independent registered public</w:t>
      </w:r>
      <w:r>
        <w:rPr>
          <w:rFonts w:ascii="Arial" w:cs="Arial" w:eastAsia="Arial" w:hAnsi="Arial"/>
          <w:sz w:val="18"/>
          <w:szCs w:val="18"/>
          <w:b w:val="1"/>
          <w:bCs w:val="1"/>
          <w:color w:val="auto"/>
        </w:rPr>
        <w:t xml:space="preserve"> </w:t>
      </w:r>
      <w:r>
        <w:rPr>
          <w:rFonts w:ascii="Arial" w:cs="Arial" w:eastAsia="Arial" w:hAnsi="Arial"/>
          <w:sz w:val="18"/>
          <w:szCs w:val="18"/>
          <w:color w:val="auto"/>
        </w:rPr>
        <w:t>accounting firm for the fiscal year ending December 31, 2025.</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will also consider other business that properly comes before the 2025 Annual Meeting.</w:t>
      </w:r>
    </w:p>
    <w:p>
      <w:pPr>
        <w:spacing w:after="0" w:line="158" w:lineRule="exact"/>
        <w:rPr>
          <w:sz w:val="20"/>
          <w:szCs w:val="20"/>
          <w:color w:val="auto"/>
        </w:rPr>
      </w:pPr>
    </w:p>
    <w:p>
      <w:pPr>
        <w:ind w:left="440" w:hanging="414"/>
        <w:spacing w:after="0"/>
        <w:tabs>
          <w:tab w:leader="none" w:pos="44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How does the Board recommend I vote on the proposals?</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Board recommends that you vote your shares:</w:t>
      </w:r>
    </w:p>
    <w:p>
      <w:pPr>
        <w:spacing w:after="0" w:line="347" w:lineRule="exact"/>
        <w:rPr>
          <w:sz w:val="20"/>
          <w:szCs w:val="20"/>
          <w:color w:val="auto"/>
        </w:rPr>
      </w:pPr>
    </w:p>
    <w:p>
      <w:pPr>
        <w:ind w:left="700" w:right="800" w:hanging="314"/>
        <w:spacing w:after="0" w:line="268" w:lineRule="auto"/>
        <w:tabs>
          <w:tab w:leader="none" w:pos="695" w:val="left"/>
        </w:tabs>
        <w:numPr>
          <w:ilvl w:val="0"/>
          <w:numId w:val="55"/>
        </w:numPr>
        <w:rPr>
          <w:rFonts w:ascii="Arial" w:cs="Arial" w:eastAsia="Arial" w:hAnsi="Arial"/>
          <w:sz w:val="18"/>
          <w:szCs w:val="18"/>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election of each of Jonathan Oringer, Rachna Bhasin and Jaime Teevan to the Board, each to serve as a Class I</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 for a three-year term ending at the 2028 Annual Meeting of Stockholders or until such director’s successor has been duly elected or appointed and qualified, or until such director’s earlier resignation or removal;</w:t>
      </w:r>
    </w:p>
    <w:p>
      <w:pPr>
        <w:spacing w:after="0" w:line="184" w:lineRule="exact"/>
        <w:rPr>
          <w:rFonts w:ascii="Arial" w:cs="Arial" w:eastAsia="Arial" w:hAnsi="Arial"/>
          <w:sz w:val="18"/>
          <w:szCs w:val="18"/>
          <w:color w:val="auto"/>
        </w:rPr>
      </w:pPr>
    </w:p>
    <w:p>
      <w:pPr>
        <w:ind w:left="700" w:right="1060" w:hanging="314"/>
        <w:spacing w:after="0" w:line="287" w:lineRule="auto"/>
        <w:tabs>
          <w:tab w:leader="none" w:pos="695" w:val="left"/>
        </w:tabs>
        <w:numPr>
          <w:ilvl w:val="0"/>
          <w:numId w:val="55"/>
        </w:numPr>
        <w:rPr>
          <w:rFonts w:ascii="Arial" w:cs="Arial" w:eastAsia="Arial" w:hAnsi="Arial"/>
          <w:sz w:val="18"/>
          <w:szCs w:val="18"/>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approval of the compensation of our named executive officers, as disclosed in this Proxy Statement (“say-on-pay”); and</w:t>
      </w:r>
    </w:p>
    <w:p>
      <w:pPr>
        <w:spacing w:after="0" w:line="166" w:lineRule="exact"/>
        <w:rPr>
          <w:rFonts w:ascii="Arial" w:cs="Arial" w:eastAsia="Arial" w:hAnsi="Arial"/>
          <w:sz w:val="18"/>
          <w:szCs w:val="18"/>
          <w:color w:val="auto"/>
        </w:rPr>
      </w:pPr>
    </w:p>
    <w:p>
      <w:pPr>
        <w:ind w:left="700" w:right="840" w:hanging="314"/>
        <w:spacing w:after="0" w:line="287" w:lineRule="auto"/>
        <w:tabs>
          <w:tab w:leader="none" w:pos="695" w:val="left"/>
        </w:tabs>
        <w:numPr>
          <w:ilvl w:val="0"/>
          <w:numId w:val="55"/>
        </w:numPr>
        <w:rPr>
          <w:rFonts w:ascii="Arial" w:cs="Arial" w:eastAsia="Arial" w:hAnsi="Arial"/>
          <w:sz w:val="18"/>
          <w:szCs w:val="18"/>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ratification of the appointment of PricewaterhouseCoopers LLP as our independent registered public accounting</w:t>
      </w:r>
      <w:r>
        <w:rPr>
          <w:rFonts w:ascii="Arial" w:cs="Arial" w:eastAsia="Arial" w:hAnsi="Arial"/>
          <w:sz w:val="18"/>
          <w:szCs w:val="18"/>
          <w:b w:val="1"/>
          <w:bCs w:val="1"/>
          <w:color w:val="auto"/>
        </w:rPr>
        <w:t xml:space="preserve"> </w:t>
      </w:r>
      <w:r>
        <w:rPr>
          <w:rFonts w:ascii="Arial" w:cs="Arial" w:eastAsia="Arial" w:hAnsi="Arial"/>
          <w:sz w:val="18"/>
          <w:szCs w:val="18"/>
          <w:color w:val="auto"/>
        </w:rPr>
        <w:t>firm for the fiscal year ending December 31, 2025.</w:t>
      </w:r>
    </w:p>
    <w:p>
      <w:pPr>
        <w:spacing w:after="0" w:line="166" w:lineRule="exact"/>
        <w:rPr>
          <w:sz w:val="20"/>
          <w:szCs w:val="20"/>
          <w:color w:val="auto"/>
        </w:rPr>
      </w:pPr>
    </w:p>
    <w:p>
      <w:pPr>
        <w:ind w:right="340" w:firstLine="324"/>
        <w:spacing w:after="0" w:line="268" w:lineRule="auto"/>
        <w:rPr>
          <w:sz w:val="20"/>
          <w:szCs w:val="20"/>
          <w:color w:val="auto"/>
        </w:rPr>
      </w:pPr>
      <w:r>
        <w:rPr>
          <w:rFonts w:ascii="Arial" w:cs="Arial" w:eastAsia="Arial" w:hAnsi="Arial"/>
          <w:sz w:val="18"/>
          <w:szCs w:val="18"/>
          <w:color w:val="auto"/>
        </w:rPr>
        <w:t>Unless instructed to the contrary in the proxy, the shares represented by the proxies will be voted as recommended by the Board for each proposal. If any other matter properly comes before the 2025 Annual Meeting, the proxy holders will vote on that matter in their discretion.</w:t>
      </w:r>
    </w:p>
    <w:p>
      <w:pPr>
        <w:spacing w:after="0" w:line="103" w:lineRule="exact"/>
        <w:rPr>
          <w:sz w:val="20"/>
          <w:szCs w:val="20"/>
          <w:color w:val="auto"/>
        </w:rPr>
      </w:pPr>
    </w:p>
    <w:p>
      <w:pPr>
        <w:ind w:left="440" w:hanging="414"/>
        <w:spacing w:after="0"/>
        <w:tabs>
          <w:tab w:leader="none" w:pos="44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Who is entitled to vote at the 2025 Annual Meeting?</w:t>
      </w:r>
    </w:p>
    <w:p>
      <w:pPr>
        <w:spacing w:after="0" w:line="198"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 record date for the 2025 Annual Meeting is November 19, 2025 (the “</w:t>
      </w:r>
      <w:r>
        <w:rPr>
          <w:rFonts w:ascii="Arial" w:cs="Arial" w:eastAsia="Arial" w:hAnsi="Arial"/>
          <w:sz w:val="18"/>
          <w:szCs w:val="18"/>
          <w:u w:val="single" w:color="auto"/>
          <w:color w:val="auto"/>
        </w:rPr>
        <w:t>Record Date</w:t>
      </w:r>
      <w:r>
        <w:rPr>
          <w:rFonts w:ascii="Arial" w:cs="Arial" w:eastAsia="Arial" w:hAnsi="Arial"/>
          <w:sz w:val="18"/>
          <w:szCs w:val="18"/>
          <w:color w:val="auto"/>
        </w:rPr>
        <w:t>”). Stockholders of record and beneficial owners as of that date are entitled to vote at the 2025 Annual Meeting. You are considered a stockholder of record if you hold shares of our common stock, $0.01 par value per share (“</w:t>
      </w:r>
      <w:r>
        <w:rPr>
          <w:rFonts w:ascii="Arial" w:cs="Arial" w:eastAsia="Arial" w:hAnsi="Arial"/>
          <w:sz w:val="18"/>
          <w:szCs w:val="18"/>
          <w:u w:val="single" w:color="auto"/>
          <w:color w:val="auto"/>
        </w:rPr>
        <w:t>Common Stock</w:t>
      </w:r>
      <w:r>
        <w:rPr>
          <w:rFonts w:ascii="Arial" w:cs="Arial" w:eastAsia="Arial" w:hAnsi="Arial"/>
          <w:sz w:val="18"/>
          <w:szCs w:val="18"/>
          <w:color w:val="auto"/>
        </w:rPr>
        <w:t>”) in your name in an account with our stock transfer agent, American Stock Transfer &amp; Trust Company (“</w:t>
      </w:r>
      <w:r>
        <w:rPr>
          <w:rFonts w:ascii="Arial" w:cs="Arial" w:eastAsia="Arial" w:hAnsi="Arial"/>
          <w:sz w:val="18"/>
          <w:szCs w:val="18"/>
          <w:u w:val="single" w:color="auto"/>
          <w:color w:val="auto"/>
        </w:rPr>
        <w:t>AST</w:t>
      </w:r>
      <w:r>
        <w:rPr>
          <w:rFonts w:ascii="Arial" w:cs="Arial" w:eastAsia="Arial" w:hAnsi="Arial"/>
          <w:sz w:val="18"/>
          <w:szCs w:val="18"/>
          <w:color w:val="auto"/>
        </w:rPr>
        <w:t>”). You are a beneficial owner and your shares are considered to be held in “street name” if you hold Common Stock indirectly through a broker, bank or other nominee.</w:t>
      </w:r>
    </w:p>
    <w:p>
      <w:pPr>
        <w:spacing w:after="0" w:line="71" w:lineRule="exact"/>
        <w:rPr>
          <w:sz w:val="20"/>
          <w:szCs w:val="20"/>
          <w:color w:val="auto"/>
        </w:rPr>
      </w:pPr>
    </w:p>
    <w:p>
      <w:pPr>
        <w:ind w:right="40" w:firstLine="324"/>
        <w:spacing w:after="0" w:line="268" w:lineRule="auto"/>
        <w:rPr>
          <w:sz w:val="20"/>
          <w:szCs w:val="20"/>
          <w:color w:val="auto"/>
        </w:rPr>
      </w:pPr>
      <w:r>
        <w:rPr>
          <w:rFonts w:ascii="Arial" w:cs="Arial" w:eastAsia="Arial" w:hAnsi="Arial"/>
          <w:sz w:val="18"/>
          <w:szCs w:val="18"/>
          <w:color w:val="auto"/>
        </w:rPr>
        <w:t>On the Record Date, we had 35,520,353 shares of Common Stock outstanding. A list of stockholders as of that date will be available for inspection at the 2025 Annual Meeting and for ten days before the 2025 Annual Meeting, in each case upon request to our Corporate Secretary.</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160"/>
          </w:cols>
          <w:pgMar w:left="320" w:top="881" w:right="419" w:bottom="1440" w:gutter="0" w:footer="0" w:header="0"/>
        </w:sectPr>
      </w:pPr>
    </w:p>
    <w:bookmarkStart w:id="52" w:name="page53"/>
    <w:bookmarkEnd w:id="52"/>
    <w:p>
      <w:pPr>
        <w:ind w:left="440" w:hanging="414"/>
        <w:spacing w:after="0"/>
        <w:tabs>
          <w:tab w:leader="none" w:pos="44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How do I vote my shares?</w:t>
      </w:r>
    </w:p>
    <w:p>
      <w:pPr>
        <w:spacing w:after="0" w:line="21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You can vote your shares:</w:t>
      </w:r>
    </w:p>
    <w:p>
      <w:pPr>
        <w:spacing w:after="0" w:line="347" w:lineRule="exact"/>
        <w:rPr>
          <w:sz w:val="20"/>
          <w:szCs w:val="20"/>
          <w:color w:val="auto"/>
        </w:rPr>
      </w:pPr>
    </w:p>
    <w:p>
      <w:pPr>
        <w:ind w:left="340" w:hanging="314"/>
        <w:spacing w:after="0"/>
        <w:tabs>
          <w:tab w:leader="none" w:pos="340" w:val="left"/>
        </w:tabs>
        <w:numPr>
          <w:ilvl w:val="0"/>
          <w:numId w:val="58"/>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VOTE BY INTERNET</w:t>
      </w:r>
    </w:p>
    <w:p>
      <w:pPr>
        <w:spacing w:after="0" w:line="183" w:lineRule="exact"/>
        <w:rPr>
          <w:rFonts w:ascii="Times New Roman" w:cs="Times New Roman" w:eastAsia="Times New Roman" w:hAnsi="Times New Roman"/>
          <w:sz w:val="18"/>
          <w:szCs w:val="18"/>
          <w:color w:val="auto"/>
        </w:rPr>
      </w:pPr>
    </w:p>
    <w:p>
      <w:pPr>
        <w:jc w:val="both"/>
        <w:ind w:left="620" w:right="1000" w:hanging="318"/>
        <w:spacing w:after="0" w:line="268" w:lineRule="auto"/>
        <w:tabs>
          <w:tab w:leader="none" w:pos="615" w:val="left"/>
        </w:tabs>
        <w:numPr>
          <w:ilvl w:val="1"/>
          <w:numId w:val="58"/>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Before the Meeting: </w:t>
      </w:r>
      <w:r>
        <w:rPr>
          <w:rFonts w:ascii="Arial" w:cs="Arial" w:eastAsia="Arial" w:hAnsi="Arial"/>
          <w:sz w:val="18"/>
          <w:szCs w:val="18"/>
          <w:color w:val="auto"/>
        </w:rPr>
        <w:t>Go to www.proxyvote.com until 11:59 p.m. Eastern Time on December 21, 2025. Have your proxy</w:t>
      </w:r>
      <w:r>
        <w:rPr>
          <w:rFonts w:ascii="Arial" w:cs="Arial" w:eastAsia="Arial" w:hAnsi="Arial"/>
          <w:sz w:val="18"/>
          <w:szCs w:val="18"/>
          <w:b w:val="1"/>
          <w:bCs w:val="1"/>
          <w:color w:val="auto"/>
        </w:rPr>
        <w:t xml:space="preserve"> </w:t>
      </w:r>
      <w:r>
        <w:rPr>
          <w:rFonts w:ascii="Arial" w:cs="Arial" w:eastAsia="Arial" w:hAnsi="Arial"/>
          <w:sz w:val="18"/>
          <w:szCs w:val="18"/>
          <w:color w:val="auto"/>
        </w:rPr>
        <w:t>card in hand when you access the web site and follow the instructions to obtain your records and to create an electronic voting instruction form.</w:t>
      </w:r>
    </w:p>
    <w:p>
      <w:pPr>
        <w:spacing w:after="0" w:line="196" w:lineRule="exact"/>
        <w:rPr>
          <w:rFonts w:ascii="Times New Roman" w:cs="Times New Roman" w:eastAsia="Times New Roman" w:hAnsi="Times New Roman"/>
          <w:sz w:val="18"/>
          <w:szCs w:val="18"/>
          <w:color w:val="auto"/>
        </w:rPr>
      </w:pPr>
    </w:p>
    <w:p>
      <w:pPr>
        <w:ind w:left="620" w:right="860" w:hanging="318"/>
        <w:spacing w:after="0" w:line="268" w:lineRule="auto"/>
        <w:tabs>
          <w:tab w:leader="none" w:pos="615" w:val="left"/>
        </w:tabs>
        <w:numPr>
          <w:ilvl w:val="1"/>
          <w:numId w:val="58"/>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During The Meeting: </w:t>
      </w:r>
      <w:r>
        <w:rPr>
          <w:rFonts w:ascii="Arial" w:cs="Arial" w:eastAsia="Arial" w:hAnsi="Arial"/>
          <w:sz w:val="18"/>
          <w:szCs w:val="18"/>
          <w:color w:val="auto"/>
        </w:rPr>
        <w:t>Go to www.virtualshareholdermeeting.com/SSTK2025. You may attend the meeting via the Internet</w:t>
      </w:r>
      <w:r>
        <w:rPr>
          <w:rFonts w:ascii="Arial" w:cs="Arial" w:eastAsia="Arial" w:hAnsi="Arial"/>
          <w:sz w:val="18"/>
          <w:szCs w:val="18"/>
          <w:b w:val="1"/>
          <w:bCs w:val="1"/>
          <w:color w:val="auto"/>
        </w:rPr>
        <w:t xml:space="preserve"> </w:t>
      </w:r>
      <w:r>
        <w:rPr>
          <w:rFonts w:ascii="Arial" w:cs="Arial" w:eastAsia="Arial" w:hAnsi="Arial"/>
          <w:sz w:val="18"/>
          <w:szCs w:val="18"/>
          <w:color w:val="auto"/>
        </w:rPr>
        <w:t>and vote during the meeting. Have the information that is printed in the box marked by the arrow and follow the instructions.</w:t>
      </w:r>
    </w:p>
    <w:p>
      <w:pPr>
        <w:spacing w:after="0" w:line="196" w:lineRule="exact"/>
        <w:rPr>
          <w:rFonts w:ascii="Times New Roman" w:cs="Times New Roman" w:eastAsia="Times New Roman" w:hAnsi="Times New Roman"/>
          <w:sz w:val="18"/>
          <w:szCs w:val="18"/>
          <w:color w:val="auto"/>
        </w:rPr>
      </w:pPr>
    </w:p>
    <w:p>
      <w:pPr>
        <w:ind w:left="360" w:right="1180" w:hanging="334"/>
        <w:spacing w:after="0" w:line="287" w:lineRule="auto"/>
        <w:tabs>
          <w:tab w:leader="none" w:pos="355" w:val="left"/>
        </w:tabs>
        <w:numPr>
          <w:ilvl w:val="0"/>
          <w:numId w:val="58"/>
        </w:numPr>
        <w:rPr>
          <w:rFonts w:ascii="Arial" w:cs="Arial" w:eastAsia="Arial" w:hAnsi="Arial"/>
          <w:sz w:val="18"/>
          <w:szCs w:val="18"/>
          <w:color w:val="auto"/>
        </w:rPr>
      </w:pPr>
      <w:r>
        <w:rPr>
          <w:rFonts w:ascii="Arial" w:cs="Arial" w:eastAsia="Arial" w:hAnsi="Arial"/>
          <w:sz w:val="18"/>
          <w:szCs w:val="18"/>
          <w:b w:val="1"/>
          <w:bCs w:val="1"/>
          <w:color w:val="auto"/>
        </w:rPr>
        <w:t xml:space="preserve">VOTE BY PHONE: </w:t>
      </w:r>
      <w:r>
        <w:rPr>
          <w:rFonts w:ascii="Arial" w:cs="Arial" w:eastAsia="Arial" w:hAnsi="Arial"/>
          <w:sz w:val="18"/>
          <w:szCs w:val="18"/>
          <w:color w:val="auto"/>
        </w:rPr>
        <w:t>1-800-690-6903 Use any touch-tone telephone to transmit your voting instructions up until 11:59 p.m.</w:t>
      </w:r>
      <w:r>
        <w:rPr>
          <w:rFonts w:ascii="Arial" w:cs="Arial" w:eastAsia="Arial" w:hAnsi="Arial"/>
          <w:sz w:val="18"/>
          <w:szCs w:val="18"/>
          <w:b w:val="1"/>
          <w:bCs w:val="1"/>
          <w:color w:val="auto"/>
        </w:rPr>
        <w:t xml:space="preserve"> </w:t>
      </w:r>
      <w:r>
        <w:rPr>
          <w:rFonts w:ascii="Arial" w:cs="Arial" w:eastAsia="Arial" w:hAnsi="Arial"/>
          <w:sz w:val="18"/>
          <w:szCs w:val="18"/>
          <w:color w:val="auto"/>
        </w:rPr>
        <w:t>Eastern Time on December 21, 2025. Have your proxy card in hand when you call and then follow the instructions.</w:t>
      </w:r>
    </w:p>
    <w:p>
      <w:pPr>
        <w:spacing w:after="0" w:line="166" w:lineRule="exact"/>
        <w:rPr>
          <w:rFonts w:ascii="Arial" w:cs="Arial" w:eastAsia="Arial" w:hAnsi="Arial"/>
          <w:sz w:val="18"/>
          <w:szCs w:val="18"/>
          <w:color w:val="auto"/>
        </w:rPr>
      </w:pPr>
    </w:p>
    <w:p>
      <w:pPr>
        <w:ind w:left="360" w:right="840" w:hanging="334"/>
        <w:spacing w:after="0" w:line="287" w:lineRule="auto"/>
        <w:tabs>
          <w:tab w:leader="none" w:pos="355" w:val="left"/>
        </w:tabs>
        <w:numPr>
          <w:ilvl w:val="0"/>
          <w:numId w:val="58"/>
        </w:numPr>
        <w:rPr>
          <w:rFonts w:ascii="Arial" w:cs="Arial" w:eastAsia="Arial" w:hAnsi="Arial"/>
          <w:sz w:val="18"/>
          <w:szCs w:val="18"/>
          <w:color w:val="auto"/>
        </w:rPr>
      </w:pPr>
      <w:r>
        <w:rPr>
          <w:rFonts w:ascii="Arial" w:cs="Arial" w:eastAsia="Arial" w:hAnsi="Arial"/>
          <w:sz w:val="18"/>
          <w:szCs w:val="18"/>
          <w:b w:val="1"/>
          <w:bCs w:val="1"/>
          <w:color w:val="auto"/>
        </w:rPr>
        <w:t xml:space="preserve">VOTE BY MAIL: </w:t>
      </w:r>
      <w:r>
        <w:rPr>
          <w:rFonts w:ascii="Arial" w:cs="Arial" w:eastAsia="Arial" w:hAnsi="Arial"/>
          <w:sz w:val="18"/>
          <w:szCs w:val="18"/>
          <w:color w:val="auto"/>
        </w:rPr>
        <w:t>Mark, sign and date your proxy card and return it in the postage-paid envelope we have provided or return it</w:t>
      </w:r>
      <w:r>
        <w:rPr>
          <w:rFonts w:ascii="Arial" w:cs="Arial" w:eastAsia="Arial" w:hAnsi="Arial"/>
          <w:sz w:val="18"/>
          <w:szCs w:val="18"/>
          <w:b w:val="1"/>
          <w:bCs w:val="1"/>
          <w:color w:val="auto"/>
        </w:rPr>
        <w:t xml:space="preserve"> </w:t>
      </w:r>
      <w:r>
        <w:rPr>
          <w:rFonts w:ascii="Arial" w:cs="Arial" w:eastAsia="Arial" w:hAnsi="Arial"/>
          <w:sz w:val="18"/>
          <w:szCs w:val="18"/>
          <w:color w:val="auto"/>
        </w:rPr>
        <w:t>to Vote Processing, c/o Broadridge, 51 Mercedes Way, Edgewood, NY 11717.</w:t>
      </w:r>
    </w:p>
    <w:p>
      <w:pPr>
        <w:spacing w:after="0" w:line="193" w:lineRule="exact"/>
        <w:rPr>
          <w:sz w:val="20"/>
          <w:szCs w:val="20"/>
          <w:color w:val="auto"/>
        </w:rPr>
      </w:pPr>
    </w:p>
    <w:p>
      <w:pPr>
        <w:ind w:left="440" w:hanging="414"/>
        <w:spacing w:after="0"/>
        <w:tabs>
          <w:tab w:leader="none" w:pos="44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How many votes am I entitled to per share?</w:t>
      </w:r>
    </w:p>
    <w:p>
      <w:pPr>
        <w:spacing w:after="0" w:line="212" w:lineRule="exact"/>
        <w:rPr>
          <w:sz w:val="20"/>
          <w:szCs w:val="20"/>
          <w:color w:val="auto"/>
        </w:rPr>
      </w:pPr>
    </w:p>
    <w:p>
      <w:pPr>
        <w:ind w:right="160" w:firstLine="324"/>
        <w:spacing w:after="0" w:line="287" w:lineRule="auto"/>
        <w:rPr>
          <w:sz w:val="20"/>
          <w:szCs w:val="20"/>
          <w:color w:val="auto"/>
        </w:rPr>
      </w:pPr>
      <w:r>
        <w:rPr>
          <w:rFonts w:ascii="Arial" w:cs="Arial" w:eastAsia="Arial" w:hAnsi="Arial"/>
          <w:sz w:val="18"/>
          <w:szCs w:val="18"/>
          <w:color w:val="auto"/>
        </w:rPr>
        <w:t>Each holder of Common Stock is entitled to one vote on all matters to come before the 2025 Annual Meeting for each share held as of the Record Date.</w:t>
      </w:r>
    </w:p>
    <w:p>
      <w:pPr>
        <w:spacing w:after="0" w:line="85" w:lineRule="exact"/>
        <w:rPr>
          <w:sz w:val="20"/>
          <w:szCs w:val="20"/>
          <w:color w:val="auto"/>
        </w:rPr>
      </w:pPr>
    </w:p>
    <w:p>
      <w:pPr>
        <w:ind w:left="20"/>
        <w:spacing w:after="0"/>
        <w:tabs>
          <w:tab w:leader="none" w:pos="420" w:val="left"/>
        </w:tabs>
        <w:rPr>
          <w:sz w:val="20"/>
          <w:szCs w:val="20"/>
          <w:color w:val="auto"/>
        </w:rPr>
      </w:pPr>
      <w:r>
        <w:rPr>
          <w:rFonts w:ascii="Arial" w:cs="Arial" w:eastAsia="Arial" w:hAnsi="Arial"/>
          <w:sz w:val="18"/>
          <w:szCs w:val="18"/>
          <w:b w:val="1"/>
          <w:bCs w:val="1"/>
          <w:color w:val="auto"/>
        </w:rPr>
        <w:t>10.</w:t>
        <w:tab/>
        <w:t>Can I change my vote or revoke my proxy?</w:t>
      </w:r>
    </w:p>
    <w:p>
      <w:pPr>
        <w:spacing w:after="0" w:line="212" w:lineRule="exact"/>
        <w:rPr>
          <w:sz w:val="20"/>
          <w:szCs w:val="20"/>
          <w:color w:val="auto"/>
        </w:rPr>
      </w:pPr>
    </w:p>
    <w:p>
      <w:pPr>
        <w:ind w:right="60" w:firstLine="324"/>
        <w:spacing w:after="0" w:line="287" w:lineRule="auto"/>
        <w:rPr>
          <w:sz w:val="20"/>
          <w:szCs w:val="20"/>
          <w:color w:val="auto"/>
        </w:rPr>
      </w:pPr>
      <w:r>
        <w:rPr>
          <w:rFonts w:ascii="Arial" w:cs="Arial" w:eastAsia="Arial" w:hAnsi="Arial"/>
          <w:sz w:val="18"/>
          <w:szCs w:val="18"/>
          <w:color w:val="auto"/>
        </w:rPr>
        <w:t>You may change your vote at any time prior to the taking of the vote at the 2025 Annual Meeting. If you are a stockholder of record, you may change your vote and grant a new proxy bearing a later date by:</w:t>
      </w:r>
    </w:p>
    <w:p>
      <w:pPr>
        <w:spacing w:after="0" w:line="99" w:lineRule="exact"/>
        <w:rPr>
          <w:sz w:val="20"/>
          <w:szCs w:val="20"/>
          <w:color w:val="auto"/>
        </w:rPr>
      </w:pPr>
    </w:p>
    <w:p>
      <w:pPr>
        <w:ind w:left="360" w:hanging="334"/>
        <w:spacing w:after="0"/>
        <w:tabs>
          <w:tab w:leader="none" w:pos="3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signing and returning a new proxy card with a later date;</w:t>
      </w:r>
    </w:p>
    <w:p>
      <w:pPr>
        <w:spacing w:after="0" w:line="63" w:lineRule="exact"/>
        <w:rPr>
          <w:rFonts w:ascii="Arial" w:cs="Arial" w:eastAsia="Arial" w:hAnsi="Arial"/>
          <w:sz w:val="18"/>
          <w:szCs w:val="18"/>
          <w:color w:val="auto"/>
        </w:rPr>
      </w:pPr>
    </w:p>
    <w:p>
      <w:pPr>
        <w:ind w:left="360" w:right="700" w:hanging="334"/>
        <w:spacing w:after="0" w:line="281" w:lineRule="auto"/>
        <w:tabs>
          <w:tab w:leader="none" w:pos="3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submitting a later-dated vote by telephone or via the Internet (only your last telephone or Internet vote will be counted) by 11:59 p.m. Eastern Time on December 21, 2025;</w:t>
      </w:r>
    </w:p>
    <w:p>
      <w:pPr>
        <w:spacing w:after="0" w:line="1" w:lineRule="exact"/>
        <w:rPr>
          <w:rFonts w:ascii="Arial" w:cs="Arial" w:eastAsia="Arial" w:hAnsi="Arial"/>
          <w:sz w:val="18"/>
          <w:szCs w:val="18"/>
          <w:color w:val="auto"/>
        </w:rPr>
      </w:pPr>
    </w:p>
    <w:p>
      <w:pPr>
        <w:ind w:left="360" w:hanging="334"/>
        <w:spacing w:after="0"/>
        <w:tabs>
          <w:tab w:leader="none" w:pos="3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participating in the 2025 Annual Meeting and voting again by telephone or via the Internet; or</w:t>
      </w:r>
    </w:p>
    <w:p>
      <w:pPr>
        <w:spacing w:after="0" w:line="63" w:lineRule="exact"/>
        <w:rPr>
          <w:rFonts w:ascii="Arial" w:cs="Arial" w:eastAsia="Arial" w:hAnsi="Arial"/>
          <w:sz w:val="18"/>
          <w:szCs w:val="18"/>
          <w:color w:val="auto"/>
        </w:rPr>
      </w:pPr>
    </w:p>
    <w:p>
      <w:pPr>
        <w:ind w:left="360" w:right="1080" w:hanging="334"/>
        <w:spacing w:after="0" w:line="287" w:lineRule="auto"/>
        <w:tabs>
          <w:tab w:leader="none" w:pos="3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sending a written notice of revocation to our Corporate Secretary at Shutterstock, Inc., Attn: Corporate Secretary, 350 Fifth Avenue, 20th Floor, New York, New York 10118 prior to the 2025 Annual Meeting.</w:t>
      </w:r>
    </w:p>
    <w:p>
      <w:pPr>
        <w:spacing w:after="0" w:line="126" w:lineRule="exact"/>
        <w:rPr>
          <w:sz w:val="20"/>
          <w:szCs w:val="20"/>
          <w:color w:val="auto"/>
        </w:rPr>
      </w:pPr>
    </w:p>
    <w:p>
      <w:pPr>
        <w:ind w:left="480" w:hanging="454"/>
        <w:spacing w:after="0"/>
        <w:tabs>
          <w:tab w:leader="none" w:pos="48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Is my vote confidential?</w:t>
      </w:r>
    </w:p>
    <w:p>
      <w:pPr>
        <w:spacing w:after="0" w:line="198" w:lineRule="exact"/>
        <w:rPr>
          <w:sz w:val="20"/>
          <w:szCs w:val="20"/>
          <w:color w:val="auto"/>
        </w:rPr>
      </w:pPr>
    </w:p>
    <w:p>
      <w:pPr>
        <w:ind w:right="120" w:firstLine="324"/>
        <w:spacing w:after="0" w:line="268" w:lineRule="auto"/>
        <w:rPr>
          <w:sz w:val="20"/>
          <w:szCs w:val="20"/>
          <w:color w:val="auto"/>
        </w:rPr>
      </w:pPr>
      <w:r>
        <w:rPr>
          <w:rFonts w:ascii="Arial" w:cs="Arial" w:eastAsia="Arial" w:hAnsi="Arial"/>
          <w:sz w:val="18"/>
          <w:szCs w:val="18"/>
          <w:color w:val="auto"/>
        </w:rPr>
        <w:t>Proxy instructions, ballots, and voting tabulations that identify individual stockholders are handled in a manner that protects your voting privacy. Your vote will not be disclosed either within Shutterstock or to third parties, except: (1) as necessary to meet applicable legal requirements, (2) to allow for the tabulation of votes and certification of the vote, and (3) to facilitate a successful proxy solicitation.</w:t>
      </w:r>
    </w:p>
    <w:p>
      <w:pPr>
        <w:spacing w:after="0" w:line="103" w:lineRule="exact"/>
        <w:rPr>
          <w:sz w:val="20"/>
          <w:szCs w:val="20"/>
          <w:color w:val="auto"/>
        </w:rPr>
      </w:pPr>
    </w:p>
    <w:p>
      <w:pPr>
        <w:ind w:left="20"/>
        <w:spacing w:after="0"/>
        <w:tabs>
          <w:tab w:leader="none" w:pos="420" w:val="left"/>
        </w:tabs>
        <w:rPr>
          <w:sz w:val="20"/>
          <w:szCs w:val="20"/>
          <w:color w:val="auto"/>
        </w:rPr>
      </w:pPr>
      <w:r>
        <w:rPr>
          <w:rFonts w:ascii="Arial" w:cs="Arial" w:eastAsia="Arial" w:hAnsi="Arial"/>
          <w:sz w:val="18"/>
          <w:szCs w:val="18"/>
          <w:b w:val="1"/>
          <w:bCs w:val="1"/>
          <w:color w:val="auto"/>
        </w:rPr>
        <w:t>12.</w:t>
        <w:tab/>
        <w:t>How many shares must be represented to conduct business at the 2025 Annual Meeting?</w:t>
      </w:r>
    </w:p>
    <w:p>
      <w:pPr>
        <w:spacing w:after="0" w:line="212" w:lineRule="exact"/>
        <w:rPr>
          <w:sz w:val="20"/>
          <w:szCs w:val="20"/>
          <w:color w:val="auto"/>
        </w:rPr>
      </w:pPr>
    </w:p>
    <w:p>
      <w:pPr>
        <w:ind w:firstLine="324"/>
        <w:spacing w:after="0" w:line="262" w:lineRule="auto"/>
        <w:rPr>
          <w:sz w:val="20"/>
          <w:szCs w:val="20"/>
          <w:color w:val="auto"/>
        </w:rPr>
      </w:pPr>
      <w:r>
        <w:rPr>
          <w:rFonts w:ascii="Arial" w:cs="Arial" w:eastAsia="Arial" w:hAnsi="Arial"/>
          <w:sz w:val="18"/>
          <w:szCs w:val="18"/>
          <w:color w:val="auto"/>
        </w:rPr>
        <w:t>The quorum requirement for holding the 2025 Annual Meeting and transacting business is that holders of a majority of the issued and outstanding stock entitled to vote as of the Record Date must be present at the 2025 Annual Meeting or represented by proxy. Both abstentions and broker non-votes (described below) are counted for the purpose of determining the presence of a quorum. As of the Record Date, we had 35,520,353 shares of Common Stock outstanding.</w:t>
      </w:r>
    </w:p>
    <w:p>
      <w:pPr>
        <w:spacing w:after="0" w:line="109" w:lineRule="exact"/>
        <w:rPr>
          <w:sz w:val="20"/>
          <w:szCs w:val="20"/>
          <w:color w:val="auto"/>
        </w:rPr>
      </w:pPr>
    </w:p>
    <w:p>
      <w:pPr>
        <w:ind w:left="20"/>
        <w:spacing w:after="0"/>
        <w:tabs>
          <w:tab w:leader="none" w:pos="42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7"/>
          <w:szCs w:val="17"/>
          <w:b w:val="1"/>
          <w:bCs w:val="1"/>
          <w:color w:val="auto"/>
        </w:rPr>
        <w:t>What is a “broker non-vote”?</w:t>
      </w:r>
    </w:p>
    <w:p>
      <w:pPr>
        <w:spacing w:after="0" w:line="212"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If you hold shares beneficially in street name and do not provide your broker with voting instructions, your shares may constitute “broker non-votes.” Broker non-votes occur on a matter when a broker is not permitted to vote on that matter without instructions from the beneficial owner and instructions are not given. These matters are referred to as “non-routine” matters. All of the matters scheduled to be voted on at the 2025 Annual Meeting are “non-routine,” except for the proposal to ratify the appointment of PricewaterhouseCoopers LLP as our independent registered public accounting firm for the fiscal year ending December 31, 2025.</w:t>
      </w:r>
    </w:p>
    <w:p>
      <w:pPr>
        <w:sectPr>
          <w:pgSz w:w="11900" w:h="16838" w:orient="portrait"/>
          <w:cols w:equalWidth="0" w:num="1">
            <w:col w:w="11140"/>
          </w:cols>
          <w:pgMar w:left="320" w:top="917"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140"/>
          </w:cols>
          <w:pgMar w:left="320" w:top="917" w:right="439" w:bottom="1440" w:gutter="0" w:footer="0" w:header="0"/>
          <w:type w:val="continuous"/>
        </w:sectPr>
      </w:pPr>
    </w:p>
    <w:bookmarkStart w:id="53" w:name="page54"/>
    <w:bookmarkEnd w:id="53"/>
    <w:p>
      <w:pPr>
        <w:ind w:right="80" w:firstLine="324"/>
        <w:spacing w:after="0" w:line="268" w:lineRule="auto"/>
        <w:rPr>
          <w:sz w:val="20"/>
          <w:szCs w:val="20"/>
          <w:color w:val="auto"/>
        </w:rPr>
      </w:pPr>
      <w:r>
        <w:rPr>
          <w:rFonts w:ascii="Arial" w:cs="Arial" w:eastAsia="Arial" w:hAnsi="Arial"/>
          <w:sz w:val="18"/>
          <w:szCs w:val="18"/>
          <w:color w:val="auto"/>
        </w:rPr>
        <w:t>In tabulating the voting result for any particular proposal, shares that constitute “broker non-votes” will not be counted for purposes of determining whether the proposal is approved. Thus, “broker non-votes” will not affect the outcome of any matter being voted on at the 2025 Annual Meeting.</w:t>
      </w:r>
    </w:p>
    <w:p>
      <w:pPr>
        <w:spacing w:after="0" w:line="103" w:lineRule="exact"/>
        <w:rPr>
          <w:sz w:val="20"/>
          <w:szCs w:val="20"/>
          <w:color w:val="auto"/>
        </w:rPr>
      </w:pPr>
    </w:p>
    <w:p>
      <w:pPr>
        <w:ind w:left="20"/>
        <w:spacing w:after="0"/>
        <w:tabs>
          <w:tab w:leader="none" w:pos="420" w:val="left"/>
        </w:tabs>
        <w:rPr>
          <w:sz w:val="20"/>
          <w:szCs w:val="20"/>
          <w:color w:val="auto"/>
        </w:rPr>
      </w:pPr>
      <w:r>
        <w:rPr>
          <w:rFonts w:ascii="Arial" w:cs="Arial" w:eastAsia="Arial" w:hAnsi="Arial"/>
          <w:sz w:val="18"/>
          <w:szCs w:val="18"/>
          <w:b w:val="1"/>
          <w:bCs w:val="1"/>
          <w:color w:val="auto"/>
        </w:rPr>
        <w:t>14.</w:t>
        <w:tab/>
        <w:t>How are my votes counted?</w:t>
      </w:r>
    </w:p>
    <w:p>
      <w:pPr>
        <w:spacing w:after="0" w:line="212" w:lineRule="exact"/>
        <w:rPr>
          <w:sz w:val="20"/>
          <w:szCs w:val="20"/>
          <w:color w:val="auto"/>
        </w:rPr>
      </w:pPr>
    </w:p>
    <w:p>
      <w:pPr>
        <w:ind w:right="80" w:firstLine="324"/>
        <w:spacing w:after="0" w:line="268" w:lineRule="auto"/>
        <w:rPr>
          <w:sz w:val="20"/>
          <w:szCs w:val="20"/>
          <w:color w:val="auto"/>
        </w:rPr>
      </w:pPr>
      <w:r>
        <w:rPr>
          <w:rFonts w:ascii="Arial" w:cs="Arial" w:eastAsia="Arial" w:hAnsi="Arial"/>
          <w:sz w:val="18"/>
          <w:szCs w:val="18"/>
          <w:color w:val="auto"/>
        </w:rPr>
        <w:t>In the election of directors, you may vote “FOR” all or some of the nominees or your vote may be “WITHHELD” with respect to one or more of the nominees. In tabulating voting results for the election of directors, only “FOR” votes are counted. Neither “WITHHELD” votes nor “broker non-votes” will have any effect on the outcome of the voting with respect to the election of directors.</w:t>
      </w:r>
    </w:p>
    <w:p>
      <w:pPr>
        <w:spacing w:after="0" w:line="63" w:lineRule="exact"/>
        <w:rPr>
          <w:sz w:val="20"/>
          <w:szCs w:val="20"/>
          <w:color w:val="auto"/>
        </w:rPr>
      </w:pPr>
    </w:p>
    <w:p>
      <w:pPr>
        <w:ind w:right="120" w:firstLine="324"/>
        <w:spacing w:after="0" w:line="268" w:lineRule="auto"/>
        <w:rPr>
          <w:sz w:val="20"/>
          <w:szCs w:val="20"/>
          <w:color w:val="auto"/>
        </w:rPr>
      </w:pPr>
      <w:r>
        <w:rPr>
          <w:rFonts w:ascii="Arial" w:cs="Arial" w:eastAsia="Arial" w:hAnsi="Arial"/>
          <w:sz w:val="18"/>
          <w:szCs w:val="18"/>
          <w:color w:val="auto"/>
        </w:rPr>
        <w:t>For the other items of business to be brought before the 2025 Annual Meeting, you may vote “FOR,” “AGAINST,” or “ABSTAIN.” If you “ABSTAIN” in any of the other items of business to be brought before the 2025 Annual Meeting, the abstention will not be counted as “FOR” or “AGAINST” and will have no effect on the voting results.</w:t>
      </w:r>
    </w:p>
    <w:p>
      <w:pPr>
        <w:spacing w:after="0" w:line="63" w:lineRule="exact"/>
        <w:rPr>
          <w:sz w:val="20"/>
          <w:szCs w:val="20"/>
          <w:color w:val="auto"/>
        </w:rPr>
      </w:pPr>
    </w:p>
    <w:p>
      <w:pPr>
        <w:ind w:right="20" w:firstLine="324"/>
        <w:spacing w:after="0" w:line="262" w:lineRule="auto"/>
        <w:rPr>
          <w:sz w:val="20"/>
          <w:szCs w:val="20"/>
          <w:color w:val="auto"/>
        </w:rPr>
      </w:pPr>
      <w:r>
        <w:rPr>
          <w:rFonts w:ascii="Arial" w:cs="Arial" w:eastAsia="Arial" w:hAnsi="Arial"/>
          <w:sz w:val="18"/>
          <w:szCs w:val="18"/>
          <w:color w:val="auto"/>
        </w:rPr>
        <w:t>If you provide specific instructions with regard to certain items, your shares will be voted in accordance with your instructions on such items. If you are a record holder and no instructions are indicated, the shares will be voted as recommended by the Board. If you hold shares beneficially in “street name” and you do not provide specific instructions on certain items, then your shares will be counted as “broker non-votes” on non-routine matters, and will be voted in accordance with the broker instructions for routine matters in the broker’s discretion.</w:t>
      </w:r>
    </w:p>
    <w:p>
      <w:pPr>
        <w:spacing w:after="0" w:line="109" w:lineRule="exact"/>
        <w:rPr>
          <w:sz w:val="20"/>
          <w:szCs w:val="20"/>
          <w:color w:val="auto"/>
        </w:rPr>
      </w:pPr>
    </w:p>
    <w:p>
      <w:pPr>
        <w:ind w:left="20"/>
        <w:spacing w:after="0"/>
        <w:tabs>
          <w:tab w:leader="none" w:pos="420" w:val="left"/>
        </w:tabs>
        <w:rPr>
          <w:sz w:val="20"/>
          <w:szCs w:val="20"/>
          <w:color w:val="auto"/>
        </w:rPr>
      </w:pPr>
      <w:r>
        <w:rPr>
          <w:rFonts w:ascii="Arial" w:cs="Arial" w:eastAsia="Arial" w:hAnsi="Arial"/>
          <w:sz w:val="18"/>
          <w:szCs w:val="18"/>
          <w:b w:val="1"/>
          <w:bCs w:val="1"/>
          <w:color w:val="auto"/>
        </w:rPr>
        <w:t>15.</w:t>
        <w:tab/>
        <w:t>What is the voting requirement to approve each of the proposals?</w:t>
      </w:r>
    </w:p>
    <w:p>
      <w:pPr>
        <w:spacing w:after="0" w:line="198" w:lineRule="exact"/>
        <w:rPr>
          <w:sz w:val="20"/>
          <w:szCs w:val="20"/>
          <w:color w:val="auto"/>
        </w:rPr>
      </w:pPr>
    </w:p>
    <w:p>
      <w:pPr>
        <w:ind w:firstLine="324"/>
        <w:spacing w:after="0" w:line="268" w:lineRule="auto"/>
        <w:rPr>
          <w:sz w:val="20"/>
          <w:szCs w:val="20"/>
          <w:color w:val="auto"/>
        </w:rPr>
      </w:pPr>
      <w:r>
        <w:rPr>
          <w:rFonts w:ascii="Arial" w:cs="Arial" w:eastAsia="Arial" w:hAnsi="Arial"/>
          <w:sz w:val="18"/>
          <w:szCs w:val="18"/>
          <w:color w:val="auto"/>
        </w:rPr>
        <w:t>In the election of directors, our amended and restated bylaws (the “</w:t>
      </w:r>
      <w:r>
        <w:rPr>
          <w:rFonts w:ascii="Arial" w:cs="Arial" w:eastAsia="Arial" w:hAnsi="Arial"/>
          <w:sz w:val="18"/>
          <w:szCs w:val="18"/>
          <w:u w:val="single" w:color="auto"/>
          <w:color w:val="auto"/>
        </w:rPr>
        <w:t>Bylaws</w:t>
      </w:r>
      <w:r>
        <w:rPr>
          <w:rFonts w:ascii="Arial" w:cs="Arial" w:eastAsia="Arial" w:hAnsi="Arial"/>
          <w:sz w:val="18"/>
          <w:szCs w:val="18"/>
          <w:color w:val="auto"/>
        </w:rPr>
        <w:t>”) provide for the election of directors by a plurality of the votes cast. This means that the individuals nominated for election to the Board who receive the highest number of “FOR” votes will be elected. Broker non-votes and withheld votes are not considered votes cast for or against the nominee under a plurality voting standard.</w:t>
      </w:r>
    </w:p>
    <w:p>
      <w:pPr>
        <w:spacing w:after="0" w:line="63" w:lineRule="exact"/>
        <w:rPr>
          <w:sz w:val="20"/>
          <w:szCs w:val="20"/>
          <w:color w:val="auto"/>
        </w:rPr>
      </w:pPr>
    </w:p>
    <w:p>
      <w:pPr>
        <w:ind w:right="220" w:firstLine="324"/>
        <w:spacing w:after="0" w:line="287" w:lineRule="auto"/>
        <w:rPr>
          <w:sz w:val="20"/>
          <w:szCs w:val="20"/>
          <w:color w:val="auto"/>
        </w:rPr>
      </w:pPr>
      <w:r>
        <w:rPr>
          <w:rFonts w:ascii="Arial" w:cs="Arial" w:eastAsia="Arial" w:hAnsi="Arial"/>
          <w:sz w:val="18"/>
          <w:szCs w:val="18"/>
          <w:color w:val="auto"/>
        </w:rPr>
        <w:t>The approval of the remaining three proposals described below require the affirmative “FOR” votes of the holders of the majority of the votes cast:</w:t>
      </w:r>
    </w:p>
    <w:p>
      <w:pPr>
        <w:spacing w:after="0" w:line="99" w:lineRule="exact"/>
        <w:rPr>
          <w:sz w:val="20"/>
          <w:szCs w:val="20"/>
          <w:color w:val="auto"/>
        </w:rPr>
      </w:pPr>
    </w:p>
    <w:p>
      <w:pPr>
        <w:ind w:left="660" w:hanging="310"/>
        <w:spacing w:after="0"/>
        <w:tabs>
          <w:tab w:leader="none" w:pos="660" w:val="left"/>
        </w:tabs>
        <w:numPr>
          <w:ilvl w:val="1"/>
          <w:numId w:val="62"/>
        </w:numPr>
        <w:rPr>
          <w:rFonts w:ascii="Arial" w:cs="Arial" w:eastAsia="Arial" w:hAnsi="Arial"/>
          <w:sz w:val="18"/>
          <w:szCs w:val="18"/>
          <w:color w:val="auto"/>
        </w:rPr>
      </w:pPr>
      <w:r>
        <w:rPr>
          <w:rFonts w:ascii="Arial" w:cs="Arial" w:eastAsia="Arial" w:hAnsi="Arial"/>
          <w:sz w:val="18"/>
          <w:szCs w:val="18"/>
          <w:color w:val="auto"/>
        </w:rPr>
        <w:t>advisory vote to approve the compensation of our named executive officers; and</w:t>
      </w:r>
    </w:p>
    <w:p>
      <w:pPr>
        <w:spacing w:after="0" w:line="63" w:lineRule="exact"/>
        <w:rPr>
          <w:rFonts w:ascii="Arial" w:cs="Arial" w:eastAsia="Arial" w:hAnsi="Arial"/>
          <w:sz w:val="18"/>
          <w:szCs w:val="18"/>
          <w:color w:val="auto"/>
        </w:rPr>
      </w:pPr>
    </w:p>
    <w:p>
      <w:pPr>
        <w:ind w:left="680" w:right="340" w:hanging="330"/>
        <w:spacing w:after="0" w:line="287" w:lineRule="auto"/>
        <w:tabs>
          <w:tab w:leader="none" w:pos="675" w:val="left"/>
        </w:tabs>
        <w:numPr>
          <w:ilvl w:val="1"/>
          <w:numId w:val="62"/>
        </w:numPr>
        <w:rPr>
          <w:rFonts w:ascii="Arial" w:cs="Arial" w:eastAsia="Arial" w:hAnsi="Arial"/>
          <w:sz w:val="18"/>
          <w:szCs w:val="18"/>
          <w:color w:val="auto"/>
        </w:rPr>
      </w:pPr>
      <w:r>
        <w:rPr>
          <w:rFonts w:ascii="Arial" w:cs="Arial" w:eastAsia="Arial" w:hAnsi="Arial"/>
          <w:sz w:val="18"/>
          <w:szCs w:val="18"/>
          <w:color w:val="auto"/>
        </w:rPr>
        <w:t>vote to ratify the appointment of PricewaterhouseCoopers LLP as our independent registered public accounting firm for the fiscal year ending December 31, 2025.</w:t>
      </w:r>
    </w:p>
    <w:p>
      <w:pPr>
        <w:spacing w:after="0" w:line="206" w:lineRule="exact"/>
        <w:rPr>
          <w:rFonts w:ascii="Arial" w:cs="Arial" w:eastAsia="Arial" w:hAnsi="Arial"/>
          <w:sz w:val="18"/>
          <w:szCs w:val="18"/>
          <w:color w:val="auto"/>
        </w:rPr>
      </w:pPr>
    </w:p>
    <w:p>
      <w:pPr>
        <w:ind w:left="440" w:hanging="414"/>
        <w:spacing w:after="0"/>
        <w:tabs>
          <w:tab w:leader="none" w:pos="44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What happens if a director receives a plurality, but not a majority, of votes cast at the 2025 Annual Meeting?</w:t>
      </w:r>
    </w:p>
    <w:p>
      <w:pPr>
        <w:spacing w:after="0" w:line="212" w:lineRule="exact"/>
        <w:rPr>
          <w:sz w:val="20"/>
          <w:szCs w:val="20"/>
          <w:color w:val="auto"/>
        </w:rPr>
      </w:pPr>
    </w:p>
    <w:p>
      <w:pPr>
        <w:ind w:firstLine="324"/>
        <w:spacing w:after="0" w:line="268" w:lineRule="auto"/>
        <w:rPr>
          <w:sz w:val="20"/>
          <w:szCs w:val="20"/>
          <w:color w:val="auto"/>
        </w:rPr>
      </w:pPr>
      <w:r>
        <w:rPr>
          <w:rFonts w:ascii="Arial" w:cs="Arial" w:eastAsia="Arial" w:hAnsi="Arial"/>
          <w:sz w:val="18"/>
          <w:szCs w:val="18"/>
          <w:color w:val="auto"/>
        </w:rPr>
        <w:t>In an uncontested election, if a nominee for director who is an incumbent director is elected by a plurality of the votes cast but does not receive the vote of at least the majority of the votes cast (i.e., the number of shares voted “FOR” a director’s election does not exceed 50% of the total number of votes cast with respect to that director’s election, including votes to withhold authority), the director is deemed elected.</w:t>
      </w:r>
    </w:p>
    <w:p>
      <w:pPr>
        <w:spacing w:after="0" w:line="63"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However, under our director resignation policy, any nominee for director who, in an uncontested election, has more votes “WITHHELD” than “FOR” his or her election is expected to promptly tender his or her resignation for consideration by the Nominating and Corporate Governance Committee and subsequently by the Board. Our director resignation policy is incorporated into our Corporate Governance Guidelines, a copy of which can be found through the “Corporate Governance” link on our Investor Relations page at investor.shutterstock.com.</w:t>
      </w:r>
    </w:p>
    <w:p>
      <w:pPr>
        <w:spacing w:after="0" w:line="112" w:lineRule="exact"/>
        <w:rPr>
          <w:sz w:val="20"/>
          <w:szCs w:val="20"/>
          <w:color w:val="auto"/>
        </w:rPr>
      </w:pPr>
    </w:p>
    <w:p>
      <w:pPr>
        <w:ind w:left="20"/>
        <w:spacing w:after="0"/>
        <w:tabs>
          <w:tab w:leader="none" w:pos="420" w:val="left"/>
        </w:tabs>
        <w:rPr>
          <w:sz w:val="20"/>
          <w:szCs w:val="20"/>
          <w:color w:val="auto"/>
        </w:rPr>
      </w:pPr>
      <w:r>
        <w:rPr>
          <w:rFonts w:ascii="Arial" w:cs="Arial" w:eastAsia="Arial" w:hAnsi="Arial"/>
          <w:sz w:val="18"/>
          <w:szCs w:val="18"/>
          <w:b w:val="1"/>
          <w:bCs w:val="1"/>
          <w:color w:val="auto"/>
        </w:rPr>
        <w:t>17.</w:t>
      </w:r>
      <w:r>
        <w:rPr>
          <w:sz w:val="20"/>
          <w:szCs w:val="20"/>
          <w:color w:val="auto"/>
        </w:rPr>
        <w:tab/>
      </w:r>
      <w:r>
        <w:rPr>
          <w:rFonts w:ascii="Arial" w:cs="Arial" w:eastAsia="Arial" w:hAnsi="Arial"/>
          <w:sz w:val="17"/>
          <w:szCs w:val="17"/>
          <w:b w:val="1"/>
          <w:bCs w:val="1"/>
          <w:color w:val="auto"/>
        </w:rPr>
        <w:t>What happens if additional matters are presented at the 2025 Annual Meeting?</w:t>
      </w:r>
    </w:p>
    <w:p>
      <w:pPr>
        <w:spacing w:after="0" w:line="198" w:lineRule="exact"/>
        <w:rPr>
          <w:sz w:val="20"/>
          <w:szCs w:val="20"/>
          <w:color w:val="auto"/>
        </w:rPr>
      </w:pPr>
    </w:p>
    <w:p>
      <w:pPr>
        <w:ind w:right="200" w:firstLine="324"/>
        <w:spacing w:after="0" w:line="268" w:lineRule="auto"/>
        <w:rPr>
          <w:sz w:val="20"/>
          <w:szCs w:val="20"/>
          <w:color w:val="auto"/>
        </w:rPr>
      </w:pPr>
      <w:r>
        <w:rPr>
          <w:rFonts w:ascii="Arial" w:cs="Arial" w:eastAsia="Arial" w:hAnsi="Arial"/>
          <w:sz w:val="18"/>
          <w:szCs w:val="18"/>
          <w:color w:val="auto"/>
        </w:rPr>
        <w:t>Our Board does not intend to present any business at the 2025 Annual Meeting other than the proposals described in this Proxy Statement. However, if any other matter properly comes before the 2025 Annual Meeting, the persons named as proxy holders, Rik Powell and Colleen Kearney, will act on such matters in their discretion as permitted.</w:t>
      </w:r>
    </w:p>
    <w:p>
      <w:pPr>
        <w:spacing w:after="0" w:line="103" w:lineRule="exact"/>
        <w:rPr>
          <w:sz w:val="20"/>
          <w:szCs w:val="20"/>
          <w:color w:val="auto"/>
        </w:rPr>
      </w:pPr>
    </w:p>
    <w:p>
      <w:pPr>
        <w:ind w:left="20"/>
        <w:spacing w:after="0"/>
        <w:tabs>
          <w:tab w:leader="none" w:pos="420" w:val="left"/>
        </w:tabs>
        <w:rPr>
          <w:sz w:val="20"/>
          <w:szCs w:val="20"/>
          <w:color w:val="auto"/>
        </w:rPr>
      </w:pPr>
      <w:r>
        <w:rPr>
          <w:rFonts w:ascii="Arial" w:cs="Arial" w:eastAsia="Arial" w:hAnsi="Arial"/>
          <w:sz w:val="18"/>
          <w:szCs w:val="18"/>
          <w:b w:val="1"/>
          <w:bCs w:val="1"/>
          <w:color w:val="auto"/>
        </w:rPr>
        <w:t>18.</w:t>
      </w:r>
      <w:r>
        <w:rPr>
          <w:sz w:val="20"/>
          <w:szCs w:val="20"/>
          <w:color w:val="auto"/>
        </w:rPr>
        <w:tab/>
      </w:r>
      <w:r>
        <w:rPr>
          <w:rFonts w:ascii="Arial" w:cs="Arial" w:eastAsia="Arial" w:hAnsi="Arial"/>
          <w:sz w:val="17"/>
          <w:szCs w:val="17"/>
          <w:b w:val="1"/>
          <w:bCs w:val="1"/>
          <w:color w:val="auto"/>
        </w:rPr>
        <w:t>How is the Company soliciting proxies for the 2025 Annual Meeting?</w:t>
      </w:r>
    </w:p>
    <w:p>
      <w:pPr>
        <w:spacing w:after="0" w:line="212" w:lineRule="exact"/>
        <w:rPr>
          <w:sz w:val="20"/>
          <w:szCs w:val="20"/>
          <w:color w:val="auto"/>
        </w:rPr>
      </w:pPr>
    </w:p>
    <w:p>
      <w:pPr>
        <w:jc w:val="both"/>
        <w:ind w:right="80" w:firstLine="324"/>
        <w:spacing w:after="0" w:line="268" w:lineRule="auto"/>
        <w:rPr>
          <w:sz w:val="20"/>
          <w:szCs w:val="20"/>
          <w:color w:val="auto"/>
        </w:rPr>
      </w:pPr>
      <w:r>
        <w:rPr>
          <w:rFonts w:ascii="Arial" w:cs="Arial" w:eastAsia="Arial" w:hAnsi="Arial"/>
          <w:sz w:val="18"/>
          <w:szCs w:val="18"/>
          <w:color w:val="auto"/>
        </w:rPr>
        <w:t>The Board is sending you this Proxy Statement in connection with the Board’s solicitation of proxies for use at the 2025 Annual Meeting. In addition to the mailing of these proxy materials, the solicitation of proxies or votes may be made in person, by telephone, or by electronic communication by our directors, officers, and employees, who will not receive any additional compensation for such solicitation activities.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220"/>
          </w:cols>
          <w:pgMar w:left="320" w:top="877" w:right="359" w:bottom="1440" w:gutter="0" w:footer="0" w:header="0"/>
        </w:sectPr>
      </w:pPr>
    </w:p>
    <w:bookmarkStart w:id="54" w:name="page55"/>
    <w:bookmarkEnd w:id="54"/>
    <w:p>
      <w:pPr>
        <w:jc w:val="both"/>
        <w:ind w:firstLine="324"/>
        <w:spacing w:after="0" w:line="268" w:lineRule="auto"/>
        <w:rPr>
          <w:sz w:val="20"/>
          <w:szCs w:val="20"/>
          <w:color w:val="auto"/>
        </w:rPr>
      </w:pPr>
      <w:r>
        <w:rPr>
          <w:rFonts w:ascii="Arial" w:cs="Arial" w:eastAsia="Arial" w:hAnsi="Arial"/>
          <w:sz w:val="18"/>
          <w:szCs w:val="18"/>
          <w:color w:val="auto"/>
        </w:rPr>
        <w:t>Shutterstock will pay the entire cost of preparing, assembling, printing, mailing, and distributing these proxy materials and soliciting votes. Upon request, we will reimburse banks, brokers, custodians, nominees and fiduciaries for their reasonable charges and expenses to forward our proxy materials to beneficial owners in accordance with applicable rules.</w:t>
      </w:r>
    </w:p>
    <w:p>
      <w:pPr>
        <w:spacing w:after="0" w:line="200" w:lineRule="exact"/>
        <w:rPr>
          <w:sz w:val="20"/>
          <w:szCs w:val="20"/>
          <w:color w:val="auto"/>
        </w:rPr>
      </w:pPr>
    </w:p>
    <w:p>
      <w:pPr>
        <w:spacing w:after="0" w:line="254" w:lineRule="exact"/>
        <w:rPr>
          <w:sz w:val="20"/>
          <w:szCs w:val="20"/>
          <w:color w:val="auto"/>
        </w:rPr>
      </w:pPr>
    </w:p>
    <w:p>
      <w:pPr>
        <w:ind w:left="20"/>
        <w:spacing w:after="0"/>
        <w:tabs>
          <w:tab w:leader="none" w:pos="420" w:val="left"/>
        </w:tabs>
        <w:rPr>
          <w:sz w:val="20"/>
          <w:szCs w:val="20"/>
          <w:color w:val="auto"/>
        </w:rPr>
      </w:pPr>
      <w:r>
        <w:rPr>
          <w:rFonts w:ascii="Arial" w:cs="Arial" w:eastAsia="Arial" w:hAnsi="Arial"/>
          <w:sz w:val="18"/>
          <w:szCs w:val="18"/>
          <w:b w:val="1"/>
          <w:bCs w:val="1"/>
          <w:color w:val="auto"/>
        </w:rPr>
        <w:t>19.</w:t>
        <w:tab/>
        <w:t>Where can I find the voting results of the 205 Annual Meeting?</w:t>
      </w:r>
    </w:p>
    <w:p>
      <w:pPr>
        <w:spacing w:after="0" w:line="212" w:lineRule="exact"/>
        <w:rPr>
          <w:sz w:val="20"/>
          <w:szCs w:val="20"/>
          <w:color w:val="auto"/>
        </w:rPr>
      </w:pPr>
    </w:p>
    <w:p>
      <w:pPr>
        <w:ind w:right="620" w:firstLine="324"/>
        <w:spacing w:after="0" w:line="287" w:lineRule="auto"/>
        <w:rPr>
          <w:sz w:val="20"/>
          <w:szCs w:val="20"/>
          <w:color w:val="auto"/>
        </w:rPr>
      </w:pPr>
      <w:r>
        <w:rPr>
          <w:rFonts w:ascii="Arial" w:cs="Arial" w:eastAsia="Arial" w:hAnsi="Arial"/>
          <w:sz w:val="18"/>
          <w:szCs w:val="18"/>
          <w:color w:val="auto"/>
        </w:rPr>
        <w:t>We will announce preliminary voting results at the 2025 Annual Meeting and publish the final voting results in a Current Report on Form 8-K filed with the SEC within four business days after the 2025 Annual Meeting.</w:t>
      </w:r>
    </w:p>
    <w:p>
      <w:pPr>
        <w:spacing w:after="0" w:line="49" w:lineRule="exact"/>
        <w:rPr>
          <w:sz w:val="20"/>
          <w:szCs w:val="20"/>
          <w:color w:val="auto"/>
        </w:rPr>
      </w:pPr>
    </w:p>
    <w:p>
      <w:pPr>
        <w:spacing w:after="0"/>
        <w:rPr>
          <w:sz w:val="20"/>
          <w:szCs w:val="20"/>
          <w:color w:val="auto"/>
        </w:rPr>
      </w:pPr>
      <w:r>
        <w:rPr>
          <w:rFonts w:ascii="Arial" w:cs="Arial" w:eastAsia="Arial" w:hAnsi="Arial"/>
          <w:sz w:val="22"/>
          <w:szCs w:val="22"/>
          <w:b w:val="1"/>
          <w:bCs w:val="1"/>
          <w:color w:val="EF3A35"/>
        </w:rPr>
        <w:t>Attending the 2025 Annual Meeting</w:t>
      </w:r>
    </w:p>
    <w:p>
      <w:pPr>
        <w:spacing w:after="0" w:line="148" w:lineRule="exact"/>
        <w:rPr>
          <w:sz w:val="20"/>
          <w:szCs w:val="20"/>
          <w:color w:val="auto"/>
        </w:rPr>
      </w:pPr>
    </w:p>
    <w:p>
      <w:pPr>
        <w:ind w:left="20"/>
        <w:spacing w:after="0"/>
        <w:tabs>
          <w:tab w:leader="none" w:pos="420" w:val="left"/>
        </w:tabs>
        <w:rPr>
          <w:sz w:val="20"/>
          <w:szCs w:val="20"/>
          <w:color w:val="auto"/>
        </w:rPr>
      </w:pPr>
      <w:r>
        <w:rPr>
          <w:rFonts w:ascii="Arial" w:cs="Arial" w:eastAsia="Arial" w:hAnsi="Arial"/>
          <w:sz w:val="18"/>
          <w:szCs w:val="18"/>
          <w:b w:val="1"/>
          <w:bCs w:val="1"/>
          <w:color w:val="auto"/>
        </w:rPr>
        <w:t>20.</w:t>
        <w:tab/>
        <w:t>How do I attend the 2025 Annual Meeting?</w:t>
      </w:r>
    </w:p>
    <w:p>
      <w:pPr>
        <w:spacing w:after="0" w:line="212" w:lineRule="exact"/>
        <w:rPr>
          <w:sz w:val="20"/>
          <w:szCs w:val="20"/>
          <w:color w:val="auto"/>
        </w:rPr>
      </w:pPr>
    </w:p>
    <w:p>
      <w:pPr>
        <w:ind w:right="60" w:firstLine="324"/>
        <w:spacing w:after="0" w:line="262" w:lineRule="auto"/>
        <w:rPr>
          <w:sz w:val="20"/>
          <w:szCs w:val="20"/>
          <w:color w:val="auto"/>
        </w:rPr>
      </w:pPr>
      <w:r>
        <w:rPr>
          <w:rFonts w:ascii="Arial" w:cs="Arial" w:eastAsia="Arial" w:hAnsi="Arial"/>
          <w:sz w:val="18"/>
          <w:szCs w:val="18"/>
          <w:color w:val="auto"/>
        </w:rPr>
        <w:t xml:space="preserve">The 2025 Annual Meeting will be entirely online. </w:t>
      </w:r>
      <w:r>
        <w:rPr>
          <w:rFonts w:ascii="Arial" w:cs="Arial" w:eastAsia="Arial" w:hAnsi="Arial"/>
          <w:sz w:val="18"/>
          <w:szCs w:val="18"/>
          <w:b w:val="1"/>
          <w:bCs w:val="1"/>
          <w:u w:val="single" w:color="auto"/>
          <w:color w:val="auto"/>
        </w:rPr>
        <w:t>You will not be able to attend the meeting in person</w:t>
      </w:r>
      <w:r>
        <w:rPr>
          <w:rFonts w:ascii="Arial" w:cs="Arial" w:eastAsia="Arial" w:hAnsi="Arial"/>
          <w:sz w:val="18"/>
          <w:szCs w:val="18"/>
          <w:color w:val="auto"/>
        </w:rPr>
        <w:t>. In order to listen to and participate in the 2025 Annual Meeting, visit www.virtualshareholdermeeting.com/SSTK2025 and follow the posted instructions. The webcast will start at 10:00 a.m. Eastern Time on December 22, 2025. Stockholders may vote and submit questions while connected to the 2025 Annual Meeting on the Internet.</w:t>
      </w:r>
    </w:p>
    <w:p>
      <w:pPr>
        <w:spacing w:after="0" w:line="109" w:lineRule="exact"/>
        <w:rPr>
          <w:sz w:val="20"/>
          <w:szCs w:val="20"/>
          <w:color w:val="auto"/>
        </w:rPr>
      </w:pPr>
    </w:p>
    <w:p>
      <w:pPr>
        <w:ind w:left="20"/>
        <w:spacing w:after="0"/>
        <w:tabs>
          <w:tab w:leader="none" w:pos="42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7"/>
          <w:szCs w:val="17"/>
          <w:b w:val="1"/>
          <w:bCs w:val="1"/>
          <w:color w:val="auto"/>
        </w:rPr>
        <w:t>What do I need in order to participate in the 2025 Annual Meeting online?</w:t>
      </w:r>
    </w:p>
    <w:p>
      <w:pPr>
        <w:spacing w:after="0" w:line="198" w:lineRule="exact"/>
        <w:rPr>
          <w:sz w:val="20"/>
          <w:szCs w:val="20"/>
          <w:color w:val="auto"/>
        </w:rPr>
      </w:pPr>
    </w:p>
    <w:p>
      <w:pPr>
        <w:ind w:right="360" w:firstLine="324"/>
        <w:spacing w:after="0" w:line="287" w:lineRule="auto"/>
        <w:rPr>
          <w:sz w:val="20"/>
          <w:szCs w:val="20"/>
          <w:color w:val="auto"/>
        </w:rPr>
      </w:pPr>
      <w:r>
        <w:rPr>
          <w:rFonts w:ascii="Arial" w:cs="Arial" w:eastAsia="Arial" w:hAnsi="Arial"/>
          <w:sz w:val="18"/>
          <w:szCs w:val="18"/>
          <w:color w:val="auto"/>
        </w:rPr>
        <w:t>In order to participate in the 2025 Annual Meeting live via the Internet, instructions on how to connect and participate via the Internet, including how to demonstrate proof of stock ownership, are posted at www.virtualshareholdermeeting.com/SSTK2025.</w:t>
      </w:r>
    </w:p>
    <w:p>
      <w:pPr>
        <w:spacing w:after="0" w:line="85" w:lineRule="exact"/>
        <w:rPr>
          <w:sz w:val="20"/>
          <w:szCs w:val="20"/>
          <w:color w:val="auto"/>
        </w:rPr>
      </w:pPr>
    </w:p>
    <w:p>
      <w:pPr>
        <w:ind w:left="440" w:right="600" w:hanging="414"/>
        <w:spacing w:after="0" w:line="249" w:lineRule="auto"/>
        <w:tabs>
          <w:tab w:leader="none" w:pos="44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What if during the check-in time or during the 2025 Annual Meeting I have technical difficulties or trouble accessing the webcast?</w:t>
      </w:r>
    </w:p>
    <w:p>
      <w:pPr>
        <w:spacing w:after="0" w:line="178" w:lineRule="exact"/>
        <w:rPr>
          <w:sz w:val="20"/>
          <w:szCs w:val="20"/>
          <w:color w:val="auto"/>
        </w:rPr>
      </w:pPr>
    </w:p>
    <w:p>
      <w:pPr>
        <w:ind w:right="180" w:firstLine="324"/>
        <w:spacing w:after="0" w:line="268" w:lineRule="auto"/>
        <w:rPr>
          <w:sz w:val="20"/>
          <w:szCs w:val="20"/>
          <w:color w:val="auto"/>
        </w:rPr>
      </w:pPr>
      <w:r>
        <w:rPr>
          <w:rFonts w:ascii="Arial" w:cs="Arial" w:eastAsia="Arial" w:hAnsi="Arial"/>
          <w:sz w:val="18"/>
          <w:szCs w:val="18"/>
          <w:color w:val="auto"/>
        </w:rPr>
        <w:t>Please be sure to check in by 9:45 a.m. Eastern Time on December 22, 2025, the day of the 2025 Annual Meeting, so we may address any technical difficulties before the meeting begins. If you encounter any difficulties accessing the webcast during the check-in or meeting time, please refer to the instructions on your login page.</w:t>
      </w:r>
    </w:p>
    <w:p>
      <w:pPr>
        <w:spacing w:after="0" w:line="66" w:lineRule="exact"/>
        <w:rPr>
          <w:sz w:val="20"/>
          <w:szCs w:val="20"/>
          <w:color w:val="auto"/>
        </w:rPr>
      </w:pPr>
    </w:p>
    <w:p>
      <w:pPr>
        <w:spacing w:after="0"/>
        <w:rPr>
          <w:sz w:val="20"/>
          <w:szCs w:val="20"/>
          <w:color w:val="auto"/>
        </w:rPr>
      </w:pPr>
      <w:r>
        <w:rPr>
          <w:rFonts w:ascii="Arial" w:cs="Arial" w:eastAsia="Arial" w:hAnsi="Arial"/>
          <w:sz w:val="22"/>
          <w:szCs w:val="22"/>
          <w:b w:val="1"/>
          <w:bCs w:val="1"/>
          <w:color w:val="EF3A35"/>
        </w:rPr>
        <w:t>Additional Information</w:t>
      </w:r>
    </w:p>
    <w:p>
      <w:pPr>
        <w:spacing w:after="0" w:line="148" w:lineRule="exact"/>
        <w:rPr>
          <w:sz w:val="20"/>
          <w:szCs w:val="20"/>
          <w:color w:val="auto"/>
        </w:rPr>
      </w:pPr>
    </w:p>
    <w:p>
      <w:pPr>
        <w:ind w:left="20"/>
        <w:spacing w:after="0"/>
        <w:tabs>
          <w:tab w:leader="none" w:pos="420"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7"/>
          <w:szCs w:val="17"/>
          <w:b w:val="1"/>
          <w:bCs w:val="1"/>
          <w:color w:val="auto"/>
        </w:rPr>
        <w:t>How does the pending Merger with Getty Images impact the 2025 Annual Meeting?</w:t>
      </w:r>
    </w:p>
    <w:p>
      <w:pPr>
        <w:spacing w:after="0" w:line="212" w:lineRule="exact"/>
        <w:rPr>
          <w:sz w:val="20"/>
          <w:szCs w:val="20"/>
          <w:color w:val="auto"/>
        </w:rPr>
      </w:pPr>
    </w:p>
    <w:p>
      <w:pPr>
        <w:ind w:right="320" w:firstLine="324"/>
        <w:spacing w:after="0" w:line="268" w:lineRule="auto"/>
        <w:rPr>
          <w:sz w:val="20"/>
          <w:szCs w:val="20"/>
          <w:color w:val="auto"/>
        </w:rPr>
      </w:pPr>
      <w:r>
        <w:rPr>
          <w:rFonts w:ascii="Arial" w:cs="Arial" w:eastAsia="Arial" w:hAnsi="Arial"/>
          <w:sz w:val="18"/>
          <w:szCs w:val="18"/>
          <w:color w:val="auto"/>
        </w:rPr>
        <w:t>The 2025 Annual Meeting does not relate to the pending Merger with Getty Images, which was approved at a special meeting of stockholders on June 10, 2025. For additional information related to the Merger, please refer to the Company’s information statement and proxy statement/prospectus included in our other filings with the SEC.</w:t>
      </w:r>
    </w:p>
    <w:p>
      <w:pPr>
        <w:spacing w:after="0" w:line="103" w:lineRule="exact"/>
        <w:rPr>
          <w:sz w:val="20"/>
          <w:szCs w:val="20"/>
          <w:color w:val="auto"/>
        </w:rPr>
      </w:pPr>
    </w:p>
    <w:p>
      <w:pPr>
        <w:ind w:left="440" w:right="580" w:hanging="414"/>
        <w:spacing w:after="0" w:line="249" w:lineRule="auto"/>
        <w:tabs>
          <w:tab w:leader="none" w:pos="44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deadline to propose actions for consideration at next year’s Annual Meeting of Stockholders or to nominate individuals to serve as directors?</w:t>
      </w:r>
    </w:p>
    <w:p>
      <w:pPr>
        <w:spacing w:after="0" w:line="165" w:lineRule="exact"/>
        <w:rPr>
          <w:sz w:val="20"/>
          <w:szCs w:val="20"/>
          <w:color w:val="auto"/>
        </w:rPr>
      </w:pPr>
    </w:p>
    <w:p>
      <w:pPr>
        <w:ind w:right="120" w:firstLine="324"/>
        <w:spacing w:after="0" w:line="262" w:lineRule="auto"/>
        <w:rPr>
          <w:sz w:val="20"/>
          <w:szCs w:val="20"/>
          <w:color w:val="auto"/>
        </w:rPr>
      </w:pPr>
      <w:r>
        <w:rPr>
          <w:rFonts w:ascii="Arial" w:cs="Arial" w:eastAsia="Arial" w:hAnsi="Arial"/>
          <w:sz w:val="18"/>
          <w:szCs w:val="18"/>
          <w:color w:val="auto"/>
        </w:rPr>
        <w:t>Stockholders may present proper proposals for inclusion in our proxy statement and for consideration at the next annual meeting of stockholders by submitting their proposals in writing to our Corporate Secretary in a timely manner. We will hold our 2026 Annual Meeting of stockholders only if the Merger with Getty Images has not already been completed by the date for which the 2026 Annual Meeting of stockholders is scheduled.</w:t>
      </w:r>
    </w:p>
    <w:p>
      <w:pPr>
        <w:spacing w:after="0" w:line="68"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For a stockholder proposal to be considered for inclusion in our proxy statement for our 2026 Annual Meeting of Stockholders, our Corporate Secretary must receive the written proposal at our principal executive offices no later than July 23, 2026.</w:t>
      </w:r>
    </w:p>
    <w:p>
      <w:pPr>
        <w:spacing w:after="0" w:line="45"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Stockholder proposals must also otherwise comply with the requirements of Rule 14a-8 under the Securities Exchange Act of 1934, as amended (the “Exchange Act”). Proposals can be addressed to Shutterstock, Inc., Attn: Corporate Secretary, 350 Fifth Avenue, 20th Floor, New York, New York 10118.</w:t>
      </w:r>
    </w:p>
    <w:p>
      <w:pPr>
        <w:spacing w:after="0" w:line="63"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Our Bylaws also establish advance notice procedures for certain matters, including for stockholders who wish to present a proposal before an annual meeting of stockholders but do not intend for the proposal to be included in our proxy statement or for stockholders who wish to nominate individuals for election to the Board. To be timely for our 2026 Annual Meeting of Stockholders, our Corporate Secretary must receive written notice at our principal executive offices:</w:t>
      </w:r>
    </w:p>
    <w:p>
      <w:pPr>
        <w:sectPr>
          <w:pgSz w:w="11900" w:h="16838" w:orient="portrait"/>
          <w:cols w:equalWidth="0" w:num="1">
            <w:col w:w="11240"/>
          </w:cols>
          <w:pgMar w:left="320" w:top="87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240"/>
          </w:cols>
          <w:pgMar w:left="320" w:top="877" w:right="339" w:bottom="1440" w:gutter="0" w:footer="0" w:header="0"/>
          <w:type w:val="continuous"/>
        </w:sectPr>
      </w:pPr>
    </w:p>
    <w:bookmarkStart w:id="55" w:name="page56"/>
    <w:bookmarkEnd w:id="55"/>
    <w:p>
      <w:pPr>
        <w:ind w:left="660" w:hanging="310"/>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not earlier than the close of business on August 24, 2026 and</w:t>
      </w:r>
    </w:p>
    <w:p>
      <w:pPr>
        <w:spacing w:after="0" w:line="238" w:lineRule="exact"/>
        <w:rPr>
          <w:rFonts w:ascii="Arial" w:cs="Arial" w:eastAsia="Arial" w:hAnsi="Arial"/>
          <w:sz w:val="18"/>
          <w:szCs w:val="18"/>
          <w:color w:val="auto"/>
        </w:rPr>
      </w:pPr>
    </w:p>
    <w:p>
      <w:pPr>
        <w:ind w:left="660" w:hanging="310"/>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not later than the close of business on September 23, 2026.</w:t>
      </w:r>
    </w:p>
    <w:p>
      <w:pPr>
        <w:spacing w:after="0" w:line="23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If we hold our 2026 Annual Meeting of Stockholders more than 30 days before or after December 22, 2025 (the one-year anniversary of our 2025 Annual Meeting), then notice of a stockholder proposal must be received not later than the 90th day prior to the 2026 Annual Meeting of Stockholders or the 10th day following the date on which public announcement of the date of the 2026 Annual Meeting of Stockholders is first made by Shutterstock. We will disclose the new deadline by which stockholder proposals must be received under Item 5 of Part II of our earliest possible Quarterly Report on Form 10-Q or, if impracticable, by any means reasonably determined to inform stockholders.</w:t>
      </w:r>
    </w:p>
    <w:p>
      <w:pPr>
        <w:spacing w:after="0" w:line="74"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Stockholders must also comply with certain other applicable requirements contained in our Bylaws. With regards to nominations for director at our 2025 Annual Meeting of Stockholders, the notice must include all information about the nominee that must be disclosed in proxy solicitations pursuant to Regulation 14A under the Exchange Act (including the nominee’s written consent to being named as a nominee and serving as a director) and a description of all material monetary agreements during the past three years and any other material relationships, between such stockholder and a beneficial owner on whose behalf the nomination is made and their affiliates and associates, or others acting in concert, on the one hand, and each proposed nominee, and his/her affiliates and associates, or others acting in concert, on the other hand, including all information that would be required to be disclosed pursuant to Rule 404 under Regulation S-K if the stockholder were a “registrant,” all as described in our Bylaws. The notice must also include certain additional information about and representations by the stockholder and/or the beneficial owner, all as detailed in our Bylaws. In addition, to comply with the universal proxy rules under the Exchange Act, stockholders who intend to solicit proxies in support of director nominees other than the Company’s nominees at the 2024 Annual Meeting must provide notice that sets forth the information required by Rule 14a-19 under the Exchange Act in addition to the information required under our Bylaws.</w:t>
      </w:r>
    </w:p>
    <w:p>
      <w:pPr>
        <w:spacing w:after="0" w:line="82"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If a stockholder who has notified us of his or her intention to present a proposal at an annual meeting does not appear to present his or her proposal at such meeting, we are not required to present the proposal for a vote at such meeting. We reserve the right to reject, rule out of order or take other appropriate action with respect to any proposal or nomination that does not comply with these and other applicable requirements contained in our Bylaws and applicable laws.</w:t>
      </w:r>
    </w:p>
    <w:p>
      <w:pPr>
        <w:spacing w:after="0" w:line="109" w:lineRule="exact"/>
        <w:rPr>
          <w:sz w:val="20"/>
          <w:szCs w:val="20"/>
          <w:color w:val="auto"/>
        </w:rPr>
      </w:pPr>
    </w:p>
    <w:p>
      <w:pPr>
        <w:ind w:left="20"/>
        <w:spacing w:after="0"/>
        <w:tabs>
          <w:tab w:leader="none" w:pos="420" w:val="left"/>
        </w:tabs>
        <w:rPr>
          <w:sz w:val="20"/>
          <w:szCs w:val="20"/>
          <w:color w:val="auto"/>
        </w:rPr>
      </w:pPr>
      <w:r>
        <w:rPr>
          <w:rFonts w:ascii="Arial" w:cs="Arial" w:eastAsia="Arial" w:hAnsi="Arial"/>
          <w:sz w:val="18"/>
          <w:szCs w:val="18"/>
          <w:b w:val="1"/>
          <w:bCs w:val="1"/>
          <w:color w:val="auto"/>
        </w:rPr>
        <w:t>25.</w:t>
        <w:tab/>
        <w:t>How may I communicate with the Board?</w:t>
      </w:r>
    </w:p>
    <w:p>
      <w:pPr>
        <w:spacing w:after="0" w:line="198" w:lineRule="exact"/>
        <w:rPr>
          <w:sz w:val="20"/>
          <w:szCs w:val="20"/>
          <w:color w:val="auto"/>
        </w:rPr>
      </w:pPr>
    </w:p>
    <w:p>
      <w:pPr>
        <w:jc w:val="both"/>
        <w:ind w:right="60" w:firstLine="324"/>
        <w:spacing w:after="0"/>
        <w:rPr>
          <w:sz w:val="20"/>
          <w:szCs w:val="20"/>
          <w:color w:val="auto"/>
        </w:rPr>
      </w:pPr>
      <w:r>
        <w:rPr>
          <w:rFonts w:ascii="Arial" w:cs="Arial" w:eastAsia="Arial" w:hAnsi="Arial"/>
          <w:sz w:val="18"/>
          <w:szCs w:val="18"/>
          <w:color w:val="auto"/>
        </w:rPr>
        <w:t>Stockholders and other interested parties may communicate directly with the Board, with any director, or with the independent directors as a group or any other group of directors by writing to our Corporate Secretary at Shutterstock, Inc., 350 Fifth Avenue, 20</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Floor, New York, New York 10118, with a request to forward the communication to the intended recipient or recipients. Messages received with such a request will be forwarded to the appropriate director or directors.</w:t>
      </w:r>
    </w:p>
    <w:p>
      <w:pPr>
        <w:spacing w:after="0" w:line="127" w:lineRule="exact"/>
        <w:rPr>
          <w:sz w:val="20"/>
          <w:szCs w:val="20"/>
          <w:color w:val="auto"/>
        </w:rPr>
      </w:pPr>
    </w:p>
    <w:p>
      <w:pPr>
        <w:ind w:left="20"/>
        <w:spacing w:after="0"/>
        <w:tabs>
          <w:tab w:leader="none" w:pos="420" w:val="left"/>
        </w:tabs>
        <w:rPr>
          <w:sz w:val="20"/>
          <w:szCs w:val="20"/>
          <w:color w:val="auto"/>
        </w:rPr>
      </w:pPr>
      <w:r>
        <w:rPr>
          <w:rFonts w:ascii="Arial" w:cs="Arial" w:eastAsia="Arial" w:hAnsi="Arial"/>
          <w:sz w:val="18"/>
          <w:szCs w:val="18"/>
          <w:b w:val="1"/>
          <w:bCs w:val="1"/>
          <w:color w:val="auto"/>
        </w:rPr>
        <w:t>26.</w:t>
        <w:tab/>
        <w:t>Where can I obtain corporate governance materials?</w:t>
      </w:r>
    </w:p>
    <w:p>
      <w:pPr>
        <w:spacing w:after="0" w:line="212"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Our corporate governance materials are posted on our Investor Relations website (investor.shutterstock.com) under the link for</w:t>
      </w:r>
    </w:p>
    <w:p>
      <w:pPr>
        <w:spacing w:after="0" w:line="27" w:lineRule="exact"/>
        <w:rPr>
          <w:sz w:val="20"/>
          <w:szCs w:val="20"/>
          <w:color w:val="auto"/>
        </w:rPr>
      </w:pPr>
    </w:p>
    <w:p>
      <w:pPr>
        <w:ind w:right="500"/>
        <w:spacing w:after="0" w:line="271" w:lineRule="auto"/>
        <w:rPr>
          <w:sz w:val="20"/>
          <w:szCs w:val="20"/>
          <w:color w:val="auto"/>
        </w:rPr>
      </w:pPr>
      <w:r>
        <w:rPr>
          <w:rFonts w:ascii="Arial" w:cs="Arial" w:eastAsia="Arial" w:hAnsi="Arial"/>
          <w:sz w:val="18"/>
          <w:szCs w:val="18"/>
          <w:color w:val="auto"/>
        </w:rPr>
        <w:t>“Corporate Governance.” In addition, stockholders may obtain paper copies of our corporate governance materials by sending a written request to Shutterstock, Inc., Attn: Corporate Secretary, 350 Fifth Avenue, 20</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Floor, New York, New York 10118.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240"/>
          </w:cols>
          <w:pgMar w:left="320" w:top="1106" w:right="339" w:bottom="1440" w:gutter="0" w:footer="0" w:header="0"/>
        </w:sectPr>
      </w:pPr>
    </w:p>
    <w:bookmarkStart w:id="56" w:name="page57"/>
    <w:bookmarkEnd w:id="56"/>
    <w:p>
      <w:pPr>
        <w:jc w:val="center"/>
        <w:ind w:right="-239"/>
        <w:spacing w:after="0"/>
        <w:rPr>
          <w:sz w:val="20"/>
          <w:szCs w:val="20"/>
          <w:color w:val="auto"/>
        </w:rPr>
      </w:pPr>
      <w:r>
        <w:rPr>
          <w:rFonts w:ascii="Arial" w:cs="Arial" w:eastAsia="Arial" w:hAnsi="Arial"/>
          <w:sz w:val="25"/>
          <w:szCs w:val="25"/>
          <w:b w:val="1"/>
          <w:bCs w:val="1"/>
          <w:color w:val="EF3A35"/>
        </w:rPr>
        <w:t>OTHER MATTERS</w:t>
      </w:r>
    </w:p>
    <w:p>
      <w:pPr>
        <w:spacing w:after="0" w:line="12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Board knows of no other matters that will be presented for consideration at the 2025 Annual Meeting. If any other matters are properly brought before the meeting, it is the intention of the persons named in the accompanying proxy to vote on such matters in accordance with their best judgment.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1371600" cy="4800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371600"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John Lapham</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Counsel and Corporate Secretary</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November 20,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103505</wp:posOffset>
            </wp:positionV>
            <wp:extent cx="708914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020"/>
          </w:cols>
          <w:pgMar w:left="320" w:top="871" w:right="559" w:bottom="1440" w:gutter="0" w:footer="0" w:header="0"/>
        </w:sectPr>
      </w:pPr>
    </w:p>
    <w:bookmarkStart w:id="57" w:name="page58"/>
    <w:bookmarkEnd w:id="57"/>
    <w:p>
      <w:pPr>
        <w:jc w:val="center"/>
        <w:ind w:right="-19"/>
        <w:spacing w:after="0"/>
        <w:rPr>
          <w:sz w:val="20"/>
          <w:szCs w:val="20"/>
          <w:color w:val="auto"/>
        </w:rPr>
      </w:pPr>
      <w:r>
        <w:rPr>
          <w:rFonts w:ascii="Arial" w:cs="Arial" w:eastAsia="Arial" w:hAnsi="Arial"/>
          <w:sz w:val="25"/>
          <w:szCs w:val="25"/>
          <w:b w:val="1"/>
          <w:bCs w:val="1"/>
          <w:color w:val="EF3A35"/>
        </w:rPr>
        <w:t>ANNEX A</w:t>
      </w:r>
    </w:p>
    <w:p>
      <w:pPr>
        <w:spacing w:after="0" w:line="127" w:lineRule="exact"/>
        <w:rPr>
          <w:sz w:val="20"/>
          <w:szCs w:val="20"/>
          <w:color w:val="auto"/>
        </w:rPr>
      </w:pPr>
    </w:p>
    <w:p>
      <w:pPr>
        <w:spacing w:after="0"/>
        <w:rPr>
          <w:sz w:val="20"/>
          <w:szCs w:val="20"/>
          <w:color w:val="auto"/>
        </w:rPr>
      </w:pPr>
      <w:r>
        <w:rPr>
          <w:rFonts w:ascii="Arial" w:cs="Arial" w:eastAsia="Arial" w:hAnsi="Arial"/>
          <w:sz w:val="22"/>
          <w:szCs w:val="22"/>
          <w:b w:val="1"/>
          <w:bCs w:val="1"/>
          <w:color w:val="EF3A35"/>
        </w:rPr>
        <w:t>Non-GAAP Financial Measures</w:t>
      </w:r>
    </w:p>
    <w:p>
      <w:pPr>
        <w:spacing w:after="0" w:line="121" w:lineRule="exact"/>
        <w:rPr>
          <w:sz w:val="20"/>
          <w:szCs w:val="20"/>
          <w:color w:val="auto"/>
        </w:rPr>
      </w:pPr>
    </w:p>
    <w:p>
      <w:pPr>
        <w:ind w:right="20" w:firstLine="324"/>
        <w:spacing w:after="0" w:line="256" w:lineRule="auto"/>
        <w:rPr>
          <w:sz w:val="20"/>
          <w:szCs w:val="20"/>
          <w:color w:val="auto"/>
        </w:rPr>
      </w:pPr>
      <w:r>
        <w:rPr>
          <w:rFonts w:ascii="Arial" w:cs="Arial" w:eastAsia="Arial" w:hAnsi="Arial"/>
          <w:sz w:val="18"/>
          <w:szCs w:val="18"/>
          <w:color w:val="auto"/>
        </w:rPr>
        <w:t>To supplement our consolidated financial statements presented in accordance with the accounting principles generally accepted in the United States, or GAAP, our management considers certain financial measures that are not prepared in accordance with GAAP, collectively referred to as non-GAAP financial measures, including adjusted net income, adjusted net income per diluted common share, adjusted EBITDA, adjusted EBITDA margin, revenue growth (including by product offering) on a constant currency basis (expressed as a percentage), and adjusted free cash flow. These non-GAAP financial measures are included solely to provide investors with additional information regarding our financial results and are not based on any standardized methodology prescribed by GAAP and are not necessarily comparable to similarly-titled measures presented by other companies.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6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9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7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ind w:right="26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3"/>
        </w:trPr>
        <w:tc>
          <w:tcPr>
            <w:tcW w:w="79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Non-GAAP Financial Measures (in thousands):</w:t>
            </w: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790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net income</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138,742</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157,581</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141,548</w:t>
            </w:r>
          </w:p>
        </w:tc>
        <w:tc>
          <w:tcPr>
            <w:tcW w:w="0" w:type="dxa"/>
            <w:vAlign w:val="bottom"/>
          </w:tcPr>
          <w:p>
            <w:pPr>
              <w:spacing w:after="0"/>
              <w:rPr>
                <w:sz w:val="1"/>
                <w:szCs w:val="1"/>
                <w:color w:val="auto"/>
              </w:rPr>
            </w:pPr>
          </w:p>
        </w:tc>
      </w:tr>
      <w:tr>
        <w:trPr>
          <w:trHeight w:val="220"/>
        </w:trPr>
        <w:tc>
          <w:tcPr>
            <w:tcW w:w="7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EBITDA</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247,115</w:t>
            </w:r>
          </w:p>
        </w:tc>
        <w:tc>
          <w:tcPr>
            <w:tcW w:w="100" w:type="dxa"/>
            <w:vAlign w:val="bottom"/>
          </w:tcPr>
          <w:p>
            <w:pPr>
              <w:spacing w:after="0"/>
              <w:rPr>
                <w:sz w:val="19"/>
                <w:szCs w:val="19"/>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240,776</w:t>
            </w:r>
          </w:p>
        </w:tc>
        <w:tc>
          <w:tcPr>
            <w:tcW w:w="100" w:type="dxa"/>
            <w:vAlign w:val="bottom"/>
          </w:tcPr>
          <w:p>
            <w:pPr>
              <w:spacing w:after="0"/>
              <w:rPr>
                <w:sz w:val="19"/>
                <w:szCs w:val="19"/>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218,074</w:t>
            </w:r>
          </w:p>
        </w:tc>
        <w:tc>
          <w:tcPr>
            <w:tcW w:w="0" w:type="dxa"/>
            <w:vAlign w:val="bottom"/>
          </w:tcPr>
          <w:p>
            <w:pPr>
              <w:spacing w:after="0"/>
              <w:rPr>
                <w:sz w:val="1"/>
                <w:szCs w:val="1"/>
                <w:color w:val="auto"/>
              </w:rPr>
            </w:pPr>
          </w:p>
        </w:tc>
      </w:tr>
      <w:tr>
        <w:trPr>
          <w:trHeight w:val="239"/>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free cash flow</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108,693</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138,468</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98,334</w:t>
            </w:r>
          </w:p>
        </w:tc>
        <w:tc>
          <w:tcPr>
            <w:tcW w:w="0" w:type="dxa"/>
            <w:vAlign w:val="bottom"/>
          </w:tcPr>
          <w:p>
            <w:pPr>
              <w:spacing w:after="0"/>
              <w:rPr>
                <w:sz w:val="1"/>
                <w:szCs w:val="1"/>
                <w:color w:val="auto"/>
              </w:rPr>
            </w:pPr>
          </w:p>
        </w:tc>
      </w:tr>
      <w:tr>
        <w:trPr>
          <w:trHeight w:val="210"/>
        </w:trPr>
        <w:tc>
          <w:tcPr>
            <w:tcW w:w="7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Revenue growth on a constant currency basis</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7 %</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5 %</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11 %</w:t>
            </w:r>
          </w:p>
        </w:tc>
        <w:tc>
          <w:tcPr>
            <w:tcW w:w="0" w:type="dxa"/>
            <w:vAlign w:val="bottom"/>
          </w:tcPr>
          <w:p>
            <w:pPr>
              <w:spacing w:after="0"/>
              <w:rPr>
                <w:sz w:val="1"/>
                <w:szCs w:val="1"/>
                <w:color w:val="auto"/>
              </w:rPr>
            </w:pPr>
          </w:p>
        </w:tc>
      </w:tr>
    </w:tbl>
    <w:p>
      <w:pPr>
        <w:spacing w:after="0" w:line="189"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These non-GAAP financial measures have not been calculated in accordance with GAAP, should be considered only in addition to results prepared in accordance with GAAP and should not be considered as a substitute for, or superior to, GAAP measures. In addition, adjusted net income, adjusted net income per diluted common share, adjusted EBITDA, adjusted EBITDA margin, revenue growth (including by product offering) on a constant currency basis (expressed as a percentage) and adjusted free cash flow should not be construed as indicators of our operating performance, liquidity or cash flows generated by operating, investing and financing activities, as there may be significant factors or trends that they fail to address. We caution investors that non-GAAP financial information, by its nature, departs from traditional accounting conventions; accordingly, its use can make it difficult to compare our current results with our results from other reporting periods and with the results of other companies.</w:t>
      </w:r>
    </w:p>
    <w:p>
      <w:pPr>
        <w:spacing w:after="0" w:line="77" w:lineRule="exact"/>
        <w:rPr>
          <w:sz w:val="20"/>
          <w:szCs w:val="20"/>
          <w:color w:val="auto"/>
        </w:rPr>
      </w:pPr>
    </w:p>
    <w:p>
      <w:pPr>
        <w:ind w:right="180" w:firstLine="324"/>
        <w:spacing w:after="0" w:line="255" w:lineRule="auto"/>
        <w:rPr>
          <w:sz w:val="20"/>
          <w:szCs w:val="20"/>
          <w:color w:val="auto"/>
        </w:rPr>
      </w:pPr>
      <w:r>
        <w:rPr>
          <w:rFonts w:ascii="Arial" w:cs="Arial" w:eastAsia="Arial" w:hAnsi="Arial"/>
          <w:sz w:val="18"/>
          <w:szCs w:val="18"/>
          <w:color w:val="auto"/>
        </w:rPr>
        <w:t>Our management uses these non-GAAP financial measures, in conjunction with GAAP financial measures, as an integral part of managing the business and to, among other things: (i) monitor and evaluate the performance of our business operations, financial performance and overall liquidity; (ii) facilitate management’s internal comparisons of the historical operating performance of its business operations; (iii) facilitate management’s external comparisons of the results of its overall business to the historical operating performance of other companies that may have different capital structures and debt levels; (iv) review and assess the operating performance of our management team and, together with other operational objectives, as a measure in evaluating employee compensation; (v) analyze and evaluate financial and strategic planning decisions regarding future operating investments; and (vi) plan for and prepare future annual operating budgets and determine appropriate levels of operating investments.</w:t>
      </w:r>
    </w:p>
    <w:p>
      <w:pPr>
        <w:spacing w:after="0" w:line="77"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Management believes that adjusted net income, adjusted net income per diluted common share, adjusted EBITDA, adjusted EBITDA margin, revenue growth (including by product offering) on a constant currency basis (expressed as a percentage) and adjusted free cash flow are useful to investors because these measures enable investors to analyze Shutterstock’s operating results on the same basis as that used by management. Additionally, management believes that adjusted net income, adjusted net income per diluted common share, adjusted EBITDA and adjusted EBITDA margin provide useful information to investors about the performance of the Company’s overall business because such measures eliminate the effects of unusual or other infrequent charges that are not directly attributable to Shutterstock’s underlying operating performance and revenue growth (including by product offering) on a constant currency basis (expressed as a percentage), provides useful information to investors by eliminating the effect of foreign currency fluctuations that are not directly attributable to Shutterstock’s operating performance. Management also believes that providing these non-GAAP financial measures enhances the comparability for investors in assessing Shutterstock’s financial reporting. Management believes that adjusted free cash flow is useful for investors because it provides them with an important perspective on the cash available for strategic measures, after making necessary capital investments in internal-use software and website development costs to support the Company’s ongoing business operations and provides them with the same measures that management uses as the basis for making resource allocation decisions.</w:t>
      </w:r>
    </w:p>
    <w:p>
      <w:pPr>
        <w:spacing w:after="0" w:line="79" w:lineRule="exact"/>
        <w:rPr>
          <w:sz w:val="20"/>
          <w:szCs w:val="20"/>
          <w:color w:val="auto"/>
        </w:rPr>
      </w:pPr>
    </w:p>
    <w:p>
      <w:pPr>
        <w:ind w:right="100" w:firstLine="324"/>
        <w:spacing w:after="0" w:line="287" w:lineRule="auto"/>
        <w:rPr>
          <w:sz w:val="20"/>
          <w:szCs w:val="20"/>
          <w:color w:val="auto"/>
        </w:rPr>
      </w:pPr>
      <w:r>
        <w:rPr>
          <w:rFonts w:ascii="Arial" w:cs="Arial" w:eastAsia="Arial" w:hAnsi="Arial"/>
          <w:sz w:val="18"/>
          <w:szCs w:val="18"/>
          <w:color w:val="auto"/>
        </w:rPr>
        <w:t>Our use of non-GAAP financial measures has limitations as an analytical tool, and these measures should not be considered in isolation or as a substitute for an analysis of our results as reported under GAAP, as the excluded</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w:t>
      </w:r>
    </w:p>
    <w:p>
      <w:pPr>
        <w:sectPr>
          <w:pgSz w:w="11900" w:h="16838" w:orient="portrait"/>
          <w:cols w:equalWidth="0" w:num="1">
            <w:col w:w="11240"/>
          </w:cols>
          <w:pgMar w:left="320" w:top="871" w:right="339" w:bottom="1440" w:gutter="0" w:footer="0" w:header="0"/>
        </w:sectPr>
      </w:pPr>
    </w:p>
    <w:bookmarkStart w:id="58" w:name="page59"/>
    <w:bookmarkEnd w:id="58"/>
    <w:p>
      <w:pPr>
        <w:ind w:right="80"/>
        <w:spacing w:after="0" w:line="262" w:lineRule="auto"/>
        <w:rPr>
          <w:sz w:val="20"/>
          <w:szCs w:val="20"/>
          <w:color w:val="auto"/>
        </w:rPr>
      </w:pPr>
      <w:r>
        <w:rPr>
          <w:rFonts w:ascii="Arial" w:cs="Arial" w:eastAsia="Arial" w:hAnsi="Arial"/>
          <w:sz w:val="18"/>
          <w:szCs w:val="18"/>
          <w:color w:val="auto"/>
        </w:rPr>
        <w:t>items may have significant effects on our operating results and financial condition. Additionally, our methods for measuring non-GAAP financial measures may differ from other companies’ similarly titled measures. When evaluating our performance, these non-GAAP financial measures should be considered alongside other financial performance measures, including various cash flow metrics, net income and our other GAAP results.</w:t>
      </w:r>
    </w:p>
    <w:p>
      <w:pPr>
        <w:spacing w:after="0" w:line="68" w:lineRule="exact"/>
        <w:rPr>
          <w:sz w:val="20"/>
          <w:szCs w:val="20"/>
          <w:color w:val="auto"/>
        </w:rPr>
      </w:pPr>
    </w:p>
    <w:p>
      <w:pPr>
        <w:ind w:right="300" w:firstLine="324"/>
        <w:spacing w:after="0" w:line="257" w:lineRule="auto"/>
        <w:rPr>
          <w:sz w:val="20"/>
          <w:szCs w:val="20"/>
          <w:color w:val="auto"/>
        </w:rPr>
      </w:pPr>
      <w:r>
        <w:rPr>
          <w:rFonts w:ascii="Arial" w:cs="Arial" w:eastAsia="Arial" w:hAnsi="Arial"/>
          <w:sz w:val="18"/>
          <w:szCs w:val="18"/>
          <w:color w:val="auto"/>
        </w:rPr>
        <w:t>Our method for calculating adjusted net income, adjusted net income per diluted common share, adjusted EBITDA, adjusted EBITDA margin, revenue growth (including by product offering) on a constant currency basis (expressed as a percentage) and adjusted free cash flow, as well as a reconciliation of the differences between each of our non-GAAP financial measures (adjusted EBITDA, adjusted net income, revenue growth (including by product offering) on a constant currency basis (expressed as a percentage) and adjusted free cash flow), and each measure’s most directly comparable financial measure calculated and presented in accordance with GAAP, is presented below.</w:t>
      </w:r>
    </w:p>
    <w:p>
      <w:pPr>
        <w:spacing w:after="0" w:line="74"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The expense associated with the Giphy Retention Compensation related to (i) the one-time employment inducement bonuses and (ii) the vesting of the cash value of unvested Meta equity awards held by the employees prior to closing, which are reflected in operating expenses (together, the “Giphy Retention Compensation Expense - non-recurring”), are required payments in accordance with the terms of the acquisition. Meta’s sale of Giphy was directed by the CMA and accordingly, the terms of the acquisition were subject to CMA preapproval. Management considers the operating expense associated with these required payments to be unusual and non-recurring in nature. The Giphy Retention Compensation Expense - non-recurring is not considered ongoing expense necessary to operate the Company’s business. Therefore, such expenses have been included in the below adjustments for calculating adjusted EBITDA, adjusted EBITDA margin, adjusted net income and adjusted net income per diluted common share. For the twelve months ended December 31, 2024, the Company also incurred $21.4 million of Giphy Retention Compensation expense related to recurring employee costs, which is included in operating expenses, and is not included in the below adjustments for calculating adjusted EBITDA, adjusted EBITDA margin, adjusted net income and adjusted net income per diluted common share.</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A-2</w:t>
      </w:r>
    </w:p>
    <w:p>
      <w:pPr>
        <w:sectPr>
          <w:pgSz w:w="11900" w:h="16838" w:orient="portrait"/>
          <w:cols w:equalWidth="0" w:num="1">
            <w:col w:w="11200"/>
          </w:cols>
          <w:pgMar w:left="320" w:top="877" w:right="37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i w:val="1"/>
          <w:iCs w:val="1"/>
          <w:color w:val="auto"/>
        </w:rPr>
        <w:t>Adjusted Net Income and Adjusted Net Income Per Diluted Common Share</w:t>
      </w:r>
    </w:p>
    <w:p>
      <w:pPr>
        <w:spacing w:after="0" w:line="115"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We define adjusted net income as net income adjusted for the impact of non-cash equity-based compensation, the amortization of acquisition-related intangible assets, bargain purchase gain related to the acquisition of Giphy, Giphy Retention Compensation Expense - non-recurring, impairment of lease and related assets, cost incurred associated with the Getty merger, unrealized gains and losses on investments, severance costs associated with strategic workforce optimizations and the estimated tax impact of such adjustments. We define adjusted net income per diluted common share as adjusted net income divided by weighted average diluted shares.</w:t>
      </w:r>
    </w:p>
    <w:p>
      <w:pPr>
        <w:spacing w:after="0" w:line="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a reconciliation of net income to adjusted net income for each of the periods indicated:</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20" w:type="dxa"/>
            <w:vAlign w:val="bottom"/>
            <w:gridSpan w:val="6"/>
          </w:tcPr>
          <w:p>
            <w:pPr>
              <w:jc w:val="center"/>
              <w:ind w:left="5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40" w:type="dxa"/>
            <w:vAlign w:val="bottom"/>
          </w:tcPr>
          <w:p>
            <w:pPr>
              <w:spacing w:after="0"/>
              <w:rPr>
                <w:sz w:val="16"/>
                <w:szCs w:val="16"/>
                <w:color w:val="auto"/>
              </w:rPr>
            </w:pPr>
          </w:p>
        </w:tc>
      </w:tr>
      <w:tr>
        <w:trPr>
          <w:trHeight w:val="37"/>
        </w:trPr>
        <w:tc>
          <w:tcPr>
            <w:tcW w:w="762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r>
      <w:tr>
        <w:trPr>
          <w:trHeight w:val="186"/>
        </w:trPr>
        <w:tc>
          <w:tcPr>
            <w:tcW w:w="7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0"/>
        </w:trPr>
        <w:tc>
          <w:tcPr>
            <w:tcW w:w="7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37"/>
        </w:trPr>
        <w:tc>
          <w:tcPr>
            <w:tcW w:w="7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243"/>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35,932</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110,269</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76,103</w:t>
            </w:r>
          </w:p>
        </w:tc>
      </w:tr>
      <w:tr>
        <w:trPr>
          <w:trHeight w:val="233"/>
        </w:trPr>
        <w:tc>
          <w:tcPr>
            <w:tcW w:w="7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 / (less) Non-GAAP adjustments:</w:t>
            </w: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39"/>
        </w:trPr>
        <w:tc>
          <w:tcPr>
            <w:tcW w:w="7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Non-cash equity-based compensation</w:t>
            </w:r>
          </w:p>
        </w:tc>
        <w:tc>
          <w:tcPr>
            <w:tcW w:w="26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56,330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48,577</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35,740</w:t>
            </w:r>
          </w:p>
        </w:tc>
      </w:tr>
      <w:tr>
        <w:trPr>
          <w:trHeight w:val="243"/>
        </w:trPr>
        <w:tc>
          <w:tcPr>
            <w:tcW w:w="7620" w:type="dxa"/>
            <w:vAlign w:val="bottom"/>
          </w:tcPr>
          <w:p>
            <w:pPr>
              <w:ind w:left="140"/>
              <w:spacing w:after="0" w:line="243" w:lineRule="exact"/>
              <w:rPr>
                <w:sz w:val="20"/>
                <w:szCs w:val="20"/>
                <w:color w:val="auto"/>
              </w:rPr>
            </w:pPr>
            <w:r>
              <w:rPr>
                <w:rFonts w:ascii="Times New Roman" w:cs="Times New Roman" w:eastAsia="Times New Roman" w:hAnsi="Times New Roman"/>
                <w:sz w:val="16"/>
                <w:szCs w:val="16"/>
                <w:color w:val="auto"/>
              </w:rPr>
              <w:t>Tax effect of non-cash equity-based compensation</w:t>
            </w:r>
            <w:r>
              <w:rPr>
                <w:rFonts w:ascii="Times New Roman" w:cs="Times New Roman" w:eastAsia="Times New Roman" w:hAnsi="Times New Roman"/>
                <w:sz w:val="23"/>
                <w:szCs w:val="23"/>
                <w:color w:val="auto"/>
                <w:vertAlign w:val="superscript"/>
              </w:rPr>
              <w:t>(1)(2)</w:t>
            </w: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(6,883)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(11,416)</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(8,397)</w:t>
            </w:r>
          </w:p>
        </w:tc>
      </w:tr>
      <w:tr>
        <w:trPr>
          <w:trHeight w:val="229"/>
        </w:trPr>
        <w:tc>
          <w:tcPr>
            <w:tcW w:w="762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6"/>
                <w:szCs w:val="16"/>
                <w:color w:val="auto"/>
              </w:rPr>
              <w:t>Acquisition-related amortization expense</w:t>
            </w:r>
            <w:r>
              <w:rPr>
                <w:rFonts w:ascii="Times New Roman" w:cs="Times New Roman" w:eastAsia="Times New Roman" w:hAnsi="Times New Roman"/>
                <w:sz w:val="23"/>
                <w:szCs w:val="23"/>
                <w:color w:val="auto"/>
                <w:vertAlign w:val="superscript"/>
              </w:rPr>
              <w:t>(3)</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37,967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34,737</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29,302</w:t>
            </w:r>
          </w:p>
        </w:tc>
      </w:tr>
      <w:tr>
        <w:trPr>
          <w:trHeight w:val="230"/>
        </w:trPr>
        <w:tc>
          <w:tcPr>
            <w:tcW w:w="7620" w:type="dxa"/>
            <w:vAlign w:val="bottom"/>
          </w:tcPr>
          <w:p>
            <w:pPr>
              <w:ind w:left="140"/>
              <w:spacing w:after="0" w:line="230" w:lineRule="exact"/>
              <w:rPr>
                <w:sz w:val="20"/>
                <w:szCs w:val="20"/>
                <w:color w:val="auto"/>
              </w:rPr>
            </w:pPr>
            <w:r>
              <w:rPr>
                <w:rFonts w:ascii="Times New Roman" w:cs="Times New Roman" w:eastAsia="Times New Roman" w:hAnsi="Times New Roman"/>
                <w:sz w:val="16"/>
                <w:szCs w:val="16"/>
                <w:color w:val="auto"/>
              </w:rPr>
              <w:t>Tax effect of acquisition-related amortization expense</w:t>
            </w:r>
            <w:r>
              <w:rPr>
                <w:rFonts w:ascii="Times New Roman" w:cs="Times New Roman" w:eastAsia="Times New Roman" w:hAnsi="Times New Roman"/>
                <w:sz w:val="23"/>
                <w:szCs w:val="23"/>
                <w:color w:val="auto"/>
                <w:vertAlign w:val="superscript"/>
              </w:rPr>
              <w:t>(1)</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(8,922)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(8,163)</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(6,886)</w:t>
            </w:r>
          </w:p>
        </w:tc>
      </w:tr>
      <w:tr>
        <w:trPr>
          <w:trHeight w:val="229"/>
        </w:trPr>
        <w:tc>
          <w:tcPr>
            <w:tcW w:w="7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Bargain purchase gain</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(50,261)</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76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Giphy Retention Compensation Expense - non-recurring</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22,116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31,577</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9"/>
        </w:trPr>
        <w:tc>
          <w:tcPr>
            <w:tcW w:w="7620" w:type="dxa"/>
            <w:vAlign w:val="bottom"/>
            <w:shd w:val="clear" w:color="auto" w:fill="CCEEFF"/>
          </w:tcPr>
          <w:p>
            <w:pPr>
              <w:ind w:left="140"/>
              <w:spacing w:after="0" w:line="239" w:lineRule="exact"/>
              <w:rPr>
                <w:sz w:val="20"/>
                <w:szCs w:val="20"/>
                <w:color w:val="auto"/>
              </w:rPr>
            </w:pPr>
            <w:r>
              <w:rPr>
                <w:rFonts w:ascii="Times New Roman" w:cs="Times New Roman" w:eastAsia="Times New Roman" w:hAnsi="Times New Roman"/>
                <w:sz w:val="16"/>
                <w:szCs w:val="16"/>
                <w:color w:val="auto"/>
              </w:rPr>
              <w:t>Tax effect of Giphy Retention Compensation Expense - non-recurring</w:t>
            </w:r>
            <w:r>
              <w:rPr>
                <w:rFonts w:ascii="Times New Roman" w:cs="Times New Roman" w:eastAsia="Times New Roman" w:hAnsi="Times New Roman"/>
                <w:sz w:val="23"/>
                <w:szCs w:val="23"/>
                <w:color w:val="auto"/>
                <w:vertAlign w:val="superscript"/>
              </w:rPr>
              <w:t>(1)</w:t>
            </w:r>
          </w:p>
        </w:tc>
        <w:tc>
          <w:tcPr>
            <w:tcW w:w="26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(5,197)</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(7,421)</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76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Impairment of lease and related assets</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18,664</w:t>
            </w:r>
          </w:p>
        </w:tc>
      </w:tr>
      <w:tr>
        <w:trPr>
          <w:trHeight w:val="239"/>
        </w:trPr>
        <w:tc>
          <w:tcPr>
            <w:tcW w:w="7620" w:type="dxa"/>
            <w:vAlign w:val="bottom"/>
            <w:shd w:val="clear" w:color="auto" w:fill="CCEEFF"/>
          </w:tcPr>
          <w:p>
            <w:pPr>
              <w:ind w:left="140"/>
              <w:spacing w:after="0" w:line="239" w:lineRule="exact"/>
              <w:rPr>
                <w:sz w:val="20"/>
                <w:szCs w:val="20"/>
                <w:color w:val="auto"/>
              </w:rPr>
            </w:pPr>
            <w:r>
              <w:rPr>
                <w:rFonts w:ascii="Times New Roman" w:cs="Times New Roman" w:eastAsia="Times New Roman" w:hAnsi="Times New Roman"/>
                <w:sz w:val="16"/>
                <w:szCs w:val="16"/>
                <w:color w:val="auto"/>
              </w:rPr>
              <w:t>Tax effect of impairment of lease and related assets</w:t>
            </w:r>
            <w:r>
              <w:rPr>
                <w:rFonts w:ascii="Times New Roman" w:cs="Times New Roman" w:eastAsia="Times New Roman" w:hAnsi="Times New Roman"/>
                <w:sz w:val="23"/>
                <w:szCs w:val="23"/>
                <w:color w:val="auto"/>
                <w:vertAlign w:val="superscript"/>
              </w:rPr>
              <w:t>(1)</w:t>
            </w:r>
          </w:p>
        </w:tc>
        <w:tc>
          <w:tcPr>
            <w:tcW w:w="26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(4,199)</w:t>
            </w:r>
          </w:p>
        </w:tc>
      </w:tr>
      <w:tr>
        <w:trPr>
          <w:trHeight w:val="220"/>
        </w:trPr>
        <w:tc>
          <w:tcPr>
            <w:tcW w:w="76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Merger-related costs</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9"/>
        </w:trPr>
        <w:tc>
          <w:tcPr>
            <w:tcW w:w="7620" w:type="dxa"/>
            <w:vAlign w:val="bottom"/>
            <w:shd w:val="clear" w:color="auto" w:fill="CCEEFF"/>
          </w:tcPr>
          <w:p>
            <w:pPr>
              <w:ind w:left="140"/>
              <w:spacing w:after="0" w:line="239" w:lineRule="exact"/>
              <w:rPr>
                <w:sz w:val="20"/>
                <w:szCs w:val="20"/>
                <w:color w:val="auto"/>
              </w:rPr>
            </w:pPr>
            <w:r>
              <w:rPr>
                <w:rFonts w:ascii="Times New Roman" w:cs="Times New Roman" w:eastAsia="Times New Roman" w:hAnsi="Times New Roman"/>
                <w:sz w:val="16"/>
                <w:szCs w:val="16"/>
                <w:color w:val="auto"/>
              </w:rPr>
              <w:t>Tax effect of merger-related costs</w:t>
            </w:r>
            <w:r>
              <w:rPr>
                <w:rFonts w:ascii="Times New Roman" w:cs="Times New Roman" w:eastAsia="Times New Roman" w:hAnsi="Times New Roman"/>
                <w:sz w:val="23"/>
                <w:szCs w:val="23"/>
                <w:color w:val="auto"/>
                <w:vertAlign w:val="superscript"/>
              </w:rPr>
              <w:t>(1)</w:t>
            </w:r>
          </w:p>
        </w:tc>
        <w:tc>
          <w:tcPr>
            <w:tcW w:w="26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(619)</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0"/>
        </w:trPr>
        <w:tc>
          <w:tcPr>
            <w:tcW w:w="7620" w:type="dxa"/>
            <w:vAlign w:val="bottom"/>
          </w:tcPr>
          <w:p>
            <w:pPr>
              <w:ind w:left="140"/>
              <w:spacing w:after="0" w:line="230" w:lineRule="exact"/>
              <w:rPr>
                <w:sz w:val="20"/>
                <w:szCs w:val="20"/>
                <w:color w:val="auto"/>
              </w:rPr>
            </w:pPr>
            <w:r>
              <w:rPr>
                <w:rFonts w:ascii="Times New Roman" w:cs="Times New Roman" w:eastAsia="Times New Roman" w:hAnsi="Times New Roman"/>
                <w:sz w:val="16"/>
                <w:szCs w:val="16"/>
                <w:color w:val="auto"/>
              </w:rPr>
              <w:t>Other</w:t>
            </w:r>
            <w:r>
              <w:rPr>
                <w:rFonts w:ascii="Times New Roman" w:cs="Times New Roman" w:eastAsia="Times New Roman" w:hAnsi="Times New Roman"/>
                <w:sz w:val="23"/>
                <w:szCs w:val="23"/>
                <w:color w:val="auto"/>
                <w:vertAlign w:val="superscript"/>
              </w:rPr>
              <w:t>(4)</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7,425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12,493</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1,576</w:t>
            </w:r>
          </w:p>
        </w:tc>
      </w:tr>
      <w:tr>
        <w:trPr>
          <w:trHeight w:val="230"/>
        </w:trPr>
        <w:tc>
          <w:tcPr>
            <w:tcW w:w="762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6"/>
                <w:szCs w:val="16"/>
                <w:color w:val="auto"/>
              </w:rPr>
              <w:t>Tax effect of other</w:t>
            </w:r>
            <w:r>
              <w:rPr>
                <w:rFonts w:ascii="Times New Roman" w:cs="Times New Roman" w:eastAsia="Times New Roman" w:hAnsi="Times New Roman"/>
                <w:sz w:val="23"/>
                <w:szCs w:val="23"/>
                <w:color w:val="auto"/>
                <w:vertAlign w:val="superscript"/>
              </w:rPr>
              <w:t>(1)</w:t>
            </w: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(2,157)</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(2,811)</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w:t>
            </w:r>
          </w:p>
        </w:tc>
      </w:tr>
      <w:tr>
        <w:trPr>
          <w:trHeight w:val="223"/>
        </w:trPr>
        <w:tc>
          <w:tcPr>
            <w:tcW w:w="7620" w:type="dxa"/>
            <w:vAlign w:val="bottom"/>
            <w:tcBorders>
              <w:bottom w:val="single" w:sz="8" w:color="CCEEFF"/>
            </w:tcBorders>
          </w:tcPr>
          <w:p>
            <w:pPr>
              <w:ind w:left="20"/>
              <w:spacing w:after="0" w:line="223" w:lineRule="exact"/>
              <w:rPr>
                <w:sz w:val="20"/>
                <w:szCs w:val="20"/>
                <w:color w:val="auto"/>
              </w:rPr>
            </w:pPr>
            <w:r>
              <w:rPr>
                <w:rFonts w:ascii="Times New Roman" w:cs="Times New Roman" w:eastAsia="Times New Roman" w:hAnsi="Times New Roman"/>
                <w:sz w:val="16"/>
                <w:szCs w:val="16"/>
                <w:color w:val="auto"/>
              </w:rPr>
              <w:t>Adjusted net income</w:t>
            </w:r>
            <w:r>
              <w:rPr>
                <w:rFonts w:ascii="Times New Roman" w:cs="Times New Roman" w:eastAsia="Times New Roman" w:hAnsi="Times New Roman"/>
                <w:sz w:val="23"/>
                <w:szCs w:val="23"/>
                <w:color w:val="auto"/>
                <w:vertAlign w:val="superscript"/>
              </w:rPr>
              <w:t>(4)</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$ 138,742</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$ 157,581</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$ 141,548</w:t>
            </w:r>
          </w:p>
        </w:tc>
      </w:tr>
      <w:tr>
        <w:trPr>
          <w:trHeight w:val="128"/>
        </w:trPr>
        <w:tc>
          <w:tcPr>
            <w:tcW w:w="76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r>
      <w:tr>
        <w:trPr>
          <w:trHeight w:val="220"/>
        </w:trPr>
        <w:tc>
          <w:tcPr>
            <w:tcW w:w="7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per diluted common share</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$ 1.01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$ 3.04</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$ 2.08</w:t>
            </w:r>
          </w:p>
        </w:tc>
      </w:tr>
      <w:tr>
        <w:trPr>
          <w:trHeight w:val="239"/>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net income per diluted common share</w:t>
            </w:r>
          </w:p>
        </w:tc>
        <w:tc>
          <w:tcPr>
            <w:tcW w:w="26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$ 3.89</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$ 4.35</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$ 3.87</w:t>
            </w:r>
          </w:p>
        </w:tc>
      </w:tr>
      <w:tr>
        <w:trPr>
          <w:trHeight w:val="223"/>
        </w:trPr>
        <w:tc>
          <w:tcPr>
            <w:tcW w:w="7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 average diluted shares</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35,658</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36,242</w:t>
            </w:r>
          </w:p>
        </w:tc>
        <w:tc>
          <w:tcPr>
            <w:tcW w:w="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36,546</w:t>
            </w:r>
          </w:p>
        </w:tc>
      </w:tr>
    </w:tbl>
    <w:p>
      <w:pPr>
        <w:spacing w:after="0" w:line="193" w:lineRule="exact"/>
        <w:rPr>
          <w:sz w:val="20"/>
          <w:szCs w:val="20"/>
          <w:color w:val="auto"/>
        </w:rPr>
      </w:pPr>
    </w:p>
    <w:p>
      <w:pPr>
        <w:ind w:left="340" w:hanging="332"/>
        <w:spacing w:after="0"/>
        <w:tabs>
          <w:tab w:leader="none" w:pos="340" w:val="left"/>
        </w:tabs>
        <w:numPr>
          <w:ilvl w:val="0"/>
          <w:numId w:val="66"/>
        </w:numPr>
        <w:rPr>
          <w:rFonts w:ascii="Arial" w:cs="Arial" w:eastAsia="Arial" w:hAnsi="Arial"/>
          <w:sz w:val="14"/>
          <w:szCs w:val="14"/>
          <w:color w:val="auto"/>
        </w:rPr>
      </w:pPr>
      <w:r>
        <w:rPr>
          <w:rFonts w:ascii="Arial" w:cs="Arial" w:eastAsia="Arial" w:hAnsi="Arial"/>
          <w:sz w:val="14"/>
          <w:szCs w:val="14"/>
          <w:color w:val="auto"/>
        </w:rPr>
        <w:t>Statutory tax rates are used to calculate the tax effect of the adjustments.</w:t>
      </w:r>
    </w:p>
    <w:p>
      <w:pPr>
        <w:spacing w:after="0" w:line="15" w:lineRule="exact"/>
        <w:rPr>
          <w:rFonts w:ascii="Arial" w:cs="Arial" w:eastAsia="Arial" w:hAnsi="Arial"/>
          <w:sz w:val="14"/>
          <w:szCs w:val="14"/>
          <w:color w:val="auto"/>
        </w:rPr>
      </w:pPr>
    </w:p>
    <w:p>
      <w:pPr>
        <w:ind w:left="360" w:hanging="352"/>
        <w:spacing w:after="0"/>
        <w:tabs>
          <w:tab w:leader="none" w:pos="360" w:val="left"/>
        </w:tabs>
        <w:numPr>
          <w:ilvl w:val="0"/>
          <w:numId w:val="66"/>
        </w:numPr>
        <w:rPr>
          <w:rFonts w:ascii="Arial" w:cs="Arial" w:eastAsia="Arial" w:hAnsi="Arial"/>
          <w:sz w:val="14"/>
          <w:szCs w:val="14"/>
          <w:color w:val="auto"/>
        </w:rPr>
      </w:pPr>
      <w:r>
        <w:rPr>
          <w:rFonts w:ascii="Arial" w:cs="Arial" w:eastAsia="Arial" w:hAnsi="Arial"/>
          <w:sz w:val="14"/>
          <w:szCs w:val="14"/>
          <w:color w:val="auto"/>
        </w:rPr>
        <w:t>For the twelve months ended December 31, 2024, the tax effect of non-cash equity-based compensation includes a $6.2 million add-back for the reduction of deferred tax</w:t>
      </w:r>
    </w:p>
    <w:p>
      <w:pPr>
        <w:spacing w:after="0" w:line="15" w:lineRule="exact"/>
        <w:rPr>
          <w:sz w:val="20"/>
          <w:szCs w:val="20"/>
          <w:color w:val="auto"/>
        </w:rPr>
      </w:pPr>
    </w:p>
    <w:p>
      <w:pPr>
        <w:ind w:left="340"/>
        <w:spacing w:after="0" w:line="261" w:lineRule="auto"/>
        <w:rPr>
          <w:sz w:val="20"/>
          <w:szCs w:val="20"/>
          <w:color w:val="auto"/>
        </w:rPr>
      </w:pPr>
      <w:r>
        <w:rPr>
          <w:rFonts w:ascii="Arial" w:cs="Arial" w:eastAsia="Arial" w:hAnsi="Arial"/>
          <w:sz w:val="14"/>
          <w:szCs w:val="14"/>
          <w:color w:val="auto"/>
        </w:rPr>
        <w:t>assets associated with the expiration of performance-based stock options and restricted stock units granted the Company’s Founder and Executive Chairman in 2014. The performance-based metrics were not met, the awards were not exercisable, and the Company recognized a non-cash tax expense for the change in deferred taxes.</w:t>
      </w:r>
    </w:p>
    <w:p>
      <w:pPr>
        <w:spacing w:after="0" w:line="1" w:lineRule="exact"/>
        <w:rPr>
          <w:sz w:val="20"/>
          <w:szCs w:val="20"/>
          <w:color w:val="auto"/>
        </w:rPr>
      </w:pPr>
    </w:p>
    <w:p>
      <w:pPr>
        <w:ind w:left="340" w:right="20" w:hanging="332"/>
        <w:spacing w:after="0" w:line="251" w:lineRule="auto"/>
        <w:tabs>
          <w:tab w:leader="none" w:pos="360" w:val="left"/>
        </w:tabs>
        <w:numPr>
          <w:ilvl w:val="0"/>
          <w:numId w:val="67"/>
        </w:numPr>
        <w:rPr>
          <w:rFonts w:ascii="Arial" w:cs="Arial" w:eastAsia="Arial" w:hAnsi="Arial"/>
          <w:sz w:val="14"/>
          <w:szCs w:val="14"/>
          <w:color w:val="auto"/>
        </w:rPr>
      </w:pPr>
      <w:r>
        <w:rPr>
          <w:rFonts w:ascii="Arial" w:cs="Arial" w:eastAsia="Arial" w:hAnsi="Arial"/>
          <w:sz w:val="14"/>
          <w:szCs w:val="14"/>
          <w:color w:val="auto"/>
        </w:rPr>
        <w:t>Of these amounts, $32.7 million, $31.6 million and $27.0 million are included in cost of revenue for the years ended December 31, 2024, 2023 and 2022, respectively. The remainder of acquisition-related amortization expense is included in general and administrative expense in the Statement of Operations.</w:t>
      </w:r>
    </w:p>
    <w:p>
      <w:pPr>
        <w:ind w:left="340" w:hanging="332"/>
        <w:spacing w:after="0"/>
        <w:tabs>
          <w:tab w:leader="none" w:pos="340" w:val="left"/>
        </w:tabs>
        <w:numPr>
          <w:ilvl w:val="0"/>
          <w:numId w:val="67"/>
        </w:numPr>
        <w:rPr>
          <w:rFonts w:ascii="Arial" w:cs="Arial" w:eastAsia="Arial" w:hAnsi="Arial"/>
          <w:sz w:val="14"/>
          <w:szCs w:val="14"/>
          <w:color w:val="auto"/>
        </w:rPr>
      </w:pPr>
      <w:r>
        <w:rPr>
          <w:rFonts w:ascii="Arial" w:cs="Arial" w:eastAsia="Arial" w:hAnsi="Arial"/>
          <w:sz w:val="14"/>
          <w:szCs w:val="14"/>
          <w:color w:val="auto"/>
        </w:rPr>
        <w:t>Other consists of unrealized gains and losses on investments and severance costs associated with strategic workforce optimizations.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A-3</w:t>
      </w:r>
    </w:p>
    <w:p>
      <w:pPr>
        <w:sectPr>
          <w:pgSz w:w="11900" w:h="16838" w:orient="portrait"/>
          <w:cols w:equalWidth="0" w:num="1">
            <w:col w:w="11240"/>
          </w:cols>
          <w:pgMar w:left="320" w:top="879"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i w:val="1"/>
          <w:iCs w:val="1"/>
          <w:color w:val="auto"/>
        </w:rPr>
        <w:t>Adjusted EBITDA and Adjusted EBITDA Margin</w:t>
      </w:r>
    </w:p>
    <w:p>
      <w:pPr>
        <w:spacing w:after="0" w:line="115"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We define adjusted EBITDA as net income adjusted for depreciation and amortization, non-cash equity-based compensation, bargain purchase gain related to the acquisition of Giphy, Giphy Retention Compensation Expense - non-recurring, impairment of lease and related assets, foreign currency transaction gains and losses, severance costs associated with strategic workforce optimizations, unrealized gains and losses on investments, transaction costs associated with the Getty merger, interest income and expense and income taxes. We define adjusted EBITDA margin as the ratio of adjusted EBITDA to revenue.</w:t>
      </w:r>
    </w:p>
    <w:p>
      <w:pPr>
        <w:spacing w:after="0" w:line="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a reconciliation of net income to adjusted EBITDA for each of the periods indicated:</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20" w:type="dxa"/>
            <w:vAlign w:val="bottom"/>
          </w:tcPr>
          <w:p>
            <w:pPr>
              <w:spacing w:after="0"/>
              <w:rPr>
                <w:sz w:val="16"/>
                <w:szCs w:val="16"/>
                <w:color w:val="auto"/>
              </w:rPr>
            </w:pPr>
          </w:p>
        </w:tc>
        <w:tc>
          <w:tcPr>
            <w:tcW w:w="2680" w:type="dxa"/>
            <w:vAlign w:val="bottom"/>
            <w:gridSpan w:val="5"/>
          </w:tcPr>
          <w:p>
            <w:pPr>
              <w:jc w:val="center"/>
              <w:ind w:left="7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20" w:type="dxa"/>
            <w:vAlign w:val="bottom"/>
          </w:tcPr>
          <w:p>
            <w:pPr>
              <w:spacing w:after="0"/>
              <w:rPr>
                <w:sz w:val="16"/>
                <w:szCs w:val="16"/>
                <w:color w:val="auto"/>
              </w:rPr>
            </w:pPr>
          </w:p>
        </w:tc>
      </w:tr>
      <w:tr>
        <w:trPr>
          <w:trHeight w:val="23"/>
        </w:trPr>
        <w:tc>
          <w:tcPr>
            <w:tcW w:w="77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186"/>
        </w:trPr>
        <w:tc>
          <w:tcPr>
            <w:tcW w:w="7720" w:type="dxa"/>
            <w:vAlign w:val="bottom"/>
          </w:tcPr>
          <w:p>
            <w:pPr>
              <w:spacing w:after="0"/>
              <w:rPr>
                <w:sz w:val="16"/>
                <w:szCs w:val="16"/>
                <w:color w:val="auto"/>
              </w:rPr>
            </w:pPr>
          </w:p>
        </w:tc>
        <w:tc>
          <w:tcPr>
            <w:tcW w:w="1100" w:type="dxa"/>
            <w:vAlign w:val="bottom"/>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77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27"/>
        </w:trPr>
        <w:tc>
          <w:tcPr>
            <w:tcW w:w="77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20" w:type="dxa"/>
            <w:vAlign w:val="bottom"/>
          </w:tcPr>
          <w:p>
            <w:pPr>
              <w:spacing w:after="0"/>
              <w:rPr>
                <w:sz w:val="19"/>
                <w:szCs w:val="19"/>
                <w:color w:val="auto"/>
              </w:rPr>
            </w:pPr>
          </w:p>
        </w:tc>
      </w:tr>
      <w:tr>
        <w:trPr>
          <w:trHeight w:val="23"/>
        </w:trPr>
        <w:tc>
          <w:tcPr>
            <w:tcW w:w="77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9"/>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$ 35,932</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$ 110,269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$ 76,103</w:t>
            </w:r>
          </w:p>
        </w:tc>
      </w:tr>
      <w:tr>
        <w:trPr>
          <w:trHeight w:val="220"/>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 / (less) Non-GAAP adjustments:</w:t>
            </w: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9"/>
        </w:trPr>
        <w:tc>
          <w:tcPr>
            <w:tcW w:w="7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expense</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10,561</w:t>
            </w: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1,857</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1,336</w:t>
            </w:r>
          </w:p>
        </w:tc>
      </w:tr>
      <w:tr>
        <w:trPr>
          <w:trHeight w:val="220"/>
        </w:trPr>
        <w:tc>
          <w:tcPr>
            <w:tcW w:w="77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 income</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(4,072)</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(4,785)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w:t>
            </w:r>
          </w:p>
        </w:tc>
      </w:tr>
      <w:tr>
        <w:trPr>
          <w:trHeight w:val="239"/>
        </w:trPr>
        <w:tc>
          <w:tcPr>
            <w:tcW w:w="7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26,616</w:t>
            </w: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12,199</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14,934</w:t>
            </w:r>
          </w:p>
        </w:tc>
      </w:tr>
      <w:tr>
        <w:trPr>
          <w:trHeight w:val="223"/>
        </w:trPr>
        <w:tc>
          <w:tcPr>
            <w:tcW w:w="77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87,626</w:t>
            </w: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79,729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68,470</w:t>
            </w:r>
          </w:p>
        </w:tc>
      </w:tr>
      <w:tr>
        <w:trPr>
          <w:trHeight w:val="230"/>
        </w:trPr>
        <w:tc>
          <w:tcPr>
            <w:tcW w:w="7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EBITDA</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156,663</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199,269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160,756</w:t>
            </w:r>
          </w:p>
        </w:tc>
      </w:tr>
      <w:tr>
        <w:trPr>
          <w:trHeight w:val="270"/>
        </w:trPr>
        <w:tc>
          <w:tcPr>
            <w:tcW w:w="77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20" w:type="dxa"/>
            <w:vAlign w:val="bottom"/>
          </w:tcPr>
          <w:p>
            <w:pPr>
              <w:spacing w:after="0"/>
              <w:rPr>
                <w:sz w:val="23"/>
                <w:szCs w:val="23"/>
                <w:color w:val="auto"/>
              </w:rPr>
            </w:pPr>
          </w:p>
        </w:tc>
      </w:tr>
      <w:tr>
        <w:trPr>
          <w:trHeight w:val="229"/>
        </w:trPr>
        <w:tc>
          <w:tcPr>
            <w:tcW w:w="7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Non-cash equity-based compensation</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56,330</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48,577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35,740</w:t>
            </w:r>
          </w:p>
        </w:tc>
      </w:tr>
      <w:tr>
        <w:trPr>
          <w:trHeight w:val="220"/>
        </w:trPr>
        <w:tc>
          <w:tcPr>
            <w:tcW w:w="77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Bargain purchase gain</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(50,261)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9"/>
        </w:trPr>
        <w:tc>
          <w:tcPr>
            <w:tcW w:w="7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Giphy Retention Compensation Expense - non-recurring</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22,116</w:t>
            </w: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31,577</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77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Merger-related costs</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2,750</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9"/>
        </w:trPr>
        <w:tc>
          <w:tcPr>
            <w:tcW w:w="7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Foreign currency loss / (gain)</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1,831</w:t>
            </w: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(879)</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1,338</w:t>
            </w:r>
          </w:p>
        </w:tc>
      </w:tr>
      <w:tr>
        <w:trPr>
          <w:trHeight w:val="220"/>
        </w:trPr>
        <w:tc>
          <w:tcPr>
            <w:tcW w:w="77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Unrealized gain on investment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(2,160)</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9"/>
        </w:trPr>
        <w:tc>
          <w:tcPr>
            <w:tcW w:w="7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Impairment of lease and related assets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18,664</w:t>
            </w:r>
          </w:p>
        </w:tc>
      </w:tr>
      <w:tr>
        <w:trPr>
          <w:trHeight w:val="223"/>
        </w:trPr>
        <w:tc>
          <w:tcPr>
            <w:tcW w:w="77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Workforce optimization - severance</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9,585</w:t>
            </w: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12,493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1,576</w:t>
            </w:r>
          </w:p>
        </w:tc>
      </w:tr>
      <w:tr>
        <w:trPr>
          <w:trHeight w:val="223"/>
        </w:trPr>
        <w:tc>
          <w:tcPr>
            <w:tcW w:w="7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Adjusted EBITDA</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$ 247,115</w:t>
            </w:r>
          </w:p>
        </w:tc>
        <w:tc>
          <w:tcPr>
            <w:tcW w:w="10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$ 240,776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$ 218,074</w:t>
            </w:r>
          </w:p>
        </w:tc>
      </w:tr>
      <w:tr>
        <w:trPr>
          <w:trHeight w:val="257"/>
        </w:trPr>
        <w:tc>
          <w:tcPr>
            <w:tcW w:w="77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20" w:type="dxa"/>
            <w:vAlign w:val="bottom"/>
          </w:tcPr>
          <w:p>
            <w:pPr>
              <w:spacing w:after="0"/>
              <w:rPr>
                <w:sz w:val="22"/>
                <w:szCs w:val="22"/>
                <w:color w:val="auto"/>
              </w:rPr>
            </w:pPr>
          </w:p>
        </w:tc>
      </w:tr>
      <w:tr>
        <w:trPr>
          <w:trHeight w:val="229"/>
        </w:trPr>
        <w:tc>
          <w:tcPr>
            <w:tcW w:w="7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Revenue</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935,262</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874,587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827,826</w:t>
            </w:r>
          </w:p>
        </w:tc>
      </w:tr>
      <w:tr>
        <w:trPr>
          <w:trHeight w:val="220"/>
        </w:trPr>
        <w:tc>
          <w:tcPr>
            <w:tcW w:w="77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Net income margin</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3.8 %</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9.2 %</w:t>
            </w:r>
          </w:p>
        </w:tc>
      </w:tr>
      <w:tr>
        <w:trPr>
          <w:trHeight w:val="239"/>
        </w:trPr>
        <w:tc>
          <w:tcPr>
            <w:tcW w:w="7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Adjusted EBITDA margin</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26.4 %</w:t>
            </w: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27.5 %</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26.3 %</w:t>
            </w:r>
          </w:p>
        </w:tc>
      </w:tr>
    </w:tbl>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Growth (including by distribution channel) on a Constant Currency Basis</w:t>
      </w:r>
    </w:p>
    <w:p>
      <w:pPr>
        <w:spacing w:after="0" w:line="115" w:lineRule="exact"/>
        <w:rPr>
          <w:sz w:val="20"/>
          <w:szCs w:val="20"/>
          <w:color w:val="auto"/>
        </w:rPr>
      </w:pPr>
    </w:p>
    <w:p>
      <w:pPr>
        <w:jc w:val="both"/>
        <w:ind w:right="120" w:firstLine="324"/>
        <w:spacing w:after="0" w:line="268" w:lineRule="auto"/>
        <w:rPr>
          <w:sz w:val="20"/>
          <w:szCs w:val="20"/>
          <w:color w:val="auto"/>
        </w:rPr>
      </w:pPr>
      <w:r>
        <w:rPr>
          <w:rFonts w:ascii="Arial" w:cs="Arial" w:eastAsia="Arial" w:hAnsi="Arial"/>
          <w:sz w:val="18"/>
          <w:szCs w:val="18"/>
          <w:color w:val="auto"/>
        </w:rPr>
        <w:t>We define revenue growth (including by distribution channel) on a constant currency basis (expressed as a percentage) as the increase in current period revenues over prior period revenues, utilizing fixed exchange rates for translating foreign currency revenues for all periods in the comparison.</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20" w:type="dxa"/>
            <w:vAlign w:val="bottom"/>
          </w:tcPr>
          <w:p>
            <w:pPr>
              <w:spacing w:after="0"/>
              <w:rPr>
                <w:sz w:val="16"/>
                <w:szCs w:val="16"/>
                <w:color w:val="auto"/>
              </w:rPr>
            </w:pPr>
          </w:p>
        </w:tc>
        <w:tc>
          <w:tcPr>
            <w:tcW w:w="2680" w:type="dxa"/>
            <w:vAlign w:val="bottom"/>
            <w:gridSpan w:val="5"/>
          </w:tcPr>
          <w:p>
            <w:pPr>
              <w:ind w:left="9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20" w:type="dxa"/>
            <w:vAlign w:val="bottom"/>
          </w:tcPr>
          <w:p>
            <w:pPr>
              <w:spacing w:after="0"/>
              <w:rPr>
                <w:sz w:val="16"/>
                <w:szCs w:val="16"/>
                <w:color w:val="auto"/>
              </w:rPr>
            </w:pPr>
          </w:p>
        </w:tc>
      </w:tr>
      <w:tr>
        <w:trPr>
          <w:trHeight w:val="23"/>
        </w:trPr>
        <w:tc>
          <w:tcPr>
            <w:tcW w:w="77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186"/>
        </w:trPr>
        <w:tc>
          <w:tcPr>
            <w:tcW w:w="7720" w:type="dxa"/>
            <w:vAlign w:val="bottom"/>
          </w:tcPr>
          <w:p>
            <w:pPr>
              <w:spacing w:after="0"/>
              <w:rPr>
                <w:sz w:val="16"/>
                <w:szCs w:val="16"/>
                <w:color w:val="auto"/>
              </w:rPr>
            </w:pPr>
          </w:p>
        </w:tc>
        <w:tc>
          <w:tcPr>
            <w:tcW w:w="1100" w:type="dxa"/>
            <w:vAlign w:val="bottom"/>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100" w:type="dxa"/>
            <w:vAlign w:val="bottom"/>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77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34"/>
        </w:trPr>
        <w:tc>
          <w:tcPr>
            <w:tcW w:w="77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30"/>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Reported revenue (in thousands)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$ 935,262</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$ 874,587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$ 827,826</w:t>
            </w:r>
          </w:p>
        </w:tc>
      </w:tr>
      <w:tr>
        <w:trPr>
          <w:trHeight w:val="221"/>
        </w:trPr>
        <w:tc>
          <w:tcPr>
            <w:tcW w:w="7720" w:type="dxa"/>
            <w:vAlign w:val="bottom"/>
          </w:tcPr>
          <w:p>
            <w:pPr>
              <w:ind w:left="140"/>
              <w:spacing w:after="0"/>
              <w:rPr>
                <w:sz w:val="20"/>
                <w:szCs w:val="20"/>
                <w:color w:val="auto"/>
              </w:rPr>
            </w:pPr>
            <w:r>
              <w:rPr>
                <w:rFonts w:ascii="Times New Roman" w:cs="Times New Roman" w:eastAsia="Times New Roman" w:hAnsi="Times New Roman"/>
                <w:sz w:val="16"/>
                <w:szCs w:val="16"/>
                <w:i w:val="1"/>
                <w:iCs w:val="1"/>
                <w:color w:val="auto"/>
              </w:rPr>
              <w:t>Revenue growth</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7 %</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6 %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7 %</w:t>
            </w:r>
          </w:p>
        </w:tc>
      </w:tr>
      <w:tr>
        <w:trPr>
          <w:trHeight w:val="238"/>
        </w:trPr>
        <w:tc>
          <w:tcPr>
            <w:tcW w:w="7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i w:val="1"/>
                <w:iCs w:val="1"/>
                <w:color w:val="auto"/>
              </w:rPr>
              <w:t>Revenue growth on a constant currency basis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7 %</w:t>
            </w: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5 %</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11 %</w:t>
            </w:r>
          </w:p>
        </w:tc>
      </w:tr>
      <w:tr>
        <w:trPr>
          <w:trHeight w:val="270"/>
        </w:trPr>
        <w:tc>
          <w:tcPr>
            <w:tcW w:w="77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20" w:type="dxa"/>
            <w:vAlign w:val="bottom"/>
          </w:tcPr>
          <w:p>
            <w:pPr>
              <w:spacing w:after="0"/>
              <w:rPr>
                <w:sz w:val="23"/>
                <w:szCs w:val="23"/>
                <w:color w:val="auto"/>
              </w:rPr>
            </w:pPr>
          </w:p>
        </w:tc>
      </w:tr>
      <w:tr>
        <w:trPr>
          <w:trHeight w:val="230"/>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Content reported revenue (in thousands)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$ 760,011</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$ 737,264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$ 789,306</w:t>
            </w:r>
          </w:p>
        </w:tc>
      </w:tr>
      <w:tr>
        <w:trPr>
          <w:trHeight w:val="221"/>
        </w:trPr>
        <w:tc>
          <w:tcPr>
            <w:tcW w:w="7720" w:type="dxa"/>
            <w:vAlign w:val="bottom"/>
          </w:tcPr>
          <w:p>
            <w:pPr>
              <w:ind w:left="140"/>
              <w:spacing w:after="0"/>
              <w:rPr>
                <w:sz w:val="20"/>
                <w:szCs w:val="20"/>
                <w:color w:val="auto"/>
              </w:rPr>
            </w:pPr>
            <w:r>
              <w:rPr>
                <w:rFonts w:ascii="Times New Roman" w:cs="Times New Roman" w:eastAsia="Times New Roman" w:hAnsi="Times New Roman"/>
                <w:sz w:val="16"/>
                <w:szCs w:val="16"/>
                <w:i w:val="1"/>
                <w:iCs w:val="1"/>
                <w:color w:val="auto"/>
              </w:rPr>
              <w:t>Content revenue growth</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3 %</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(7)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4 %</w:t>
            </w:r>
          </w:p>
        </w:tc>
      </w:tr>
      <w:tr>
        <w:trPr>
          <w:trHeight w:val="238"/>
        </w:trPr>
        <w:tc>
          <w:tcPr>
            <w:tcW w:w="7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i w:val="1"/>
                <w:iCs w:val="1"/>
                <w:color w:val="auto"/>
              </w:rPr>
              <w:t>Content revenue growth on a constant currency basis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3 %</w:t>
            </w: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(7) %</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8 %</w:t>
            </w:r>
          </w:p>
        </w:tc>
      </w:tr>
      <w:tr>
        <w:trPr>
          <w:trHeight w:val="270"/>
        </w:trPr>
        <w:tc>
          <w:tcPr>
            <w:tcW w:w="77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20" w:type="dxa"/>
            <w:vAlign w:val="bottom"/>
          </w:tcPr>
          <w:p>
            <w:pPr>
              <w:spacing w:after="0"/>
              <w:rPr>
                <w:sz w:val="23"/>
                <w:szCs w:val="23"/>
                <w:color w:val="auto"/>
              </w:rPr>
            </w:pPr>
          </w:p>
        </w:tc>
      </w:tr>
      <w:tr>
        <w:trPr>
          <w:trHeight w:val="230"/>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Data, Distribution, and Services reported revenue (in thousands)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$ 175,251</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$ 137,323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$ 38,520</w:t>
            </w:r>
          </w:p>
        </w:tc>
      </w:tr>
      <w:tr>
        <w:trPr>
          <w:trHeight w:val="221"/>
        </w:trPr>
        <w:tc>
          <w:tcPr>
            <w:tcW w:w="7720" w:type="dxa"/>
            <w:vAlign w:val="bottom"/>
          </w:tcPr>
          <w:p>
            <w:pPr>
              <w:ind w:left="140"/>
              <w:spacing w:after="0"/>
              <w:rPr>
                <w:sz w:val="20"/>
                <w:szCs w:val="20"/>
                <w:color w:val="auto"/>
              </w:rPr>
            </w:pPr>
            <w:r>
              <w:rPr>
                <w:rFonts w:ascii="Times New Roman" w:cs="Times New Roman" w:eastAsia="Times New Roman" w:hAnsi="Times New Roman"/>
                <w:sz w:val="16"/>
                <w:szCs w:val="16"/>
                <w:i w:val="1"/>
                <w:iCs w:val="1"/>
                <w:color w:val="auto"/>
              </w:rPr>
              <w:t>Data, Distribution, and Services revenue growth</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28 %</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256 %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142 %</w:t>
            </w:r>
          </w:p>
        </w:tc>
      </w:tr>
      <w:tr>
        <w:trPr>
          <w:trHeight w:val="238"/>
        </w:trPr>
        <w:tc>
          <w:tcPr>
            <w:tcW w:w="7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i w:val="1"/>
                <w:iCs w:val="1"/>
                <w:color w:val="auto"/>
              </w:rPr>
              <w:t>Data, Distribution, and Services revenue growth on a constant currency basis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28 %</w:t>
            </w: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256 %</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144 %</w:t>
            </w:r>
          </w:p>
        </w:tc>
      </w:tr>
    </w:tbl>
    <w:p>
      <w:pPr>
        <w:spacing w:after="0" w:line="200" w:lineRule="exact"/>
        <w:rPr>
          <w:sz w:val="20"/>
          <w:szCs w:val="20"/>
          <w:color w:val="auto"/>
        </w:rPr>
      </w:pPr>
    </w:p>
    <w:p>
      <w:pPr>
        <w:sectPr>
          <w:pgSz w:w="11900" w:h="16838" w:orient="portrait"/>
          <w:cols w:equalWidth="0" w:num="1">
            <w:col w:w="11220"/>
          </w:cols>
          <w:pgMar w:left="320" w:top="879"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A-4</w:t>
      </w:r>
    </w:p>
    <w:p>
      <w:pPr>
        <w:sectPr>
          <w:pgSz w:w="11900" w:h="16838" w:orient="portrait"/>
          <w:cols w:equalWidth="0" w:num="1">
            <w:col w:w="11220"/>
          </w:cols>
          <w:pgMar w:left="320" w:top="879" w:right="359" w:bottom="1440" w:gutter="0" w:footer="0" w:header="0"/>
          <w:type w:val="continuous"/>
        </w:sectPr>
      </w:pPr>
    </w:p>
    <w:bookmarkStart w:id="61" w:name="page62"/>
    <w:bookmarkEnd w:id="61"/>
    <w:p>
      <w:pPr>
        <w:spacing w:after="0"/>
        <w:rPr>
          <w:sz w:val="20"/>
          <w:szCs w:val="20"/>
          <w:color w:val="auto"/>
        </w:rPr>
      </w:pPr>
      <w:r>
        <w:rPr>
          <w:rFonts w:ascii="Arial" w:cs="Arial" w:eastAsia="Arial" w:hAnsi="Arial"/>
          <w:sz w:val="18"/>
          <w:szCs w:val="18"/>
          <w:b w:val="1"/>
          <w:bCs w:val="1"/>
          <w:i w:val="1"/>
          <w:iCs w:val="1"/>
          <w:color w:val="auto"/>
        </w:rPr>
        <w:t>Adjusted Free Cash Flow</w:t>
      </w:r>
    </w:p>
    <w:p>
      <w:pPr>
        <w:spacing w:after="0" w:line="115" w:lineRule="exact"/>
        <w:rPr>
          <w:sz w:val="20"/>
          <w:szCs w:val="20"/>
          <w:color w:val="auto"/>
        </w:rPr>
      </w:pPr>
    </w:p>
    <w:p>
      <w:pPr>
        <w:ind w:right="80" w:firstLine="324"/>
        <w:spacing w:after="0" w:line="268" w:lineRule="auto"/>
        <w:rPr>
          <w:sz w:val="20"/>
          <w:szCs w:val="20"/>
          <w:color w:val="auto"/>
        </w:rPr>
      </w:pPr>
      <w:r>
        <w:rPr>
          <w:rFonts w:ascii="Arial" w:cs="Arial" w:eastAsia="Arial" w:hAnsi="Arial"/>
          <w:sz w:val="18"/>
          <w:szCs w:val="18"/>
          <w:color w:val="auto"/>
        </w:rPr>
        <w:t>We define adjusted free cash flow as our net cash provided by operating activities, adjusted for capital expenditures, content acquisition, cash received related to Giphy Retention Compensation in connection with the acquisition of Giphy and cash paid for Envato Seller Obligations.</w:t>
      </w:r>
    </w:p>
    <w:p>
      <w:pPr>
        <w:spacing w:after="0" w:line="63" w:lineRule="exact"/>
        <w:rPr>
          <w:sz w:val="20"/>
          <w:szCs w:val="20"/>
          <w:color w:val="auto"/>
        </w:rPr>
      </w:pPr>
    </w:p>
    <w:p>
      <w:pPr>
        <w:ind w:right="200" w:firstLine="324"/>
        <w:spacing w:after="0" w:line="287" w:lineRule="auto"/>
        <w:rPr>
          <w:sz w:val="20"/>
          <w:szCs w:val="20"/>
          <w:color w:val="auto"/>
        </w:rPr>
      </w:pPr>
      <w:r>
        <w:rPr>
          <w:rFonts w:ascii="Arial" w:cs="Arial" w:eastAsia="Arial" w:hAnsi="Arial"/>
          <w:sz w:val="18"/>
          <w:szCs w:val="18"/>
          <w:color w:val="auto"/>
        </w:rPr>
        <w:t>The following is a presentation of cash flow information and a reconciliation of net cash provided by operating activities to adjusted free cash flow for each of the periods indicated:</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20" w:type="dxa"/>
            <w:vAlign w:val="bottom"/>
            <w:gridSpan w:val="6"/>
          </w:tcPr>
          <w:p>
            <w:pPr>
              <w:jc w:val="center"/>
              <w:ind w:left="50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7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7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center"/>
              <w:ind w:right="2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3"/>
        </w:trPr>
        <w:tc>
          <w:tcPr>
            <w:tcW w:w="77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Cash flow information:</w:t>
            </w: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7720" w:type="dxa"/>
            <w:vAlign w:val="bottom"/>
            <w:vMerge w:val="continue"/>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7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32,646</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140,552</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158,451</w:t>
            </w:r>
          </w:p>
        </w:tc>
        <w:tc>
          <w:tcPr>
            <w:tcW w:w="0" w:type="dxa"/>
            <w:vAlign w:val="bottom"/>
          </w:tcPr>
          <w:p>
            <w:pPr>
              <w:spacing w:after="0"/>
              <w:rPr>
                <w:sz w:val="1"/>
                <w:szCs w:val="1"/>
                <w:color w:val="auto"/>
              </w:rPr>
            </w:pPr>
          </w:p>
        </w:tc>
      </w:tr>
      <w:tr>
        <w:trPr>
          <w:trHeight w:val="220"/>
        </w:trPr>
        <w:tc>
          <w:tcPr>
            <w:tcW w:w="77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(166,168)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(54,316)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(275,550)</w:t>
            </w:r>
          </w:p>
        </w:tc>
        <w:tc>
          <w:tcPr>
            <w:tcW w:w="0" w:type="dxa"/>
            <w:vAlign w:val="bottom"/>
          </w:tcPr>
          <w:p>
            <w:pPr>
              <w:spacing w:after="0"/>
              <w:rPr>
                <w:sz w:val="1"/>
                <w:szCs w:val="1"/>
                <w:color w:val="auto"/>
              </w:rPr>
            </w:pPr>
          </w:p>
        </w:tc>
      </w:tr>
      <w:tr>
        <w:trPr>
          <w:trHeight w:val="239"/>
        </w:trPr>
        <w:tc>
          <w:tcPr>
            <w:tcW w:w="7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cash provided by / (used in) financing activities</w:t>
            </w:r>
          </w:p>
        </w:tc>
        <w:tc>
          <w:tcPr>
            <w:tcW w:w="26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150,096</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(102,704)</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(79,487)</w:t>
            </w:r>
          </w:p>
        </w:tc>
        <w:tc>
          <w:tcPr>
            <w:tcW w:w="0" w:type="dxa"/>
            <w:vAlign w:val="bottom"/>
          </w:tcPr>
          <w:p>
            <w:pPr>
              <w:spacing w:after="0"/>
              <w:rPr>
                <w:sz w:val="1"/>
                <w:szCs w:val="1"/>
                <w:color w:val="auto"/>
              </w:rPr>
            </w:pPr>
          </w:p>
        </w:tc>
      </w:tr>
      <w:tr>
        <w:trPr>
          <w:trHeight w:val="216"/>
        </w:trPr>
        <w:tc>
          <w:tcPr>
            <w:tcW w:w="7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free cash flow:</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32,646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$ 140,552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$ 158,451</w:t>
            </w:r>
          </w:p>
        </w:tc>
        <w:tc>
          <w:tcPr>
            <w:tcW w:w="0" w:type="dxa"/>
            <w:vAlign w:val="bottom"/>
          </w:tcPr>
          <w:p>
            <w:pPr>
              <w:spacing w:after="0"/>
              <w:rPr>
                <w:sz w:val="1"/>
                <w:szCs w:val="1"/>
                <w:color w:val="auto"/>
              </w:rPr>
            </w:pPr>
          </w:p>
        </w:tc>
      </w:tr>
      <w:tr>
        <w:trPr>
          <w:trHeight w:val="239"/>
        </w:trPr>
        <w:tc>
          <w:tcPr>
            <w:tcW w:w="7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Capital expenditures</w:t>
            </w:r>
          </w:p>
        </w:tc>
        <w:tc>
          <w:tcPr>
            <w:tcW w:w="26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(47,215)</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(44,645)</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(43,296)</w:t>
            </w:r>
          </w:p>
        </w:tc>
        <w:tc>
          <w:tcPr>
            <w:tcW w:w="0" w:type="dxa"/>
            <w:vAlign w:val="bottom"/>
          </w:tcPr>
          <w:p>
            <w:pPr>
              <w:spacing w:after="0"/>
              <w:rPr>
                <w:sz w:val="1"/>
                <w:szCs w:val="1"/>
                <w:color w:val="auto"/>
              </w:rPr>
            </w:pPr>
          </w:p>
        </w:tc>
      </w:tr>
      <w:tr>
        <w:trPr>
          <w:trHeight w:val="220"/>
        </w:trPr>
        <w:tc>
          <w:tcPr>
            <w:tcW w:w="77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Content acquisitions</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(4,029)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(11,096)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(16,821)</w:t>
            </w:r>
          </w:p>
        </w:tc>
        <w:tc>
          <w:tcPr>
            <w:tcW w:w="0" w:type="dxa"/>
            <w:vAlign w:val="bottom"/>
          </w:tcPr>
          <w:p>
            <w:pPr>
              <w:spacing w:after="0"/>
              <w:rPr>
                <w:sz w:val="1"/>
                <w:szCs w:val="1"/>
                <w:color w:val="auto"/>
              </w:rPr>
            </w:pPr>
          </w:p>
        </w:tc>
      </w:tr>
      <w:tr>
        <w:trPr>
          <w:trHeight w:val="239"/>
        </w:trPr>
        <w:tc>
          <w:tcPr>
            <w:tcW w:w="7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received related to Giphy Retention Compensation</w:t>
            </w:r>
          </w:p>
        </w:tc>
        <w:tc>
          <w:tcPr>
            <w:tcW w:w="26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63,971</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53,657</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0"/>
        </w:trPr>
        <w:tc>
          <w:tcPr>
            <w:tcW w:w="7720" w:type="dxa"/>
            <w:vAlign w:val="bottom"/>
            <w:tcBorders>
              <w:bottom w:val="single" w:sz="8" w:color="CCEEFF"/>
            </w:tcBorders>
          </w:tcPr>
          <w:p>
            <w:pPr>
              <w:ind w:left="140"/>
              <w:spacing w:after="0" w:line="230" w:lineRule="exact"/>
              <w:rPr>
                <w:sz w:val="20"/>
                <w:szCs w:val="20"/>
                <w:color w:val="auto"/>
              </w:rPr>
            </w:pPr>
            <w:r>
              <w:rPr>
                <w:rFonts w:ascii="Times New Roman" w:cs="Times New Roman" w:eastAsia="Times New Roman" w:hAnsi="Times New Roman"/>
                <w:sz w:val="16"/>
                <w:szCs w:val="16"/>
                <w:color w:val="auto"/>
              </w:rPr>
              <w:t>Cash paid for Envato Seller Obligations</w:t>
            </w:r>
            <w:r>
              <w:rPr>
                <w:rFonts w:ascii="Times New Roman" w:cs="Times New Roman" w:eastAsia="Times New Roman" w:hAnsi="Times New Roman"/>
                <w:sz w:val="23"/>
                <w:szCs w:val="23"/>
                <w:color w:val="auto"/>
                <w:vertAlign w:val="superscript"/>
              </w:rPr>
              <w:t>(1)</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63,320</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77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Adjusted Free Cash Flow</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108,693</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$ 138,468</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$ 98,334</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340" w:hanging="332"/>
        <w:spacing w:after="0" w:line="285" w:lineRule="auto"/>
        <w:tabs>
          <w:tab w:leader="none" w:pos="327" w:val="left"/>
        </w:tabs>
        <w:numPr>
          <w:ilvl w:val="0"/>
          <w:numId w:val="68"/>
        </w:numPr>
        <w:rPr>
          <w:rFonts w:ascii="Arial" w:cs="Arial" w:eastAsia="Arial" w:hAnsi="Arial"/>
          <w:sz w:val="14"/>
          <w:szCs w:val="14"/>
          <w:color w:val="auto"/>
        </w:rPr>
      </w:pPr>
      <w:r>
        <w:rPr>
          <w:rFonts w:ascii="Arial" w:cs="Arial" w:eastAsia="Arial" w:hAnsi="Arial"/>
          <w:sz w:val="14"/>
          <w:szCs w:val="14"/>
          <w:color w:val="auto"/>
        </w:rPr>
        <w:t>Envato Seller Obligations relate to payments made on behalf of the Envato sellers’ after the closing of the acquisition. These liabilities were funded from the acquired cash on the Envato balance sheet and are not indicative of obligations and cash flows to be incurred prospectively.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A-5</w:t>
      </w:r>
    </w:p>
    <w:p>
      <w:pPr>
        <w:sectPr>
          <w:pgSz w:w="11900" w:h="16838" w:orient="portrait"/>
          <w:cols w:equalWidth="0" w:num="1">
            <w:col w:w="11240"/>
          </w:cols>
          <w:pgMar w:left="320" w:top="879" w:right="339" w:bottom="1440" w:gutter="0" w:footer="0" w:header="0"/>
        </w:sectPr>
      </w:pPr>
    </w:p>
    <w:bookmarkStart w:id="62" w:name="page63"/>
    <w:bookmarkEnd w:id="6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868045</wp:posOffset>
            </wp:positionH>
            <wp:positionV relativeFrom="page">
              <wp:posOffset>791845</wp:posOffset>
            </wp:positionV>
            <wp:extent cx="5812155" cy="74923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clrChange>
                        <a:clrFrom>
                          <a:srgbClr val="FFFFFF"/>
                        </a:clrFrom>
                        <a:clrTo>
                          <a:srgbClr val="FFFFFF">
                            <a:alpha val="0"/>
                          </a:srgbClr>
                        </a:clrTo>
                      </a:clrChange>
                      <a:extLst>
                        <a:ext uri="{28A0092B-C50C-407E-A947-70E740481C1C}"/>
                      </a:extLst>
                    </a:blip>
                    <a:srcRect/>
                    <a:stretch>
                      <a:fillRect/>
                    </a:stretch>
                  </pic:blipFill>
                  <pic:spPr bwMode="auto">
                    <a:xfrm>
                      <a:off x="0" y="0"/>
                      <a:ext cx="5812155" cy="74923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868045</wp:posOffset>
            </wp:positionH>
            <wp:positionV relativeFrom="page">
              <wp:posOffset>568960</wp:posOffset>
            </wp:positionV>
            <wp:extent cx="5812155" cy="75177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clrChange>
                        <a:clrFrom>
                          <a:srgbClr val="FFFFFF"/>
                        </a:clrFrom>
                        <a:clrTo>
                          <a:srgbClr val="FFFFFF">
                            <a:alpha val="0"/>
                          </a:srgbClr>
                        </a:clrTo>
                      </a:clrChange>
                      <a:extLst>
                        <a:ext uri="{28A0092B-C50C-407E-A947-70E740481C1C}"/>
                      </a:extLst>
                    </a:blip>
                    <a:srcRect/>
                    <a:stretch>
                      <a:fillRect/>
                    </a:stretch>
                  </pic:blipFill>
                  <pic:spPr bwMode="auto">
                    <a:xfrm>
                      <a:off x="0" y="0"/>
                      <a:ext cx="5812155" cy="751776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9AC241"/>
    <w:multiLevelType w:val="hybridMultilevel"/>
    <w:lvl w:ilvl="0">
      <w:lvlJc w:val="left"/>
      <w:lvlText w:val="☑"/>
      <w:numFmt w:val="bullet"/>
      <w:start w:val="1"/>
    </w:lvl>
    <w:lvl w:ilvl="1">
      <w:lvlJc w:val="left"/>
      <w:lvlText w:val="☐"/>
      <w:numFmt w:val="bullet"/>
      <w:start w:val="1"/>
    </w:lvl>
  </w:abstractNum>
  <w:abstractNum w:abstractNumId="1">
    <w:nsid w:val="5577F8E1"/>
    <w:multiLevelType w:val="hybridMultilevel"/>
    <w:lvl w:ilvl="0">
      <w:lvlJc w:val="left"/>
      <w:lvlText w:val="☑"/>
      <w:numFmt w:val="bullet"/>
      <w:start w:val="1"/>
    </w:lvl>
    <w:lvl w:ilvl="1">
      <w:lvlJc w:val="left"/>
      <w:lvlText w:val="☐"/>
      <w:numFmt w:val="bullet"/>
      <w:start w:val="1"/>
    </w:lvl>
  </w:abstractNum>
  <w:abstractNum w:abstractNumId="2">
    <w:nsid w:val="440BADFC"/>
    <w:multiLevelType w:val="hybridMultilevel"/>
    <w:lvl w:ilvl="0">
      <w:lvlJc w:val="left"/>
      <w:lvlText w:val="•"/>
      <w:numFmt w:val="bullet"/>
      <w:start w:val="1"/>
    </w:lvl>
  </w:abstractNum>
  <w:abstractNum w:abstractNumId="3">
    <w:nsid w:val="5072367"/>
    <w:multiLevelType w:val="hybridMultilevel"/>
    <w:lvl w:ilvl="0">
      <w:lvlJc w:val="left"/>
      <w:lvlText w:val="(%1)"/>
      <w:numFmt w:val="decimal"/>
      <w:start w:val="1"/>
    </w:lvl>
  </w:abstractNum>
  <w:abstractNum w:abstractNumId="4">
    <w:nsid w:val="3804823E"/>
    <w:multiLevelType w:val="hybridMultilevel"/>
    <w:lvl w:ilvl="0">
      <w:lvlJc w:val="left"/>
      <w:lvlText w:val="•"/>
      <w:numFmt w:val="bullet"/>
      <w:start w:val="1"/>
    </w:lvl>
  </w:abstractNum>
  <w:abstractNum w:abstractNumId="5">
    <w:nsid w:val="77465F01"/>
    <w:multiLevelType w:val="hybridMultilevel"/>
    <w:lvl w:ilvl="0">
      <w:lvlJc w:val="left"/>
      <w:lvlText w:val="•"/>
      <w:numFmt w:val="bullet"/>
      <w:start w:val="1"/>
    </w:lvl>
  </w:abstractNum>
  <w:abstractNum w:abstractNumId="6">
    <w:nsid w:val="7724C67E"/>
    <w:multiLevelType w:val="hybridMultilevel"/>
    <w:lvl w:ilvl="0">
      <w:lvlJc w:val="left"/>
      <w:lvlText w:val="•"/>
      <w:numFmt w:val="bullet"/>
      <w:start w:val="1"/>
    </w:lvl>
  </w:abstractNum>
  <w:abstractNum w:abstractNumId="7">
    <w:nsid w:val="5C482A97"/>
    <w:multiLevelType w:val="hybridMultilevel"/>
    <w:lvl w:ilvl="0">
      <w:lvlJc w:val="left"/>
      <w:lvlText w:val="•"/>
      <w:numFmt w:val="bullet"/>
      <w:start w:val="1"/>
    </w:lvl>
  </w:abstractNum>
  <w:abstractNum w:abstractNumId="8">
    <w:nsid w:val="2463B9EA"/>
    <w:multiLevelType w:val="hybridMultilevel"/>
    <w:lvl w:ilvl="0">
      <w:lvlJc w:val="left"/>
      <w:lvlText w:val="•"/>
      <w:numFmt w:val="bullet"/>
      <w:start w:val="1"/>
    </w:lvl>
  </w:abstractNum>
  <w:abstractNum w:abstractNumId="9">
    <w:nsid w:val="5E884ADC"/>
    <w:multiLevelType w:val="hybridMultilevel"/>
    <w:lvl w:ilvl="0">
      <w:lvlJc w:val="left"/>
      <w:lvlText w:val="•"/>
      <w:numFmt w:val="bullet"/>
      <w:start w:val="1"/>
    </w:lvl>
  </w:abstractNum>
  <w:abstractNum w:abstractNumId="10">
    <w:nsid w:val="51EAD36B"/>
    <w:multiLevelType w:val="hybridMultilevel"/>
    <w:lvl w:ilvl="0">
      <w:lvlJc w:val="left"/>
      <w:lvlText w:val="(%1)"/>
      <w:numFmt w:val="decimal"/>
      <w:start w:val="1"/>
    </w:lvl>
  </w:abstractNum>
  <w:abstractNum w:abstractNumId="11">
    <w:nsid w:val="2D517796"/>
    <w:multiLevelType w:val="hybridMultilevel"/>
    <w:lvl w:ilvl="0">
      <w:lvlJc w:val="left"/>
      <w:lvlText w:val="•"/>
      <w:numFmt w:val="bullet"/>
      <w:start w:val="1"/>
    </w:lvl>
  </w:abstractNum>
  <w:abstractNum w:abstractNumId="12">
    <w:nsid w:val="580BD78F"/>
    <w:multiLevelType w:val="hybridMultilevel"/>
    <w:lvl w:ilvl="0">
      <w:lvlJc w:val="left"/>
      <w:lvlText w:val="(%1)"/>
      <w:numFmt w:val="decimal"/>
      <w:start w:val="1"/>
    </w:lvl>
  </w:abstractNum>
  <w:abstractNum w:abstractNumId="13">
    <w:nsid w:val="153EA438"/>
    <w:multiLevelType w:val="hybridMultilevel"/>
    <w:lvl w:ilvl="0">
      <w:lvlJc w:val="left"/>
      <w:lvlText w:val="•"/>
      <w:numFmt w:val="bullet"/>
      <w:start w:val="1"/>
    </w:lvl>
  </w:abstractNum>
  <w:abstractNum w:abstractNumId="14">
    <w:nsid w:val="3855585C"/>
    <w:multiLevelType w:val="hybridMultilevel"/>
    <w:lvl w:ilvl="0">
      <w:lvlJc w:val="left"/>
      <w:lvlText w:val="(%1)"/>
      <w:numFmt w:val="decimal"/>
      <w:start w:val="1"/>
    </w:lvl>
  </w:abstractNum>
  <w:abstractNum w:abstractNumId="15">
    <w:nsid w:val="70A64E2A"/>
    <w:multiLevelType w:val="hybridMultilevel"/>
    <w:lvl w:ilvl="0">
      <w:lvlJc w:val="left"/>
      <w:lvlText w:val="•"/>
      <w:numFmt w:val="bullet"/>
      <w:start w:val="1"/>
    </w:lvl>
  </w:abstractNum>
  <w:abstractNum w:abstractNumId="16">
    <w:nsid w:val="6A2342EC"/>
    <w:multiLevelType w:val="hybridMultilevel"/>
    <w:lvl w:ilvl="0">
      <w:lvlJc w:val="left"/>
      <w:lvlText w:val="•"/>
      <w:numFmt w:val="bullet"/>
      <w:start w:val="1"/>
    </w:lvl>
  </w:abstractNum>
  <w:abstractNum w:abstractNumId="17">
    <w:nsid w:val="2A487CB0"/>
    <w:multiLevelType w:val="hybridMultilevel"/>
    <w:lvl w:ilvl="0">
      <w:lvlJc w:val="left"/>
      <w:lvlText w:val="(%1)"/>
      <w:numFmt w:val="decimal"/>
      <w:start w:val="1"/>
    </w:lvl>
  </w:abstractNum>
  <w:abstractNum w:abstractNumId="18">
    <w:nsid w:val="1D4ED43B"/>
    <w:multiLevelType w:val="hybridMultilevel"/>
    <w:lvl w:ilvl="0">
      <w:lvlJc w:val="left"/>
      <w:lvlText w:val="•"/>
      <w:numFmt w:val="bullet"/>
      <w:start w:val="1"/>
    </w:lvl>
  </w:abstractNum>
  <w:abstractNum w:abstractNumId="19">
    <w:nsid w:val="725A06FB"/>
    <w:multiLevelType w:val="hybridMultilevel"/>
    <w:lvl w:ilvl="0">
      <w:lvlJc w:val="left"/>
      <w:lvlText w:val="•"/>
      <w:numFmt w:val="bullet"/>
      <w:start w:val="1"/>
    </w:lvl>
  </w:abstractNum>
  <w:abstractNum w:abstractNumId="20">
    <w:nsid w:val="2CD89A32"/>
    <w:multiLevelType w:val="hybridMultilevel"/>
    <w:lvl w:ilvl="0">
      <w:lvlJc w:val="left"/>
      <w:lvlText w:val="•"/>
      <w:numFmt w:val="bullet"/>
      <w:start w:val="1"/>
    </w:lvl>
  </w:abstractNum>
  <w:abstractNum w:abstractNumId="21">
    <w:nsid w:val="57E4CCAF"/>
    <w:multiLevelType w:val="hybridMultilevel"/>
    <w:lvl w:ilvl="0">
      <w:lvlJc w:val="left"/>
      <w:lvlText w:val="(%1)"/>
      <w:numFmt w:val="decimal"/>
      <w:start w:val="1"/>
    </w:lvl>
  </w:abstractNum>
  <w:abstractNum w:abstractNumId="22">
    <w:nsid w:val="7A6D8D3C"/>
    <w:multiLevelType w:val="hybridMultilevel"/>
    <w:lvl w:ilvl="0">
      <w:lvlJc w:val="left"/>
      <w:lvlText w:val="(%1)"/>
      <w:numFmt w:val="decimal"/>
      <w:start w:val="1"/>
    </w:lvl>
  </w:abstractNum>
  <w:abstractNum w:abstractNumId="23">
    <w:nsid w:val="4B588F54"/>
    <w:multiLevelType w:val="hybridMultilevel"/>
    <w:lvl w:ilvl="0">
      <w:lvlJc w:val="left"/>
      <w:lvlText w:val="(%1)"/>
      <w:numFmt w:val="decimal"/>
      <w:start w:val="1"/>
    </w:lvl>
  </w:abstractNum>
  <w:abstractNum w:abstractNumId="24">
    <w:nsid w:val="542289EC"/>
    <w:multiLevelType w:val="hybridMultilevel"/>
    <w:lvl w:ilvl="0">
      <w:lvlJc w:val="left"/>
      <w:lvlText w:val="(%1)"/>
      <w:numFmt w:val="decimal"/>
      <w:start w:val="1"/>
    </w:lvl>
  </w:abstractNum>
  <w:abstractNum w:abstractNumId="25">
    <w:nsid w:val="6DE91B18"/>
    <w:multiLevelType w:val="hybridMultilevel"/>
    <w:lvl w:ilvl="0">
      <w:lvlJc w:val="left"/>
      <w:lvlText w:val="(%1)"/>
      <w:numFmt w:val="decimal"/>
      <w:start w:val="1"/>
    </w:lvl>
  </w:abstractNum>
  <w:abstractNum w:abstractNumId="26">
    <w:nsid w:val="38437FDB"/>
    <w:multiLevelType w:val="hybridMultilevel"/>
    <w:lvl w:ilvl="0">
      <w:lvlJc w:val="left"/>
      <w:lvlText w:val="(%1)"/>
      <w:numFmt w:val="decimal"/>
      <w:start w:val="1"/>
    </w:lvl>
  </w:abstractNum>
  <w:abstractNum w:abstractNumId="27">
    <w:nsid w:val="7644A45C"/>
    <w:multiLevelType w:val="hybridMultilevel"/>
    <w:lvl w:ilvl="0">
      <w:lvlJc w:val="left"/>
      <w:lvlText w:val="•"/>
      <w:numFmt w:val="bullet"/>
      <w:start w:val="1"/>
    </w:lvl>
  </w:abstractNum>
  <w:abstractNum w:abstractNumId="28">
    <w:nsid w:val="32FFF902"/>
    <w:multiLevelType w:val="hybridMultilevel"/>
    <w:lvl w:ilvl="0">
      <w:lvlJc w:val="left"/>
      <w:lvlText w:val="•"/>
      <w:numFmt w:val="bullet"/>
      <w:start w:val="1"/>
    </w:lvl>
  </w:abstractNum>
  <w:abstractNum w:abstractNumId="29">
    <w:nsid w:val="684A481A"/>
    <w:multiLevelType w:val="hybridMultilevel"/>
    <w:lvl w:ilvl="0">
      <w:lvlJc w:val="left"/>
      <w:lvlText w:val="•"/>
      <w:numFmt w:val="bullet"/>
      <w:start w:val="1"/>
    </w:lvl>
  </w:abstractNum>
  <w:abstractNum w:abstractNumId="30">
    <w:nsid w:val="579478FE"/>
    <w:multiLevelType w:val="hybridMultilevel"/>
    <w:lvl w:ilvl="0">
      <w:lvlJc w:val="left"/>
      <w:lvlText w:val="•"/>
      <w:numFmt w:val="bullet"/>
      <w:start w:val="1"/>
    </w:lvl>
  </w:abstractNum>
  <w:abstractNum w:abstractNumId="31">
    <w:nsid w:val="749ABB43"/>
    <w:multiLevelType w:val="hybridMultilevel"/>
    <w:lvl w:ilvl="0">
      <w:lvlJc w:val="left"/>
      <w:lvlText w:val="•"/>
      <w:numFmt w:val="bullet"/>
      <w:start w:val="1"/>
    </w:lvl>
  </w:abstractNum>
  <w:abstractNum w:abstractNumId="32">
    <w:nsid w:val="3DC240FB"/>
    <w:multiLevelType w:val="hybridMultilevel"/>
    <w:lvl w:ilvl="0">
      <w:lvlJc w:val="left"/>
      <w:lvlText w:val="•"/>
      <w:numFmt w:val="bullet"/>
      <w:start w:val="1"/>
    </w:lvl>
  </w:abstractNum>
  <w:abstractNum w:abstractNumId="33">
    <w:nsid w:val="1BA026FA"/>
    <w:multiLevelType w:val="hybridMultilevel"/>
    <w:lvl w:ilvl="0">
      <w:lvlJc w:val="left"/>
      <w:lvlText w:val="•"/>
      <w:numFmt w:val="bullet"/>
      <w:start w:val="1"/>
    </w:lvl>
  </w:abstractNum>
  <w:abstractNum w:abstractNumId="34">
    <w:nsid w:val="79A1DEAA"/>
    <w:multiLevelType w:val="hybridMultilevel"/>
    <w:lvl w:ilvl="0">
      <w:lvlJc w:val="left"/>
      <w:lvlText w:val="•"/>
      <w:numFmt w:val="bullet"/>
      <w:start w:val="1"/>
    </w:lvl>
  </w:abstractNum>
  <w:abstractNum w:abstractNumId="35">
    <w:nsid w:val="75C6C33A"/>
    <w:multiLevelType w:val="hybridMultilevel"/>
    <w:lvl w:ilvl="0">
      <w:lvlJc w:val="left"/>
      <w:lvlText w:val="(%1)"/>
      <w:numFmt w:val="decimal"/>
      <w:start w:val="1"/>
    </w:lvl>
  </w:abstractNum>
  <w:abstractNum w:abstractNumId="36">
    <w:nsid w:val="12E685FB"/>
    <w:multiLevelType w:val="hybridMultilevel"/>
    <w:lvl w:ilvl="0">
      <w:lvlJc w:val="left"/>
      <w:lvlText w:val="(%1)"/>
      <w:numFmt w:val="decimal"/>
      <w:start w:val="1"/>
    </w:lvl>
  </w:abstractNum>
  <w:abstractNum w:abstractNumId="37">
    <w:nsid w:val="70C6A529"/>
    <w:multiLevelType w:val="hybridMultilevel"/>
    <w:lvl w:ilvl="0">
      <w:lvlJc w:val="left"/>
      <w:lvlText w:val="(%1)"/>
      <w:numFmt w:val="decimal"/>
      <w:start w:val="1"/>
    </w:lvl>
  </w:abstractNum>
  <w:abstractNum w:abstractNumId="38">
    <w:nsid w:val="520EEDD1"/>
    <w:multiLevelType w:val="hybridMultilevel"/>
    <w:lvl w:ilvl="0">
      <w:lvlJc w:val="left"/>
      <w:lvlText w:val="•"/>
      <w:numFmt w:val="bullet"/>
      <w:start w:val="1"/>
    </w:lvl>
  </w:abstractNum>
  <w:abstractNum w:abstractNumId="39">
    <w:nsid w:val="374A3FE6"/>
    <w:multiLevelType w:val="hybridMultilevel"/>
    <w:lvl w:ilvl="0">
      <w:lvlJc w:val="left"/>
      <w:lvlText w:val="•"/>
      <w:numFmt w:val="bullet"/>
      <w:start w:val="1"/>
    </w:lvl>
  </w:abstractNum>
  <w:abstractNum w:abstractNumId="40">
    <w:nsid w:val="4F4EF005"/>
    <w:multiLevelType w:val="hybridMultilevel"/>
    <w:lvl w:ilvl="0">
      <w:lvlJc w:val="left"/>
      <w:lvlText w:val="(%1)"/>
      <w:numFmt w:val="decimal"/>
      <w:start w:val="1"/>
    </w:lvl>
  </w:abstractNum>
  <w:abstractNum w:abstractNumId="41">
    <w:nsid w:val="23F9C13C"/>
    <w:multiLevelType w:val="hybridMultilevel"/>
    <w:lvl w:ilvl="0">
      <w:lvlJc w:val="left"/>
      <w:lvlText w:val="•"/>
      <w:numFmt w:val="bullet"/>
      <w:start w:val="1"/>
    </w:lvl>
  </w:abstractNum>
  <w:abstractNum w:abstractNumId="42">
    <w:nsid w:val="649BB77C"/>
    <w:multiLevelType w:val="hybridMultilevel"/>
    <w:lvl w:ilvl="0">
      <w:lvlJc w:val="left"/>
      <w:lvlText w:val="(%1)"/>
      <w:numFmt w:val="decimal"/>
      <w:start w:val="1"/>
    </w:lvl>
  </w:abstractNum>
  <w:abstractNum w:abstractNumId="43">
    <w:nsid w:val="275AC794"/>
    <w:multiLevelType w:val="hybridMultilevel"/>
    <w:lvl w:ilvl="0">
      <w:lvlJc w:val="left"/>
      <w:lvlText w:val="(%1)"/>
      <w:numFmt w:val="decimal"/>
      <w:start w:val="3"/>
    </w:lvl>
    <w:lvl w:ilvl="1">
      <w:lvlJc w:val="left"/>
      <w:lvlText w:val="•"/>
      <w:numFmt w:val="bullet"/>
      <w:start w:val="1"/>
    </w:lvl>
  </w:abstractNum>
  <w:abstractNum w:abstractNumId="44">
    <w:nsid w:val="39386575"/>
    <w:multiLevelType w:val="hybridMultilevel"/>
    <w:lvl w:ilvl="0">
      <w:lvlJc w:val="left"/>
      <w:lvlText w:val="•"/>
      <w:numFmt w:val="bullet"/>
      <w:start w:val="1"/>
    </w:lvl>
  </w:abstractNum>
  <w:abstractNum w:abstractNumId="45">
    <w:nsid w:val="1CF10FD8"/>
    <w:multiLevelType w:val="hybridMultilevel"/>
    <w:lvl w:ilvl="0">
      <w:lvlJc w:val="left"/>
      <w:lvlText w:val="•"/>
      <w:numFmt w:val="bullet"/>
      <w:start w:val="1"/>
    </w:lvl>
  </w:abstractNum>
  <w:abstractNum w:abstractNumId="46">
    <w:nsid w:val="180115BE"/>
    <w:multiLevelType w:val="hybridMultilevel"/>
    <w:lvl w:ilvl="0">
      <w:lvlJc w:val="left"/>
      <w:lvlText w:val="(%1)"/>
      <w:numFmt w:val="decimal"/>
      <w:start w:val="1"/>
    </w:lvl>
  </w:abstractNum>
  <w:abstractNum w:abstractNumId="47">
    <w:nsid w:val="235BA861"/>
    <w:multiLevelType w:val="hybridMultilevel"/>
    <w:lvl w:ilvl="0">
      <w:lvlJc w:val="left"/>
      <w:lvlText w:val="%1."/>
      <w:numFmt w:val="decimal"/>
      <w:start w:val="1"/>
    </w:lvl>
  </w:abstractNum>
  <w:abstractNum w:abstractNumId="48">
    <w:nsid w:val="47398C89"/>
    <w:multiLevelType w:val="hybridMultilevel"/>
    <w:lvl w:ilvl="0">
      <w:lvlJc w:val="left"/>
      <w:lvlText w:val="%1."/>
      <w:numFmt w:val="decimal"/>
      <w:start w:val="2"/>
    </w:lvl>
  </w:abstractNum>
  <w:abstractNum w:abstractNumId="49">
    <w:nsid w:val="354FE9F9"/>
    <w:multiLevelType w:val="hybridMultilevel"/>
    <w:lvl w:ilvl="0">
      <w:lvlJc w:val="left"/>
      <w:lvlText w:val="%1."/>
      <w:numFmt w:val="decimal"/>
      <w:start w:val="2"/>
    </w:lvl>
    <w:lvl w:ilvl="1">
      <w:lvlJc w:val="left"/>
      <w:lvlText w:val="•"/>
      <w:numFmt w:val="bullet"/>
      <w:start w:val="1"/>
    </w:lvl>
  </w:abstractNum>
  <w:abstractNum w:abstractNumId="50">
    <w:nsid w:val="15B5AF5C"/>
    <w:multiLevelType w:val="hybridMultilevel"/>
    <w:lvl w:ilvl="0">
      <w:lvlJc w:val="left"/>
      <w:lvlText w:val="%1."/>
      <w:numFmt w:val="decimal"/>
      <w:start w:val="4"/>
    </w:lvl>
  </w:abstractNum>
  <w:abstractNum w:abstractNumId="51">
    <w:nsid w:val="741226BB"/>
    <w:multiLevelType w:val="hybridMultilevel"/>
    <w:lvl w:ilvl="0">
      <w:lvlJc w:val="left"/>
      <w:lvlText w:val="%1."/>
      <w:numFmt w:val="decimal"/>
      <w:start w:val="5"/>
    </w:lvl>
  </w:abstractNum>
  <w:abstractNum w:abstractNumId="52">
    <w:nsid w:val="D34B6A8"/>
    <w:multiLevelType w:val="hybridMultilevel"/>
    <w:lvl w:ilvl="0">
      <w:lvlJc w:val="left"/>
      <w:lvlText w:val="•"/>
      <w:numFmt w:val="bullet"/>
      <w:start w:val="1"/>
    </w:lvl>
  </w:abstractNum>
  <w:abstractNum w:abstractNumId="53">
    <w:nsid w:val="10233C99"/>
    <w:multiLevelType w:val="hybridMultilevel"/>
    <w:lvl w:ilvl="0">
      <w:lvlJc w:val="left"/>
      <w:lvlText w:val="%1."/>
      <w:numFmt w:val="decimal"/>
      <w:start w:val="6"/>
    </w:lvl>
  </w:abstractNum>
  <w:abstractNum w:abstractNumId="54">
    <w:nsid w:val="3F6AB60F"/>
    <w:multiLevelType w:val="hybridMultilevel"/>
    <w:lvl w:ilvl="0">
      <w:lvlJc w:val="left"/>
      <w:lvlText w:val="•"/>
      <w:numFmt w:val="bullet"/>
      <w:start w:val="1"/>
    </w:lvl>
  </w:abstractNum>
  <w:abstractNum w:abstractNumId="55">
    <w:nsid w:val="61574095"/>
    <w:multiLevelType w:val="hybridMultilevel"/>
    <w:lvl w:ilvl="0">
      <w:lvlJc w:val="left"/>
      <w:lvlText w:val="%1."/>
      <w:numFmt w:val="decimal"/>
      <w:start w:val="7"/>
    </w:lvl>
  </w:abstractNum>
  <w:abstractNum w:abstractNumId="56">
    <w:nsid w:val="7E0C57B1"/>
    <w:multiLevelType w:val="hybridMultilevel"/>
    <w:lvl w:ilvl="0">
      <w:lvlJc w:val="left"/>
      <w:lvlText w:val="%1."/>
      <w:numFmt w:val="decimal"/>
      <w:start w:val="8"/>
    </w:lvl>
  </w:abstractNum>
  <w:abstractNum w:abstractNumId="57">
    <w:nsid w:val="77AE35EB"/>
    <w:multiLevelType w:val="hybridMultilevel"/>
    <w:lvl w:ilvl="0">
      <w:lvlJc w:val="left"/>
      <w:lvlText w:val="•"/>
      <w:numFmt w:val="bullet"/>
      <w:start w:val="1"/>
    </w:lvl>
    <w:lvl w:ilvl="1">
      <w:lvlJc w:val="left"/>
      <w:lvlText w:val="•"/>
      <w:numFmt w:val="bullet"/>
      <w:start w:val="1"/>
    </w:lvl>
  </w:abstractNum>
  <w:abstractNum w:abstractNumId="58">
    <w:nsid w:val="579BE4F1"/>
    <w:multiLevelType w:val="hybridMultilevel"/>
    <w:lvl w:ilvl="0">
      <w:lvlJc w:val="left"/>
      <w:lvlText w:val="%1."/>
      <w:numFmt w:val="decimal"/>
      <w:start w:val="9"/>
    </w:lvl>
  </w:abstractNum>
  <w:abstractNum w:abstractNumId="59">
    <w:nsid w:val="310C50B3"/>
    <w:multiLevelType w:val="hybridMultilevel"/>
    <w:lvl w:ilvl="0">
      <w:lvlJc w:val="left"/>
      <w:lvlText w:val="•"/>
      <w:numFmt w:val="bullet"/>
      <w:start w:val="1"/>
    </w:lvl>
  </w:abstractNum>
  <w:abstractNum w:abstractNumId="60">
    <w:nsid w:val="5FF87E05"/>
    <w:multiLevelType w:val="hybridMultilevel"/>
    <w:lvl w:ilvl="0">
      <w:lvlJc w:val="left"/>
      <w:lvlText w:val="%1."/>
      <w:numFmt w:val="decimal"/>
      <w:start w:val="11"/>
    </w:lvl>
  </w:abstractNum>
  <w:abstractNum w:abstractNumId="61">
    <w:nsid w:val="2F305DEF"/>
    <w:multiLevelType w:val="hybridMultilevel"/>
    <w:lvl w:ilvl="0">
      <w:lvlJc w:val="left"/>
      <w:lvlText w:val="%1."/>
      <w:numFmt w:val="decimal"/>
      <w:start w:val="15"/>
    </w:lvl>
    <w:lvl w:ilvl="1">
      <w:lvlJc w:val="left"/>
      <w:lvlText w:val="•"/>
      <w:numFmt w:val="bullet"/>
      <w:start w:val="1"/>
    </w:lvl>
  </w:abstractNum>
  <w:abstractNum w:abstractNumId="62">
    <w:nsid w:val="25A70BF7"/>
    <w:multiLevelType w:val="hybridMultilevel"/>
    <w:lvl w:ilvl="0">
      <w:lvlJc w:val="left"/>
      <w:lvlText w:val="%1."/>
      <w:numFmt w:val="decimal"/>
      <w:start w:val="22"/>
    </w:lvl>
  </w:abstractNum>
  <w:abstractNum w:abstractNumId="63">
    <w:nsid w:val="1DBABF00"/>
    <w:multiLevelType w:val="hybridMultilevel"/>
    <w:lvl w:ilvl="0">
      <w:lvlJc w:val="left"/>
      <w:lvlText w:val="%1."/>
      <w:numFmt w:val="decimal"/>
      <w:start w:val="24"/>
    </w:lvl>
  </w:abstractNum>
  <w:abstractNum w:abstractNumId="64">
    <w:nsid w:val="4AD084E9"/>
    <w:multiLevelType w:val="hybridMultilevel"/>
    <w:lvl w:ilvl="0">
      <w:lvlJc w:val="left"/>
      <w:lvlText w:val="•"/>
      <w:numFmt w:val="bullet"/>
      <w:start w:val="1"/>
    </w:lvl>
  </w:abstractNum>
  <w:abstractNum w:abstractNumId="65">
    <w:nsid w:val="1F48EAA1"/>
    <w:multiLevelType w:val="hybridMultilevel"/>
    <w:lvl w:ilvl="0">
      <w:lvlJc w:val="left"/>
      <w:lvlText w:val="(%1)"/>
      <w:numFmt w:val="decimal"/>
      <w:start w:val="1"/>
    </w:lvl>
  </w:abstractNum>
  <w:abstractNum w:abstractNumId="66">
    <w:nsid w:val="1381823A"/>
    <w:multiLevelType w:val="hybridMultilevel"/>
    <w:lvl w:ilvl="0">
      <w:lvlJc w:val="left"/>
      <w:lvlText w:val="(%1)"/>
      <w:numFmt w:val="decimal"/>
      <w:start w:val="3"/>
    </w:lvl>
  </w:abstractNum>
  <w:abstractNum w:abstractNumId="67">
    <w:nsid w:val="5DB70AE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2025-11-20T06:04:47Z</dcterms:created>
  <dcterms:modified xsi:type="dcterms:W3CDTF">2025-11-20T06:04:47Z</dcterms:modified>
</cp:coreProperties>
</file>