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457200</wp:posOffset>
            </wp:positionH>
            <wp:positionV relativeFrom="page">
              <wp:posOffset>1083310</wp:posOffset>
            </wp:positionV>
            <wp:extent cx="69469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6900" cy="8255"/>
                    </a:xfrm>
                    <a:prstGeom prst="rect">
                      <a:avLst/>
                    </a:prstGeom>
                    <a:noFill/>
                  </pic:spPr>
                </pic:pic>
              </a:graphicData>
            </a:graphic>
          </wp:anchor>
        </w:drawing>
        <w:drawing>
          <wp:anchor simplePos="0" relativeHeight="251657728" behindDoc="1" locked="0" layoutInCell="0" allowOverlap="1">
            <wp:simplePos x="0" y="0"/>
            <wp:positionH relativeFrom="page">
              <wp:posOffset>457200</wp:posOffset>
            </wp:positionH>
            <wp:positionV relativeFrom="page">
              <wp:posOffset>1041400</wp:posOffset>
            </wp:positionV>
            <wp:extent cx="6946900"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6510"/>
                    </a:xfrm>
                    <a:prstGeom prst="rect">
                      <a:avLst/>
                    </a:prstGeom>
                    <a:noFill/>
                  </pic:spPr>
                </pic:pic>
              </a:graphicData>
            </a:graphic>
          </wp:anchor>
        </w:drawing>
      </w:r>
    </w:p>
    <w:p>
      <w:pPr>
        <w:spacing w:after="0" w:line="240"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11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41" w:lineRule="exact"/>
        <w:rPr>
          <w:sz w:val="24"/>
          <w:szCs w:val="24"/>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3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1457325</wp:posOffset>
            </wp:positionH>
            <wp:positionV relativeFrom="paragraph">
              <wp:posOffset>21590</wp:posOffset>
            </wp:positionV>
            <wp:extent cx="44786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478655" cy="8255"/>
                    </a:xfrm>
                    <a:prstGeom prst="rect">
                      <a:avLst/>
                    </a:prstGeom>
                    <a:noFill/>
                  </pic:spPr>
                </pic:pic>
              </a:graphicData>
            </a:graphic>
          </wp:anchor>
        </w:drawing>
        <w:drawing>
          <wp:anchor simplePos="0" relativeHeight="251657728" behindDoc="1" locked="0" layoutInCell="0" allowOverlap="1">
            <wp:simplePos x="0" y="0"/>
            <wp:positionH relativeFrom="column">
              <wp:posOffset>1457325</wp:posOffset>
            </wp:positionH>
            <wp:positionV relativeFrom="paragraph">
              <wp:posOffset>-219710</wp:posOffset>
            </wp:positionV>
            <wp:extent cx="44786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78655" cy="8255"/>
                    </a:xfrm>
                    <a:prstGeom prst="rect">
                      <a:avLst/>
                    </a:prstGeom>
                    <a:noFill/>
                  </pic:spPr>
                </pic:pic>
              </a:graphicData>
            </a:graphic>
          </wp:anchor>
        </w:drawing>
      </w:r>
    </w:p>
    <w:p>
      <w:pPr>
        <w:spacing w:after="0" w:line="6"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CURRENT REPORT</w:t>
      </w:r>
    </w:p>
    <w:p>
      <w:pPr>
        <w:jc w:val="center"/>
        <w:ind w:left="380"/>
        <w:spacing w:after="0" w:line="209" w:lineRule="auto"/>
        <w:rPr>
          <w:sz w:val="20"/>
          <w:szCs w:val="20"/>
          <w:color w:val="auto"/>
        </w:rPr>
      </w:pPr>
      <w:r>
        <w:rPr>
          <w:rFonts w:ascii="Times New Roman" w:cs="Times New Roman" w:eastAsia="Times New Roman" w:hAnsi="Times New Roman"/>
          <w:sz w:val="21"/>
          <w:szCs w:val="21"/>
          <w:b w:val="1"/>
          <w:bCs w:val="1"/>
          <w:color w:val="auto"/>
        </w:rPr>
        <w:t>Pursuant to Section 13 or 15(d) of the</w:t>
      </w:r>
    </w:p>
    <w:p>
      <w:pPr>
        <w:jc w:val="center"/>
        <w:ind w:left="380"/>
        <w:spacing w:after="0"/>
        <w:rPr>
          <w:sz w:val="20"/>
          <w:szCs w:val="20"/>
          <w:color w:val="auto"/>
        </w:rPr>
      </w:pPr>
      <w:r>
        <w:rPr>
          <w:rFonts w:ascii="Times New Roman" w:cs="Times New Roman" w:eastAsia="Times New Roman" w:hAnsi="Times New Roman"/>
          <w:sz w:val="21"/>
          <w:szCs w:val="21"/>
          <w:b w:val="1"/>
          <w:bCs w:val="1"/>
          <w:color w:val="auto"/>
        </w:rPr>
        <w:t>Securities Exchange Act of 1934</w:t>
      </w:r>
    </w:p>
    <w:p>
      <w:pPr>
        <w:spacing w:after="0" w:line="1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1457325</wp:posOffset>
            </wp:positionH>
            <wp:positionV relativeFrom="paragraph">
              <wp:posOffset>31750</wp:posOffset>
            </wp:positionV>
            <wp:extent cx="44786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478655" cy="8255"/>
                    </a:xfrm>
                    <a:prstGeom prst="rect">
                      <a:avLst/>
                    </a:prstGeom>
                    <a:noFill/>
                  </pic:spPr>
                </pic:pic>
              </a:graphicData>
            </a:graphic>
          </wp:anchor>
        </w:drawing>
      </w:r>
    </w:p>
    <w:p>
      <w:pPr>
        <w:spacing w:after="0" w:line="102"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32"/>
          <w:szCs w:val="32"/>
          <w:b w:val="1"/>
          <w:bCs w:val="1"/>
          <w:color w:val="auto"/>
        </w:rPr>
        <w:t>Shutterstock,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1457325</wp:posOffset>
            </wp:positionH>
            <wp:positionV relativeFrom="paragraph">
              <wp:posOffset>80010</wp:posOffset>
            </wp:positionV>
            <wp:extent cx="44786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478655" cy="8255"/>
                    </a:xfrm>
                    <a:prstGeom prst="rect">
                      <a:avLst/>
                    </a:prstGeom>
                    <a:noFill/>
                  </pic:spPr>
                </pic:pic>
              </a:graphicData>
            </a:graphic>
          </wp:anchor>
        </w:drawing>
      </w:r>
    </w:p>
    <w:p>
      <w:pPr>
        <w:spacing w:after="0" w:line="128"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1457325</wp:posOffset>
            </wp:positionH>
            <wp:positionV relativeFrom="paragraph">
              <wp:posOffset>22225</wp:posOffset>
            </wp:positionV>
            <wp:extent cx="44786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478655"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p>
      <w:pPr>
        <w:spacing w:after="0" w:line="265" w:lineRule="exact"/>
        <w:rPr>
          <w:sz w:val="24"/>
          <w:szCs w:val="24"/>
          <w:color w:val="auto"/>
        </w:rPr>
      </w:pPr>
    </w:p>
    <w:p>
      <w:pPr>
        <w:ind w:left="17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jc w:val="center"/>
        <w:ind w:right="2040"/>
        <w:spacing w:after="0"/>
        <w:rPr>
          <w:sz w:val="20"/>
          <w:szCs w:val="20"/>
          <w:color w:val="auto"/>
        </w:rPr>
      </w:pPr>
      <w:r>
        <w:rPr>
          <w:rFonts w:ascii="Times New Roman" w:cs="Times New Roman" w:eastAsia="Times New Roman" w:hAnsi="Times New Roman"/>
          <w:sz w:val="16"/>
          <w:szCs w:val="16"/>
          <w:b w:val="1"/>
          <w:bCs w:val="1"/>
          <w:color w:val="auto"/>
        </w:rPr>
        <w:t>001-35669</w:t>
      </w:r>
    </w:p>
    <w:p>
      <w:pPr>
        <w:spacing w:after="0" w:line="20" w:lineRule="exact"/>
        <w:rPr>
          <w:sz w:val="24"/>
          <w:szCs w:val="24"/>
          <w:color w:val="auto"/>
        </w:rPr>
      </w:pPr>
      <w:r>
        <w:rPr>
          <w:sz w:val="24"/>
          <w:szCs w:val="24"/>
          <w:color w:val="auto"/>
        </w:rPr>
        <w:br w:type="column"/>
      </w:r>
    </w:p>
    <w:p>
      <w:pPr>
        <w:spacing w:after="0" w:line="24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80-0812659</w:t>
      </w:r>
    </w:p>
    <w:p>
      <w:pPr>
        <w:spacing w:after="0" w:line="24" w:lineRule="exact"/>
        <w:rPr>
          <w:sz w:val="24"/>
          <w:szCs w:val="24"/>
          <w:color w:val="auto"/>
        </w:rPr>
      </w:pPr>
    </w:p>
    <w:p>
      <w:pPr>
        <w:sectPr>
          <w:pgSz w:w="11900" w:h="16838" w:orient="portrait"/>
          <w:cols w:equalWidth="0" w:num="3">
            <w:col w:w="4580" w:space="720"/>
            <w:col w:w="2800" w:space="720"/>
            <w:col w:w="2520"/>
          </w:cols>
          <w:pgMar w:left="320" w:top="1440" w:right="239" w:bottom="1440" w:gutter="0" w:footer="0" w:header="0"/>
          <w:type w:val="continuous"/>
        </w:sectPr>
      </w:pPr>
    </w:p>
    <w:p>
      <w:pPr>
        <w:spacing w:after="0" w:line="12" w:lineRule="exact"/>
        <w:rPr>
          <w:sz w:val="24"/>
          <w:szCs w:val="24"/>
          <w:color w:val="auto"/>
        </w:rPr>
      </w:pPr>
    </w:p>
    <w:p>
      <w:pPr>
        <w:jc w:val="center"/>
        <w:ind w:right="320"/>
        <w:spacing w:after="0"/>
        <w:rPr>
          <w:sz w:val="20"/>
          <w:szCs w:val="20"/>
          <w:color w:val="auto"/>
        </w:rPr>
      </w:pPr>
      <w:r>
        <w:rPr>
          <w:rFonts w:ascii="Times New Roman" w:cs="Times New Roman" w:eastAsia="Times New Roman" w:hAnsi="Times New Roman"/>
          <w:sz w:val="13"/>
          <w:szCs w:val="13"/>
          <w:color w:val="auto"/>
        </w:rPr>
        <w:t>(State or other jurisdiction</w:t>
      </w:r>
    </w:p>
    <w:p>
      <w:pPr>
        <w:jc w:val="center"/>
        <w:ind w:right="320"/>
        <w:spacing w:after="0"/>
        <w:rPr>
          <w:sz w:val="20"/>
          <w:szCs w:val="20"/>
          <w:color w:val="auto"/>
        </w:rPr>
      </w:pPr>
      <w:r>
        <w:rPr>
          <w:rFonts w:ascii="Times New Roman" w:cs="Times New Roman" w:eastAsia="Times New Roman" w:hAnsi="Times New Roman"/>
          <w:sz w:val="14"/>
          <w:szCs w:val="14"/>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w:t>
      </w:r>
    </w:p>
    <w:p>
      <w:pPr>
        <w:spacing w:after="0"/>
        <w:rPr>
          <w:sz w:val="20"/>
          <w:szCs w:val="20"/>
          <w:color w:val="auto"/>
        </w:rPr>
      </w:pPr>
      <w:r>
        <w:rPr>
          <w:rFonts w:ascii="Times New Roman" w:cs="Times New Roman" w:eastAsia="Times New Roman" w:hAnsi="Times New Roman"/>
          <w:sz w:val="14"/>
          <w:szCs w:val="14"/>
          <w:color w:val="auto"/>
        </w:rPr>
        <w:t>File Number)</w:t>
      </w:r>
    </w:p>
    <w:p>
      <w:pPr>
        <w:spacing w:after="0" w:line="20" w:lineRule="exact"/>
        <w:rPr>
          <w:sz w:val="24"/>
          <w:szCs w:val="24"/>
          <w:color w:val="auto"/>
        </w:rPr>
      </w:pPr>
      <w:r>
        <w:rPr>
          <w:sz w:val="24"/>
          <w:szCs w:val="24"/>
          <w:color w:val="auto"/>
        </w:rPr>
        <w:br w:type="column"/>
      </w:r>
    </w:p>
    <w:p>
      <w:pPr>
        <w:jc w:val="center"/>
        <w:ind w:right="1580"/>
        <w:spacing w:after="0"/>
        <w:rPr>
          <w:sz w:val="20"/>
          <w:szCs w:val="20"/>
          <w:color w:val="auto"/>
        </w:rPr>
      </w:pPr>
      <w:r>
        <w:rPr>
          <w:rFonts w:ascii="Times New Roman" w:cs="Times New Roman" w:eastAsia="Times New Roman" w:hAnsi="Times New Roman"/>
          <w:sz w:val="14"/>
          <w:szCs w:val="14"/>
          <w:color w:val="auto"/>
        </w:rPr>
        <w:t>(IRS Employer</w:t>
      </w:r>
    </w:p>
    <w:p>
      <w:pPr>
        <w:jc w:val="center"/>
        <w:ind w:right="1580"/>
        <w:spacing w:after="0"/>
        <w:rPr>
          <w:sz w:val="20"/>
          <w:szCs w:val="20"/>
          <w:color w:val="auto"/>
        </w:rPr>
      </w:pPr>
      <w:r>
        <w:rPr>
          <w:rFonts w:ascii="Times New Roman" w:cs="Times New Roman" w:eastAsia="Times New Roman" w:hAnsi="Times New Roman"/>
          <w:sz w:val="13"/>
          <w:szCs w:val="13"/>
          <w:color w:val="auto"/>
        </w:rPr>
        <w:t>Identification No.)</w:t>
      </w:r>
    </w:p>
    <w:p>
      <w:pPr>
        <w:spacing w:after="0" w:line="205" w:lineRule="exact"/>
        <w:rPr>
          <w:sz w:val="24"/>
          <w:szCs w:val="24"/>
          <w:color w:val="auto"/>
        </w:rPr>
      </w:pPr>
    </w:p>
    <w:p>
      <w:pPr>
        <w:sectPr>
          <w:pgSz w:w="11900" w:h="16838" w:orient="portrait"/>
          <w:cols w:equalWidth="0" w:num="3">
            <w:col w:w="4580" w:space="720"/>
            <w:col w:w="2700" w:space="720"/>
            <w:col w:w="2620"/>
          </w:cols>
          <w:pgMar w:left="320" w:top="1440" w:right="239" w:bottom="1440" w:gutter="0" w:footer="0" w:header="0"/>
          <w:type w:val="continuous"/>
        </w:sectPr>
      </w:pPr>
    </w:p>
    <w:p>
      <w:pPr>
        <w:ind w:left="4760"/>
        <w:spacing w:after="0"/>
        <w:rPr>
          <w:sz w:val="20"/>
          <w:szCs w:val="20"/>
          <w:color w:val="auto"/>
        </w:rPr>
      </w:pPr>
      <w:r>
        <w:rPr>
          <w:rFonts w:ascii="Times New Roman" w:cs="Times New Roman" w:eastAsia="Times New Roman" w:hAnsi="Times New Roman"/>
          <w:sz w:val="18"/>
          <w:szCs w:val="18"/>
          <w:b w:val="1"/>
          <w:bCs w:val="1"/>
          <w:color w:val="auto"/>
        </w:rPr>
        <w:t>350 Fifth Avenue, 21st Floor</w:t>
      </w:r>
    </w:p>
    <w:p>
      <w:pPr>
        <w:spacing w:after="0" w:line="23" w:lineRule="exact"/>
        <w:rPr>
          <w:sz w:val="24"/>
          <w:szCs w:val="24"/>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New York, NY 10118</w:t>
      </w:r>
    </w:p>
    <w:p>
      <w:pPr>
        <w:spacing w:after="0" w:line="4"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6"/>
          <w:szCs w:val="16"/>
          <w:color w:val="auto"/>
        </w:rPr>
        <w:t>(Address of principal executive offices, including zip code)</w:t>
      </w:r>
    </w:p>
    <w:p>
      <w:pPr>
        <w:spacing w:after="0" w:line="112" w:lineRule="exact"/>
        <w:rPr>
          <w:sz w:val="24"/>
          <w:szCs w:val="24"/>
          <w:color w:val="auto"/>
        </w:rPr>
      </w:pPr>
    </w:p>
    <w:p>
      <w:pPr>
        <w:ind w:left="5280"/>
        <w:spacing w:after="0"/>
        <w:rPr>
          <w:sz w:val="20"/>
          <w:szCs w:val="20"/>
          <w:color w:val="auto"/>
        </w:rPr>
      </w:pPr>
      <w:r>
        <w:rPr>
          <w:rFonts w:ascii="Times New Roman" w:cs="Times New Roman" w:eastAsia="Times New Roman" w:hAnsi="Times New Roman"/>
          <w:sz w:val="18"/>
          <w:szCs w:val="18"/>
          <w:b w:val="1"/>
          <w:bCs w:val="1"/>
          <w:color w:val="auto"/>
        </w:rPr>
        <w:t>(646) 710-3417</w:t>
      </w:r>
    </w:p>
    <w:p>
      <w:pPr>
        <w:spacing w:after="0" w:line="111" w:lineRule="exact"/>
        <w:rPr>
          <w:sz w:val="24"/>
          <w:szCs w:val="24"/>
          <w:color w:val="auto"/>
        </w:rPr>
      </w:pPr>
    </w:p>
    <w:p>
      <w:pPr>
        <w:ind w:left="39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1" w:lineRule="exact"/>
        <w:rPr>
          <w:sz w:val="24"/>
          <w:szCs w:val="24"/>
          <w:color w:val="auto"/>
        </w:rPr>
      </w:pPr>
    </w:p>
    <w:p>
      <w:pPr>
        <w:jc w:val="center"/>
        <w:ind w:left="3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340"/>
          </w:cols>
          <w:pgMar w:left="320" w:top="1440" w:right="239" w:bottom="1440" w:gutter="0" w:footer="0" w:header="0"/>
          <w:type w:val="continuous"/>
        </w:sectPr>
      </w:pPr>
    </w:p>
    <w:p>
      <w:pPr>
        <w:spacing w:after="0" w:line="4" w:lineRule="exact"/>
        <w:rPr>
          <w:sz w:val="24"/>
          <w:szCs w:val="24"/>
          <w:color w:val="auto"/>
        </w:rPr>
      </w:pPr>
    </w:p>
    <w:p>
      <w:pPr>
        <w:ind w:left="2940"/>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4" w:lineRule="exact"/>
        <w:rPr>
          <w:sz w:val="24"/>
          <w:szCs w:val="24"/>
          <w:color w:val="auto"/>
        </w:rPr>
      </w:pPr>
    </w:p>
    <w:p>
      <w:pPr>
        <w:ind w:right="660" w:firstLine="395"/>
        <w:spacing w:after="0" w:line="248"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7" w:lineRule="exact"/>
        <w:rPr>
          <w:sz w:val="24"/>
          <w:szCs w:val="24"/>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6" w:lineRule="exact"/>
        <w:rPr>
          <w:rFonts w:ascii="MS PGothic" w:cs="MS PGothic" w:eastAsia="MS PGothic" w:hAnsi="MS PGothic"/>
          <w:sz w:val="18"/>
          <w:szCs w:val="18"/>
          <w:color w:val="auto"/>
        </w:rPr>
      </w:pPr>
    </w:p>
    <w:p>
      <w:pPr>
        <w:ind w:left="940" w:hanging="522"/>
        <w:spacing w:after="0"/>
        <w:tabs>
          <w:tab w:leader="none" w:pos="9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96" w:lineRule="exact"/>
        <w:rPr>
          <w:sz w:val="24"/>
          <w:szCs w:val="24"/>
          <w:color w:val="auto"/>
        </w:rPr>
      </w:pPr>
    </w:p>
    <w:p>
      <w:pPr>
        <w:ind w:left="326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8" w:lineRule="exact"/>
        <w:rPr>
          <w:sz w:val="24"/>
          <w:szCs w:val="24"/>
          <w:color w:val="auto"/>
        </w:rPr>
      </w:pPr>
    </w:p>
    <w:tbl>
      <w:tblPr>
        <w:tblLayout w:type="fixed"/>
        <w:tblInd w:w="400" w:type="dxa"/>
        <w:tblCellMar>
          <w:top w:w="0" w:type="dxa"/>
          <w:left w:w="0" w:type="dxa"/>
          <w:bottom w:w="0" w:type="dxa"/>
          <w:right w:w="0" w:type="dxa"/>
        </w:tblCellMar>
      </w:tblPr>
      <w:tr>
        <w:trPr>
          <w:trHeight w:val="204"/>
        </w:trPr>
        <w:tc>
          <w:tcPr>
            <w:tcW w:w="3840" w:type="dxa"/>
            <w:vAlign w:val="bottom"/>
            <w:tcBorders>
              <w:top w:val="single" w:sz="8" w:color="auto"/>
              <w:bottom w:val="single" w:sz="8" w:color="auto"/>
            </w:tcBorders>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1820" w:type="dxa"/>
            <w:vAlign w:val="bottom"/>
            <w:tcBorders>
              <w:top w:val="single" w:sz="8" w:color="auto"/>
              <w:bottom w:val="single" w:sz="8" w:color="auto"/>
            </w:tcBorders>
          </w:tcPr>
          <w:p>
            <w:pPr>
              <w:jc w:val="center"/>
              <w:ind w:left="90"/>
              <w:spacing w:after="0"/>
              <w:rPr>
                <w:sz w:val="20"/>
                <w:szCs w:val="20"/>
                <w:color w:val="auto"/>
              </w:rPr>
            </w:pPr>
            <w:r>
              <w:rPr>
                <w:rFonts w:ascii="Times New Roman" w:cs="Times New Roman" w:eastAsia="Times New Roman" w:hAnsi="Times New Roman"/>
                <w:sz w:val="14"/>
                <w:szCs w:val="14"/>
                <w:b w:val="1"/>
                <w:bCs w:val="1"/>
                <w:color w:val="auto"/>
                <w:w w:val="98"/>
              </w:rPr>
              <w:t>Trading symbol</w:t>
            </w:r>
          </w:p>
        </w:tc>
        <w:tc>
          <w:tcPr>
            <w:tcW w:w="3480" w:type="dxa"/>
            <w:vAlign w:val="bottom"/>
            <w:tcBorders>
              <w:top w:val="single" w:sz="8" w:color="auto"/>
              <w:bottom w:val="single" w:sz="8" w:color="auto"/>
            </w:tcBorders>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84"/>
        </w:trPr>
        <w:tc>
          <w:tcPr>
            <w:tcW w:w="3840" w:type="dxa"/>
            <w:vAlign w:val="bottom"/>
          </w:tcPr>
          <w:p>
            <w:pPr>
              <w:jc w:val="center"/>
              <w:ind w:left="250"/>
              <w:spacing w:after="0"/>
              <w:rPr>
                <w:sz w:val="20"/>
                <w:szCs w:val="20"/>
                <w:color w:val="auto"/>
              </w:rPr>
            </w:pPr>
            <w:r>
              <w:rPr>
                <w:rFonts w:ascii="Times New Roman" w:cs="Times New Roman" w:eastAsia="Times New Roman" w:hAnsi="Times New Roman"/>
                <w:sz w:val="14"/>
                <w:szCs w:val="14"/>
                <w:b w:val="1"/>
                <w:bCs w:val="1"/>
                <w:color w:val="auto"/>
              </w:rPr>
              <w:t>Common Stock, $0.01 par value per share</w:t>
            </w:r>
          </w:p>
        </w:tc>
        <w:tc>
          <w:tcPr>
            <w:tcW w:w="1820" w:type="dxa"/>
            <w:vAlign w:val="bottom"/>
          </w:tcPr>
          <w:p>
            <w:pPr>
              <w:jc w:val="center"/>
              <w:ind w:left="110"/>
              <w:spacing w:after="0"/>
              <w:rPr>
                <w:sz w:val="20"/>
                <w:szCs w:val="20"/>
                <w:color w:val="auto"/>
              </w:rPr>
            </w:pPr>
            <w:r>
              <w:rPr>
                <w:rFonts w:ascii="Times New Roman" w:cs="Times New Roman" w:eastAsia="Times New Roman" w:hAnsi="Times New Roman"/>
                <w:sz w:val="14"/>
                <w:szCs w:val="14"/>
                <w:b w:val="1"/>
                <w:bCs w:val="1"/>
                <w:color w:val="auto"/>
              </w:rPr>
              <w:t>SSTK</w:t>
            </w:r>
          </w:p>
        </w:tc>
        <w:tc>
          <w:tcPr>
            <w:tcW w:w="3480" w:type="dxa"/>
            <w:vAlign w:val="bottom"/>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w w:val="98"/>
              </w:rPr>
              <w:t>New York Stock Exchange</w:t>
            </w:r>
          </w:p>
        </w:tc>
      </w:tr>
    </w:tbl>
    <w:p>
      <w:pPr>
        <w:spacing w:after="0" w:line="218" w:lineRule="exact"/>
        <w:rPr>
          <w:sz w:val="24"/>
          <w:szCs w:val="24"/>
          <w:color w:val="auto"/>
        </w:rPr>
      </w:pPr>
    </w:p>
    <w:p>
      <w:pPr>
        <w:ind w:left="900"/>
        <w:spacing w:after="0" w:line="23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2" w:lineRule="exact"/>
        <w:rPr>
          <w:sz w:val="24"/>
          <w:szCs w:val="24"/>
          <w:color w:val="auto"/>
        </w:rPr>
      </w:pPr>
    </w:p>
    <w:p>
      <w:pPr>
        <w:ind w:left="900" w:hanging="482"/>
        <w:spacing w:after="0"/>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69" w:lineRule="exact"/>
        <w:rPr>
          <w:rFonts w:ascii="MS PGothic" w:cs="MS PGothic" w:eastAsia="MS PGothic" w:hAnsi="MS PGothic"/>
          <w:sz w:val="18"/>
          <w:szCs w:val="18"/>
          <w:color w:val="auto"/>
        </w:rPr>
      </w:pPr>
    </w:p>
    <w:p>
      <w:pPr>
        <w:ind w:left="900" w:hanging="482"/>
        <w:spacing w:after="0" w:line="231" w:lineRule="auto"/>
        <w:tabs>
          <w:tab w:leader="none" w:pos="9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1132840</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134620</wp:posOffset>
            </wp:positionV>
            <wp:extent cx="6946900" cy="16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46900" cy="165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109855</wp:posOffset>
            </wp:positionV>
            <wp:extent cx="69469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46900" cy="825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type w:val="continuous"/>
        </w:sectPr>
      </w:pPr>
    </w:p>
    <w:bookmarkStart w:id="1" w:name="page2"/>
    <w:bookmarkEnd w:id="1"/>
    <w:p>
      <w:pPr>
        <w:spacing w:after="0" w:line="88" w:lineRule="exact"/>
        <w:rPr>
          <w:sz w:val="20"/>
          <w:szCs w:val="20"/>
          <w:color w:val="auto"/>
        </w:rPr>
      </w:pPr>
    </w:p>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6"/>
          <w:szCs w:val="16"/>
          <w:b w:val="1"/>
          <w:bCs w:val="1"/>
          <w:color w:val="auto"/>
        </w:rPr>
        <w:t>Submission of Matters to a Vote of Security Holders.</w:t>
      </w:r>
    </w:p>
    <w:p>
      <w:pPr>
        <w:spacing w:after="0" w:line="203" w:lineRule="exact"/>
        <w:rPr>
          <w:sz w:val="20"/>
          <w:szCs w:val="20"/>
          <w:color w:val="auto"/>
        </w:rPr>
      </w:pPr>
    </w:p>
    <w:p>
      <w:pPr>
        <w:jc w:val="both"/>
        <w:ind w:right="20" w:firstLine="395"/>
        <w:spacing w:after="0" w:line="303" w:lineRule="auto"/>
        <w:rPr>
          <w:sz w:val="20"/>
          <w:szCs w:val="20"/>
          <w:color w:val="auto"/>
        </w:rPr>
      </w:pPr>
      <w:r>
        <w:rPr>
          <w:rFonts w:ascii="Times New Roman" w:cs="Times New Roman" w:eastAsia="Times New Roman" w:hAnsi="Times New Roman"/>
          <w:sz w:val="16"/>
          <w:szCs w:val="16"/>
          <w:color w:val="auto"/>
        </w:rPr>
        <w:t>On June 2, 2022, Shutterstock, Inc. (the “Company”) held its Annual Meeting of Stockholders (the “Annual Meeting”). As of April 13, 2022, the record date for the Annual Meeting, there were a total of 36,212,904 shares of the Company’s common stock outstanding and entitled to vote at the Annual Meeting. At the Annual Meeting, 33,402,215 shares of the Company’s common stock were represented in person or by proxy, and therefore a quorum was present.</w:t>
      </w:r>
    </w:p>
    <w:p>
      <w:pPr>
        <w:spacing w:after="0" w:line="14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Described below are the matters voted upon at the Annual Meeting and the voting results.</w:t>
      </w:r>
    </w:p>
    <w:p>
      <w:pPr>
        <w:spacing w:after="0" w:line="21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Proposal One - Election of Directors</w:t>
      </w:r>
    </w:p>
    <w:p>
      <w:pPr>
        <w:spacing w:after="0" w:line="214" w:lineRule="exact"/>
        <w:rPr>
          <w:sz w:val="20"/>
          <w:szCs w:val="20"/>
          <w:color w:val="auto"/>
        </w:rPr>
      </w:pPr>
    </w:p>
    <w:p>
      <w:pPr>
        <w:jc w:val="both"/>
        <w:ind w:firstLine="395"/>
        <w:spacing w:after="0" w:line="256" w:lineRule="auto"/>
        <w:rPr>
          <w:sz w:val="20"/>
          <w:szCs w:val="20"/>
          <w:color w:val="auto"/>
        </w:rPr>
      </w:pPr>
      <w:r>
        <w:rPr>
          <w:rFonts w:ascii="Times New Roman" w:cs="Times New Roman" w:eastAsia="Times New Roman" w:hAnsi="Times New Roman"/>
          <w:sz w:val="18"/>
          <w:szCs w:val="18"/>
          <w:color w:val="auto"/>
        </w:rPr>
        <w:t>At the Annual Meeting, the Company’s stockholders elected the following Class I director nominees to serve on the Company’s Board of Directors until the 2025 Annual Meeting of Stockholders or, in each case, until the director’s successor is duly elected and qualified or, if earlier, his or her death, resignation or removal. The votes cast were as follows:</w:t>
      </w:r>
    </w:p>
    <w:p>
      <w:pPr>
        <w:spacing w:after="0" w:line="217"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Director</w:t>
            </w:r>
          </w:p>
        </w:tc>
        <w:tc>
          <w:tcPr>
            <w:tcW w:w="1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7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Withhold</w:t>
            </w: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Broker Non-Votes</w:t>
            </w:r>
          </w:p>
        </w:tc>
      </w:tr>
      <w:tr>
        <w:trPr>
          <w:trHeight w:val="217"/>
        </w:trPr>
        <w:tc>
          <w:tcPr>
            <w:tcW w:w="17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Jonathan Oringer</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30,010,434</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1,223,061</w:t>
            </w:r>
          </w:p>
        </w:tc>
        <w:tc>
          <w:tcPr>
            <w:tcW w:w="120" w:type="dxa"/>
            <w:vAlign w:val="bottom"/>
            <w:tcBorders>
              <w:top w:val="single" w:sz="8" w:color="CCEEFF"/>
            </w:tcBorders>
            <w:shd w:val="clear" w:color="auto" w:fill="CCEEFF"/>
          </w:tcPr>
          <w:p>
            <w:pPr>
              <w:spacing w:after="0"/>
              <w:rPr>
                <w:sz w:val="18"/>
                <w:szCs w:val="18"/>
                <w:color w:val="auto"/>
              </w:rPr>
            </w:pPr>
          </w:p>
        </w:tc>
        <w:tc>
          <w:tcPr>
            <w:tcW w:w="20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2,168,721</w:t>
            </w:r>
          </w:p>
        </w:tc>
      </w:tr>
      <w:tr>
        <w:trPr>
          <w:trHeight w:val="228"/>
        </w:trPr>
        <w:tc>
          <w:tcPr>
            <w:tcW w:w="1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Rachna Bhasin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29,801,583</w:t>
            </w:r>
          </w:p>
        </w:tc>
        <w:tc>
          <w:tcPr>
            <w:tcW w:w="120" w:type="dxa"/>
            <w:vAlign w:val="bottom"/>
          </w:tcPr>
          <w:p>
            <w:pPr>
              <w:spacing w:after="0"/>
              <w:rPr>
                <w:sz w:val="19"/>
                <w:szCs w:val="19"/>
                <w:color w:val="auto"/>
              </w:rPr>
            </w:pPr>
          </w:p>
        </w:tc>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1,431,912</w:t>
            </w:r>
          </w:p>
        </w:tc>
        <w:tc>
          <w:tcPr>
            <w:tcW w:w="120" w:type="dxa"/>
            <w:vAlign w:val="bottom"/>
          </w:tcPr>
          <w:p>
            <w:pPr>
              <w:spacing w:after="0"/>
              <w:rPr>
                <w:sz w:val="19"/>
                <w:szCs w:val="19"/>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2,168,721</w:t>
            </w:r>
          </w:p>
        </w:tc>
      </w:tr>
    </w:tbl>
    <w:p>
      <w:pPr>
        <w:spacing w:after="0" w:line="267"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Proposal Two - Advisory Vote on the Compensation of the Company's Named Executive Officers</w:t>
      </w:r>
    </w:p>
    <w:p>
      <w:pPr>
        <w:spacing w:after="0" w:line="214" w:lineRule="exact"/>
        <w:rPr>
          <w:sz w:val="20"/>
          <w:szCs w:val="20"/>
          <w:color w:val="auto"/>
        </w:rPr>
      </w:pPr>
    </w:p>
    <w:p>
      <w:pPr>
        <w:ind w:right="200" w:firstLine="395"/>
        <w:spacing w:after="0" w:line="268" w:lineRule="auto"/>
        <w:rPr>
          <w:sz w:val="20"/>
          <w:szCs w:val="20"/>
          <w:color w:val="auto"/>
        </w:rPr>
      </w:pPr>
      <w:r>
        <w:rPr>
          <w:rFonts w:ascii="Times New Roman" w:cs="Times New Roman" w:eastAsia="Times New Roman" w:hAnsi="Times New Roman"/>
          <w:sz w:val="18"/>
          <w:szCs w:val="18"/>
          <w:color w:val="auto"/>
        </w:rPr>
        <w:t>At the Annual Meeting, the Company’s stockholders approved, on an advisory basis, the compensation of the Company's named executive officers as disclosed in the Company's proxy statement. The votes cast were as follows:</w:t>
      </w:r>
    </w:p>
    <w:p>
      <w:pPr>
        <w:spacing w:after="0" w:line="207"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7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6"/>
              </w:rPr>
              <w:t>Abstain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Broker Non-Votes</w:t>
            </w:r>
          </w:p>
        </w:tc>
      </w:tr>
      <w:tr>
        <w:trPr>
          <w:trHeight w:val="217"/>
        </w:trPr>
        <w:tc>
          <w:tcPr>
            <w:tcW w:w="156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30,828,746</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391,620</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13,128</w:t>
            </w:r>
          </w:p>
        </w:tc>
        <w:tc>
          <w:tcPr>
            <w:tcW w:w="1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2,168,721</w:t>
            </w: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Proposal Three - Ratification of Appointment of Independent Registered Public Accounting Firm</w:t>
      </w:r>
    </w:p>
    <w:p>
      <w:pPr>
        <w:spacing w:after="0" w:line="214" w:lineRule="exact"/>
        <w:rPr>
          <w:sz w:val="20"/>
          <w:szCs w:val="20"/>
          <w:color w:val="auto"/>
        </w:rPr>
      </w:pPr>
    </w:p>
    <w:p>
      <w:pPr>
        <w:ind w:right="260" w:firstLine="395"/>
        <w:spacing w:after="0" w:line="268" w:lineRule="auto"/>
        <w:rPr>
          <w:sz w:val="20"/>
          <w:szCs w:val="20"/>
          <w:color w:val="auto"/>
        </w:rPr>
      </w:pPr>
      <w:r>
        <w:rPr>
          <w:rFonts w:ascii="Times New Roman" w:cs="Times New Roman" w:eastAsia="Times New Roman" w:hAnsi="Times New Roman"/>
          <w:sz w:val="18"/>
          <w:szCs w:val="18"/>
          <w:color w:val="auto"/>
        </w:rPr>
        <w:t>At the Annual Meeting, the Company’s stockholders ratified the Audit Committee’s appointment of PricewaterhouseCoopers LLP as the Company’s independent registered public accounting firm for the fiscal year ending December 31, 2022. The votes cast were as follows:</w:t>
      </w:r>
    </w:p>
    <w:p>
      <w:pPr>
        <w:spacing w:after="0" w:line="207"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gridSpan w:val="2"/>
          </w:tcPr>
          <w:p>
            <w:pPr>
              <w:ind w:left="50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6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Abstain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Broker Non-Votes</w:t>
            </w:r>
          </w:p>
        </w:tc>
      </w:tr>
      <w:tr>
        <w:trPr>
          <w:trHeight w:val="217"/>
        </w:trPr>
        <w:tc>
          <w:tcPr>
            <w:tcW w:w="156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33,134,069</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259,755</w:t>
            </w:r>
          </w:p>
        </w:tc>
        <w:tc>
          <w:tcPr>
            <w:tcW w:w="10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8"/>
                <w:szCs w:val="18"/>
                <w:color w:val="auto"/>
              </w:rPr>
              <w:t>8,391</w:t>
            </w:r>
          </w:p>
        </w:tc>
        <w:tc>
          <w:tcPr>
            <w:tcW w:w="10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2,168,721</w:t>
            </w:r>
          </w:p>
        </w:tc>
      </w:tr>
    </w:tbl>
    <w:p>
      <w:pPr>
        <w:spacing w:after="0" w:line="28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u w:val="single" w:color="auto"/>
          <w:color w:val="auto"/>
        </w:rPr>
        <w:t>Proposal Four - Approval of the 2022 Omnibus Equity Incentive Plan</w:t>
      </w:r>
    </w:p>
    <w:p>
      <w:pPr>
        <w:spacing w:after="0" w:line="10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At the Annual Meeting, the Company’s stockholders approved the 2022 Omnibus Equity Incentive Plan. The votes were cast as follows:</w:t>
      </w:r>
    </w:p>
    <w:p>
      <w:pPr>
        <w:spacing w:after="0" w:line="252" w:lineRule="exact"/>
        <w:rPr>
          <w:sz w:val="20"/>
          <w:szCs w:val="20"/>
          <w:color w:val="auto"/>
        </w:rPr>
      </w:pPr>
    </w:p>
    <w:tbl>
      <w:tblPr>
        <w:tblLayout w:type="fixed"/>
        <w:tblInd w:w="400" w:type="dxa"/>
        <w:tblCellMar>
          <w:top w:w="0" w:type="dxa"/>
          <w:left w:w="0" w:type="dxa"/>
          <w:bottom w:w="0" w:type="dxa"/>
          <w:right w:w="0" w:type="dxa"/>
        </w:tblCellMar>
      </w:tblPr>
      <w:tr>
        <w:trPr>
          <w:trHeight w:val="231"/>
        </w:trPr>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16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Against</w:t>
            </w:r>
          </w:p>
        </w:tc>
        <w:tc>
          <w:tcPr>
            <w:tcW w:w="17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Abstain</w:t>
            </w:r>
          </w:p>
        </w:tc>
        <w:tc>
          <w:tcPr>
            <w:tcW w:w="19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Broker Non-Votes</w:t>
            </w:r>
          </w:p>
        </w:tc>
      </w:tr>
      <w:tr>
        <w:trPr>
          <w:trHeight w:val="217"/>
        </w:trPr>
        <w:tc>
          <w:tcPr>
            <w:tcW w:w="1560" w:type="dxa"/>
            <w:vAlign w:val="bottom"/>
            <w:tcBorders>
              <w:top w:val="single" w:sz="8" w:color="auto"/>
            </w:tcBorders>
            <w:shd w:val="clear" w:color="auto" w:fill="CCEEFF"/>
          </w:tcPr>
          <w:p>
            <w:pPr>
              <w:jc w:val="right"/>
              <w:ind w:right="292"/>
              <w:spacing w:after="0"/>
              <w:rPr>
                <w:sz w:val="20"/>
                <w:szCs w:val="20"/>
                <w:color w:val="auto"/>
              </w:rPr>
            </w:pPr>
            <w:r>
              <w:rPr>
                <w:rFonts w:ascii="Times New Roman" w:cs="Times New Roman" w:eastAsia="Times New Roman" w:hAnsi="Times New Roman"/>
                <w:sz w:val="18"/>
                <w:szCs w:val="18"/>
                <w:color w:val="auto"/>
              </w:rPr>
              <w:t>23,009,159</w:t>
            </w:r>
          </w:p>
        </w:tc>
        <w:tc>
          <w:tcPr>
            <w:tcW w:w="120" w:type="dxa"/>
            <w:vAlign w:val="bottom"/>
            <w:tcBorders>
              <w:top w:val="single" w:sz="8" w:color="CCEEFF"/>
            </w:tcBorders>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7,971,139</w:t>
            </w:r>
          </w:p>
        </w:tc>
        <w:tc>
          <w:tcPr>
            <w:tcW w:w="10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253,199</w:t>
            </w:r>
          </w:p>
        </w:tc>
        <w:tc>
          <w:tcPr>
            <w:tcW w:w="120" w:type="dxa"/>
            <w:vAlign w:val="bottom"/>
            <w:tcBorders>
              <w:top w:val="single" w:sz="8" w:color="CCEEFF"/>
            </w:tcBorders>
            <w:shd w:val="clear" w:color="auto" w:fill="CCEEFF"/>
          </w:tcPr>
          <w:p>
            <w:pPr>
              <w:spacing w:after="0"/>
              <w:rPr>
                <w:sz w:val="18"/>
                <w:szCs w:val="18"/>
                <w:color w:val="auto"/>
              </w:rPr>
            </w:pPr>
          </w:p>
        </w:tc>
        <w:tc>
          <w:tcPr>
            <w:tcW w:w="1980" w:type="dxa"/>
            <w:vAlign w:val="bottom"/>
            <w:tcBorders>
              <w:top w:val="single" w:sz="8" w:color="auto"/>
            </w:tcBorders>
            <w:shd w:val="clear" w:color="auto" w:fill="CCEEFF"/>
          </w:tcPr>
          <w:p>
            <w:pPr>
              <w:jc w:val="right"/>
              <w:ind w:right="552"/>
              <w:spacing w:after="0"/>
              <w:rPr>
                <w:sz w:val="20"/>
                <w:szCs w:val="20"/>
                <w:color w:val="auto"/>
              </w:rPr>
            </w:pPr>
            <w:r>
              <w:rPr>
                <w:rFonts w:ascii="Times New Roman" w:cs="Times New Roman" w:eastAsia="Times New Roman" w:hAnsi="Times New Roman"/>
                <w:sz w:val="18"/>
                <w:szCs w:val="18"/>
                <w:color w:val="auto"/>
              </w:rPr>
              <w:t>2,168,721</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20"/>
        <w:spacing w:after="0"/>
        <w:tabs>
          <w:tab w:leader="none" w:pos="156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6"/>
          <w:szCs w:val="16"/>
          <w:b w:val="1"/>
          <w:bCs w:val="1"/>
          <w:color w:val="auto"/>
        </w:rPr>
        <w:t>Financial Statements and Exhibits.</w:t>
      </w:r>
    </w:p>
    <w:p>
      <w:pPr>
        <w:spacing w:after="0" w:line="201" w:lineRule="exact"/>
        <w:rPr>
          <w:sz w:val="20"/>
          <w:szCs w:val="20"/>
          <w:color w:val="auto"/>
        </w:rPr>
      </w:pPr>
    </w:p>
    <w:p>
      <w:pPr>
        <w:ind w:left="740" w:hanging="340"/>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111" w:lineRule="exact"/>
        <w:rPr>
          <w:sz w:val="20"/>
          <w:szCs w:val="20"/>
          <w:color w:val="auto"/>
        </w:rPr>
      </w:pPr>
    </w:p>
    <w:p>
      <w:pPr>
        <w:ind w:left="320"/>
        <w:spacing w:after="0"/>
        <w:tabs>
          <w:tab w:leader="none" w:pos="9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937260</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sectPr>
      </w:pPr>
    </w:p>
    <w:bookmarkStart w:id="2" w:name="page3"/>
    <w:bookmarkEnd w:id="2"/>
    <w:p>
      <w:pPr>
        <w:spacing w:after="0" w:line="4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131" w:lineRule="exact"/>
        <w:rPr>
          <w:sz w:val="20"/>
          <w:szCs w:val="20"/>
          <w:color w:val="auto"/>
        </w:rPr>
      </w:pPr>
    </w:p>
    <w:p>
      <w:pPr>
        <w:ind w:left="20"/>
        <w:spacing w:after="0"/>
        <w:tabs>
          <w:tab w:leader="none" w:pos="54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Exhibit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30480</wp:posOffset>
            </wp:positionV>
            <wp:extent cx="69469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46900" cy="8255"/>
                    </a:xfrm>
                    <a:prstGeom prst="rect">
                      <a:avLst/>
                    </a:prstGeom>
                    <a:noFill/>
                  </pic:spPr>
                </pic:pic>
              </a:graphicData>
            </a:graphic>
          </wp:anchor>
        </w:drawing>
      </w:r>
    </w:p>
    <w:p>
      <w:pPr>
        <w:spacing w:after="0" w:line="259" w:lineRule="exact"/>
        <w:rPr>
          <w:sz w:val="20"/>
          <w:szCs w:val="20"/>
          <w:color w:val="auto"/>
        </w:rPr>
      </w:pPr>
    </w:p>
    <w:p>
      <w:pPr>
        <w:ind w:left="1100" w:hanging="1082"/>
        <w:spacing w:after="0"/>
        <w:tabs>
          <w:tab w:leader="none" w:pos="110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 the cover page XBRL tags are embedded within the Inline XBRL document.</w:t>
      </w: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200" w:lineRule="exact"/>
        <w:rPr>
          <w:rFonts w:ascii="Times New Roman" w:cs="Times New Roman" w:eastAsia="Times New Roman" w:hAnsi="Times New Roman"/>
          <w:sz w:val="16"/>
          <w:szCs w:val="16"/>
          <w:color w:val="auto"/>
        </w:rPr>
      </w:pPr>
    </w:p>
    <w:p>
      <w:pPr>
        <w:spacing w:after="0" w:line="300" w:lineRule="exact"/>
        <w:rPr>
          <w:rFonts w:ascii="Times New Roman" w:cs="Times New Roman" w:eastAsia="Times New Roman" w:hAnsi="Times New Roman"/>
          <w:sz w:val="16"/>
          <w:szCs w:val="16"/>
          <w:color w:val="auto"/>
        </w:rPr>
      </w:pPr>
    </w:p>
    <w:p>
      <w:pPr>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wp:posOffset>
            </wp:positionH>
            <wp:positionV relativeFrom="paragraph">
              <wp:posOffset>134620</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9739"/>
          </w:cols>
          <w:pgMar w:left="720" w:top="1440" w:right="1440" w:bottom="1440" w:gutter="0" w:footer="0" w:header="0"/>
        </w:sectPr>
      </w:pPr>
    </w:p>
    <w:bookmarkStart w:id="3" w:name="page4"/>
    <w:bookmarkEnd w:id="3"/>
    <w:p>
      <w:pPr>
        <w:spacing w:after="0" w:line="4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3" w:lineRule="exact"/>
        <w:rPr>
          <w:sz w:val="20"/>
          <w:szCs w:val="20"/>
          <w:color w:val="auto"/>
        </w:rPr>
      </w:pPr>
    </w:p>
    <w:p>
      <w:pPr>
        <w:ind w:right="880" w:firstLine="439"/>
        <w:spacing w:after="0" w:line="24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3020" w:type="dxa"/>
            <w:vAlign w:val="bottom"/>
          </w:tcPr>
          <w:p>
            <w:pPr>
              <w:spacing w:after="0"/>
              <w:rPr>
                <w:sz w:val="20"/>
                <w:szCs w:val="20"/>
                <w:color w:val="auto"/>
              </w:rPr>
            </w:pPr>
          </w:p>
        </w:tc>
        <w:tc>
          <w:tcPr>
            <w:tcW w:w="7900" w:type="dxa"/>
            <w:vAlign w:val="bottom"/>
            <w:gridSpan w:val="2"/>
          </w:tcPr>
          <w:p>
            <w:pPr>
              <w:ind w:left="1620"/>
              <w:spacing w:after="0"/>
              <w:rPr>
                <w:sz w:val="20"/>
                <w:szCs w:val="20"/>
                <w:color w:val="auto"/>
              </w:rPr>
            </w:pPr>
            <w:r>
              <w:rPr>
                <w:rFonts w:ascii="Times New Roman" w:cs="Times New Roman" w:eastAsia="Times New Roman" w:hAnsi="Times New Roman"/>
                <w:sz w:val="18"/>
                <w:szCs w:val="18"/>
                <w:b w:val="1"/>
                <w:bCs w:val="1"/>
                <w:color w:val="auto"/>
              </w:rPr>
              <w:t>SHUTTERSTOCK, INC.</w:t>
            </w:r>
          </w:p>
        </w:tc>
      </w:tr>
      <w:tr>
        <w:trPr>
          <w:trHeight w:val="408"/>
        </w:trPr>
        <w:tc>
          <w:tcPr>
            <w:tcW w:w="3020" w:type="dxa"/>
            <w:vAlign w:val="bottom"/>
          </w:tcPr>
          <w:p>
            <w:pPr>
              <w:spacing w:after="0"/>
              <w:rPr>
                <w:sz w:val="20"/>
                <w:szCs w:val="20"/>
                <w:color w:val="auto"/>
              </w:rPr>
            </w:pPr>
            <w:r>
              <w:rPr>
                <w:rFonts w:ascii="Times New Roman" w:cs="Times New Roman" w:eastAsia="Times New Roman" w:hAnsi="Times New Roman"/>
                <w:sz w:val="18"/>
                <w:szCs w:val="18"/>
                <w:color w:val="auto"/>
              </w:rPr>
              <w:t>Dated: June 3, 2022</w:t>
            </w:r>
          </w:p>
        </w:tc>
        <w:tc>
          <w:tcPr>
            <w:tcW w:w="22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By:</w:t>
            </w: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John Lapham</w:t>
            </w:r>
          </w:p>
        </w:tc>
      </w:tr>
      <w:tr>
        <w:trPr>
          <w:trHeight w:val="212"/>
        </w:trPr>
        <w:tc>
          <w:tcPr>
            <w:tcW w:w="30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John Lapham</w:t>
            </w:r>
          </w:p>
        </w:tc>
      </w:tr>
      <w:tr>
        <w:trPr>
          <w:trHeight w:val="228"/>
        </w:trPr>
        <w:tc>
          <w:tcPr>
            <w:tcW w:w="30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4</w:t>
      </w:r>
    </w:p>
    <w:sectPr>
      <w:pgSz w:w="11900" w:h="16838" w:orient="portrait"/>
      <w:cols w:equalWidth="0" w:num="1">
        <w:col w:w="11340"/>
      </w:cols>
      <w:pgMar w:left="320" w:top="144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lowerLetter"/>
      <w:start w:val="4"/>
    </w:lvl>
  </w:abstractNum>
  <w:abstractNum w:abstractNumId="3">
    <w:nsid w:val="625558EC"/>
    <w:multiLevelType w:val="hybridMultilevel"/>
    <w:lvl w:ilvl="0">
      <w:lvlJc w:val="left"/>
      <w:lvlText w:val="%1"/>
      <w:numFmt w:val="decimal"/>
      <w:start w:val="10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2022-06-03T07:58:20Z</dcterms:created>
  <dcterms:modified xsi:type="dcterms:W3CDTF">2022-06-03T07:58:20Z</dcterms:modified>
</cp:coreProperties>
</file>