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of the Securities Exchange Act of 1934</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Date of Report (Date of earliest event reported): July 16, 2026</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Shutterstock, Inc.</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its charter)</w:t>
      </w:r>
    </w:p>
    <w:p>
      <w:pPr>
        <w:pStyle w:val="TextBody"/>
        <w:bidi w:val="0"/>
        <w:spacing w:before="0" w:after="0"/>
        <w:jc w:val="left"/>
        <w:rPr>
          <w:sz w:val="20"/>
        </w:rPr>
      </w:pPr>
      <w:r>
        <w:rPr>
          <w:sz w:val="20"/>
        </w:rPr>
      </w:r>
    </w:p>
    <w:tbl>
      <w:tblPr>
        <w:tblW w:w="8596" w:type="dxa"/>
        <w:jc w:val="left"/>
        <w:tblInd w:w="0" w:type="dxa"/>
        <w:tblLayout w:type="fixed"/>
        <w:tblCellMar>
          <w:top w:w="0" w:type="dxa"/>
          <w:left w:w="0" w:type="dxa"/>
          <w:bottom w:w="28" w:type="dxa"/>
          <w:right w:w="0" w:type="dxa"/>
        </w:tblCellMar>
      </w:tblPr>
      <w:tblGrid>
        <w:gridCol w:w="3575"/>
        <w:gridCol w:w="23"/>
        <w:gridCol w:w="2210"/>
        <w:gridCol w:w="23"/>
        <w:gridCol w:w="2765"/>
      </w:tblGrid>
      <w:tr>
        <w:trPr/>
        <w:tc>
          <w:tcPr>
            <w:tcW w:w="357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23" w:type="dxa"/>
            <w:tcBorders/>
            <w:tcMar>
              <w:bottom w:w="0" w:type="dxa"/>
            </w:tcMar>
            <w:vAlign w:val="center"/>
          </w:tcPr>
          <w:p>
            <w:pPr>
              <w:pStyle w:val="TableContents"/>
              <w:bidi w:val="0"/>
              <w:spacing w:before="0" w:after="283"/>
              <w:jc w:val="left"/>
              <w:rPr/>
            </w:pPr>
            <w:r>
              <w:rPr/>
            </w:r>
          </w:p>
        </w:tc>
        <w:tc>
          <w:tcPr>
            <w:tcW w:w="221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001-35669</w:t>
            </w:r>
          </w:p>
        </w:tc>
        <w:tc>
          <w:tcPr>
            <w:tcW w:w="23" w:type="dxa"/>
            <w:tcBorders/>
            <w:tcMar>
              <w:bottom w:w="0" w:type="dxa"/>
            </w:tcMar>
            <w:vAlign w:val="center"/>
          </w:tcPr>
          <w:p>
            <w:pPr>
              <w:pStyle w:val="TableContents"/>
              <w:bidi w:val="0"/>
              <w:spacing w:before="0" w:after="283"/>
              <w:jc w:val="left"/>
              <w:rPr/>
            </w:pPr>
            <w:r>
              <w:rPr/>
            </w:r>
          </w:p>
        </w:tc>
        <w:tc>
          <w:tcPr>
            <w:tcW w:w="276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80-0812659</w:t>
            </w:r>
          </w:p>
        </w:tc>
      </w:tr>
      <w:tr>
        <w:trPr/>
        <w:tc>
          <w:tcPr>
            <w:tcW w:w="357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(State or other jurisdiction of incorporation)</w:t>
            </w:r>
          </w:p>
        </w:tc>
        <w:tc>
          <w:tcPr>
            <w:tcW w:w="23" w:type="dxa"/>
            <w:tcBorders/>
            <w:tcMar>
              <w:bottom w:w="0" w:type="dxa"/>
            </w:tcMar>
            <w:vAlign w:val="center"/>
          </w:tcPr>
          <w:p>
            <w:pPr>
              <w:pStyle w:val="TableContents"/>
              <w:bidi w:val="0"/>
              <w:spacing w:before="0" w:after="283"/>
              <w:jc w:val="left"/>
              <w:rPr/>
            </w:pPr>
            <w:r>
              <w:rPr/>
            </w:r>
          </w:p>
        </w:tc>
        <w:tc>
          <w:tcPr>
            <w:tcW w:w="221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(Commission File Number)</w:t>
            </w:r>
          </w:p>
        </w:tc>
        <w:tc>
          <w:tcPr>
            <w:tcW w:w="23" w:type="dxa"/>
            <w:tcBorders/>
            <w:tcMar>
              <w:bottom w:w="0" w:type="dxa"/>
            </w:tcMar>
            <w:vAlign w:val="center"/>
          </w:tcPr>
          <w:p>
            <w:pPr>
              <w:pStyle w:val="TableContents"/>
              <w:bidi w:val="0"/>
              <w:spacing w:before="0" w:after="283"/>
              <w:jc w:val="left"/>
              <w:rPr/>
            </w:pPr>
            <w:r>
              <w:rPr/>
            </w:r>
          </w:p>
        </w:tc>
        <w:tc>
          <w:tcPr>
            <w:tcW w:w="276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350 Fifth Avenue, 20th Floor</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New York, NY 10118</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(Address of principal executive offices, including zip code)</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(646) 710-3417</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 Applicable</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(Former name, former address and former fiscal year, if changed since last report)</w:t>
      </w:r>
    </w:p>
    <w:p>
      <w:pPr>
        <w:pStyle w:val="TextBody"/>
        <w:bidi w:val="0"/>
        <w:spacing w:before="0" w:after="0"/>
        <w:jc w:val="left"/>
        <w:rPr>
          <w:sz w:val="20"/>
        </w:rPr>
      </w:pPr>
      <w:r>
        <w:rPr>
          <w:sz w:val="20"/>
        </w:rPr>
      </w:r>
    </w:p>
    <w:p>
      <w:pPr>
        <w:pStyle w:val="HorizontalLine"/>
        <w:bidi w:val="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sz w:val="20"/>
        </w:rPr>
      </w:pPr>
      <w:r>
        <w:rPr>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jc w:val="left"/>
        <w:rPr>
          <w:sz w:val="20"/>
        </w:rPr>
      </w:pPr>
      <w:r>
        <w:rPr>
          <w:sz w:val="20"/>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jc w:val="left"/>
        <w:rPr>
          <w:sz w:val="20"/>
        </w:rPr>
      </w:pPr>
      <w:r>
        <w:rPr>
          <w:sz w:val="20"/>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jc w:val="left"/>
        <w:rPr>
          <w:sz w:val="20"/>
        </w:rPr>
      </w:pPr>
      <w:r>
        <w:rPr>
          <w:sz w:val="20"/>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Securities registered pursuant to Section 12(b) of the Act:</w:t>
      </w:r>
    </w:p>
    <w:p>
      <w:pPr>
        <w:pStyle w:val="TextBody"/>
        <w:bidi w:val="0"/>
        <w:spacing w:before="0" w:after="0"/>
        <w:jc w:val="left"/>
        <w:rPr>
          <w:sz w:val="20"/>
        </w:rPr>
      </w:pPr>
      <w:r>
        <w:rPr>
          <w:sz w:val="20"/>
        </w:rPr>
      </w:r>
    </w:p>
    <w:tbl>
      <w:tblPr>
        <w:tblW w:w="8475" w:type="dxa"/>
        <w:jc w:val="left"/>
        <w:tblInd w:w="0" w:type="dxa"/>
        <w:tblLayout w:type="fixed"/>
        <w:tblCellMar>
          <w:top w:w="0" w:type="dxa"/>
          <w:left w:w="0" w:type="dxa"/>
          <w:bottom w:w="28" w:type="dxa"/>
          <w:right w:w="0" w:type="dxa"/>
        </w:tblCellMar>
      </w:tblPr>
      <w:tblGrid>
        <w:gridCol w:w="3395"/>
        <w:gridCol w:w="1385"/>
        <w:gridCol w:w="3695"/>
      </w:tblGrid>
      <w:tr>
        <w:trPr/>
        <w:tc>
          <w:tcPr>
            <w:tcW w:w="339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Class</w:t>
            </w:r>
          </w:p>
        </w:tc>
        <w:tc>
          <w:tcPr>
            <w:tcW w:w="138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Trading symbol</w:t>
            </w:r>
          </w:p>
        </w:tc>
        <w:tc>
          <w:tcPr>
            <w:tcW w:w="369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39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Common Stock, $0.01 par value per share</w:t>
            </w:r>
          </w:p>
        </w:tc>
        <w:tc>
          <w:tcPr>
            <w:tcW w:w="138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SSTK</w:t>
            </w:r>
          </w:p>
        </w:tc>
        <w:tc>
          <w:tcPr>
            <w:tcW w:w="3695" w:type="dxa"/>
            <w:tcBorders/>
            <w:tcMar>
              <w:bottom w:w="0" w:type="dxa"/>
            </w:tcMar>
            <w:vAlign w:val="center"/>
          </w:tcPr>
          <w:p>
            <w:pPr>
              <w:pStyle w:val="TableContents"/>
              <w:bidi w:val="0"/>
              <w:spacing w:before="0" w:after="283"/>
              <w:jc w:val="center"/>
              <w:rPr>
                <w:sz w:val="20"/>
              </w:rPr>
            </w:pPr>
            <w:r>
              <w:rPr>
                <w:sz w:val="20"/>
              </w:rPr>
              <w:t>New York Stock Exchange</w:t>
            </w:r>
          </w:p>
        </w:tc>
      </w:tr>
    </w:tbl>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HorizontalLine"/>
        <w:bidi w:val="0"/>
        <w:jc w:val="left"/>
        <w:rPr/>
      </w:pPr>
      <w:r>
        <w:rPr/>
      </w:r>
    </w:p>
    <w:p>
      <w:pPr>
        <w:pStyle w:val="HorizontalLine"/>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719"/>
        <w:gridCol w:w="9486"/>
      </w:tblGrid>
      <w:tr>
        <w:trPr/>
        <w:tc>
          <w:tcPr>
            <w:tcW w:w="719"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5.02</w:t>
            </w:r>
          </w:p>
        </w:tc>
        <w:tc>
          <w:tcPr>
            <w:tcW w:w="9486"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Departure of Directors or Certain Officers; Election of Directors; Appointment of Certain Officers; Compensatory Arrangements of Certain Officers.</w:t>
            </w:r>
          </w:p>
        </w:tc>
      </w:tr>
    </w:tbl>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 xml:space="preserve">On July 16, 2026, Steven Ciardiello notified Shutterstock, Inc. (the “Company”) of his decision to resign as Chief Accounting Officer of the Company, effective August 28, 2026 following a transition period. Mr. Ciardiello’s resignation was not the result of any disagreement with the Company on any matter relating to the Company's operations, policies or practices. The Company is conducting a search for a successor. </w:t>
      </w:r>
    </w:p>
    <w:p>
      <w:pPr>
        <w:pStyle w:val="TextBody"/>
        <w:bidi w:val="0"/>
        <w:spacing w:before="0" w:after="0"/>
        <w:ind w:left="0" w:right="0" w:firstLine="720"/>
        <w:jc w:val="left"/>
        <w:rPr>
          <w:sz w:val="20"/>
        </w:rPr>
      </w:pPr>
      <w:r>
        <w:rPr>
          <w:sz w:val="20"/>
        </w:rPr>
      </w:r>
    </w:p>
    <w:tbl>
      <w:tblPr>
        <w:tblW w:w="2020" w:type="dxa"/>
        <w:jc w:val="left"/>
        <w:tblInd w:w="0" w:type="dxa"/>
        <w:tblLayout w:type="fixed"/>
        <w:tblCellMar>
          <w:top w:w="0" w:type="dxa"/>
          <w:left w:w="0" w:type="dxa"/>
          <w:bottom w:w="0" w:type="dxa"/>
          <w:right w:w="0" w:type="dxa"/>
        </w:tblCellMar>
      </w:tblPr>
      <w:tblGrid>
        <w:gridCol w:w="830"/>
        <w:gridCol w:w="1190"/>
      </w:tblGrid>
      <w:tr>
        <w:trPr/>
        <w:tc>
          <w:tcPr>
            <w:tcW w:w="83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Item 8.01</w:t>
            </w:r>
          </w:p>
        </w:tc>
        <w:tc>
          <w:tcPr>
            <w:tcW w:w="119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Other Events.</w:t>
            </w:r>
          </w:p>
        </w:tc>
      </w:tr>
    </w:tbl>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On July 22, 2026, the Company issued a press release announcing that at a meeting held on July 20, 2026 its Board of Directors resolved to suspend the Company's future quarterly cash dividend. A copy of the press release is attached as Exhibit 99.1 to this Current Report on Form 8-K and is incorporated herein by reference.</w:t>
      </w:r>
    </w:p>
    <w:p>
      <w:pPr>
        <w:pStyle w:val="TextBody"/>
        <w:bidi w:val="0"/>
        <w:spacing w:before="0" w:after="0"/>
        <w:jc w:val="left"/>
        <w:rPr/>
      </w:pPr>
      <w:r>
        <w:rPr/>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(d) Exhibits</w:t>
      </w:r>
    </w:p>
    <w:p>
      <w:pPr>
        <w:pStyle w:val="TextBody"/>
        <w:bidi w:val="0"/>
        <w:spacing w:before="0" w:after="0"/>
        <w:jc w:val="left"/>
        <w:rPr/>
      </w:pPr>
      <w:r>
        <w:rPr/>
      </w:r>
    </w:p>
    <w:tbl>
      <w:tblPr>
        <w:tblW w:w="8800" w:type="dxa"/>
        <w:jc w:val="left"/>
        <w:tblInd w:w="0" w:type="dxa"/>
        <w:tblLayout w:type="fixed"/>
        <w:tblCellMar>
          <w:top w:w="0" w:type="dxa"/>
          <w:left w:w="0" w:type="dxa"/>
          <w:bottom w:w="28" w:type="dxa"/>
          <w:right w:w="0" w:type="dxa"/>
        </w:tblCellMar>
      </w:tblPr>
      <w:tblGrid>
        <w:gridCol w:w="965"/>
        <w:gridCol w:w="7835"/>
      </w:tblGrid>
      <w:tr>
        <w:trPr/>
        <w:tc>
          <w:tcPr>
            <w:tcW w:w="96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No.</w:t>
            </w:r>
          </w:p>
        </w:tc>
        <w:tc>
          <w:tcPr>
            <w:tcW w:w="783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Description</w:t>
            </w:r>
          </w:p>
        </w:tc>
      </w:tr>
      <w:tr>
        <w:trPr/>
        <w:tc>
          <w:tcPr>
            <w:tcW w:w="965" w:type="dxa"/>
            <w:tcBorders/>
            <w:tcMar>
              <w:bottom w:w="0" w:type="dxa"/>
            </w:tcMar>
            <w:vAlign w:val="center"/>
          </w:tcPr>
          <w:p>
            <w:pPr>
              <w:pStyle w:val="TableContents"/>
              <w:bidi w:val="0"/>
              <w:spacing w:before="0" w:after="283"/>
              <w:jc w:val="left"/>
              <w:rPr/>
            </w:pPr>
            <w:hyperlink w:anchor="ef20078341_ex99-1.htm">
              <w:r>
                <w:rPr>
                  <w:rStyle w:val="InternetLink"/>
                  <w:rFonts w:ascii="Times New Roman;Times;serif" w:hAnsi="Times New Roman;Times;serif"/>
                  <w:sz w:val="20"/>
                </w:rPr>
                <w:t>99.1</w:t>
              </w:r>
            </w:hyperlink>
          </w:p>
        </w:tc>
        <w:tc>
          <w:tcPr>
            <w:tcW w:w="7835" w:type="dxa"/>
            <w:tcBorders/>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Press release entitled “Shutterstock Announces Capital Allocation Update,”  dated July 22, 2026</w:t>
            </w:r>
          </w:p>
        </w:tc>
      </w:tr>
      <w:tr>
        <w:trPr/>
        <w:tc>
          <w:tcPr>
            <w:tcW w:w="9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7835" w:type="dxa"/>
            <w:tcBorders/>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Cover Page Interactive Data File (formatted as Inline XBRL)</w:t>
            </w:r>
          </w:p>
        </w:tc>
      </w:tr>
    </w:tbl>
    <w:p>
      <w:pPr>
        <w:pStyle w:val="TextBody"/>
        <w:bidi w:val="0"/>
        <w:spacing w:before="0" w:after="0"/>
        <w:ind w:left="0" w:right="0" w:hanging="0"/>
        <w:jc w:val="left"/>
        <w:rPr>
          <w:color w:val="000000"/>
          <w:shd w:fill="FFFFFF" w:val="clear"/>
        </w:rPr>
      </w:pPr>
      <w:r>
        <w:rPr>
          <w:color w:val="000000"/>
          <w:shd w:fill="FFFFFF" w:val="clear"/>
        </w:rPr>
        <w:t xml:space="preserve">                                        </w:t>
      </w:r>
    </w:p>
    <w:p>
      <w:pPr>
        <w:pStyle w:val="TextBody"/>
        <w:bidi w:val="0"/>
        <w:spacing w:before="0" w:after="0"/>
        <w:ind w:left="0" w:right="0" w:firstLine="720"/>
        <w:jc w:val="left"/>
        <w:rPr>
          <w:sz w:val="20"/>
        </w:rPr>
      </w:pPr>
      <w:r>
        <w:rPr>
          <w:sz w:val="20"/>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sz w:val="20"/>
        </w:rPr>
      </w:pPr>
      <w:r>
        <w:rPr>
          <w:sz w:val="20"/>
        </w:rPr>
      </w:r>
    </w:p>
    <w:tbl>
      <w:tblPr>
        <w:tblW w:w="6705" w:type="dxa"/>
        <w:jc w:val="left"/>
        <w:tblInd w:w="0" w:type="dxa"/>
        <w:tblLayout w:type="fixed"/>
        <w:tblCellMar>
          <w:top w:w="0" w:type="dxa"/>
          <w:left w:w="0" w:type="dxa"/>
          <w:bottom w:w="0" w:type="dxa"/>
          <w:right w:w="0" w:type="dxa"/>
        </w:tblCellMar>
      </w:tblPr>
      <w:tblGrid>
        <w:gridCol w:w="1715"/>
        <w:gridCol w:w="320"/>
        <w:gridCol w:w="4670"/>
      </w:tblGrid>
      <w:tr>
        <w:trPr/>
        <w:tc>
          <w:tcPr>
            <w:tcW w:w="1715" w:type="dxa"/>
            <w:tcBorders/>
            <w:vAlign w:val="center"/>
          </w:tcPr>
          <w:p>
            <w:pPr>
              <w:pStyle w:val="TableContents"/>
              <w:bidi w:val="0"/>
              <w:spacing w:before="0" w:after="283"/>
              <w:jc w:val="left"/>
              <w:rPr/>
            </w:pPr>
            <w:r>
              <w:rPr/>
            </w:r>
          </w:p>
        </w:tc>
        <w:tc>
          <w:tcPr>
            <w:tcW w:w="4990" w:type="dxa"/>
            <w:gridSpan w:val="2"/>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SHUTTERSTOCK, INC.</w:t>
            </w:r>
          </w:p>
        </w:tc>
      </w:tr>
      <w:tr>
        <w:trPr/>
        <w:tc>
          <w:tcPr>
            <w:tcW w:w="1715"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r>
          </w:p>
        </w:tc>
        <w:tc>
          <w:tcPr>
            <w:tcW w:w="4670" w:type="dxa"/>
            <w:tcBorders/>
            <w:vAlign w:val="center"/>
          </w:tcPr>
          <w:p>
            <w:pPr>
              <w:pStyle w:val="TableContents"/>
              <w:bidi w:val="0"/>
              <w:spacing w:before="0" w:after="283"/>
              <w:jc w:val="left"/>
              <w:rPr/>
            </w:pPr>
            <w:r>
              <w:rPr/>
            </w:r>
          </w:p>
        </w:tc>
      </w:tr>
      <w:tr>
        <w:trPr/>
        <w:tc>
          <w:tcPr>
            <w:tcW w:w="171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Dated: July 22, 2026</w:t>
            </w:r>
          </w:p>
        </w:tc>
        <w:tc>
          <w:tcPr>
            <w:tcW w:w="3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4670"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Rik Powell</w:t>
            </w:r>
          </w:p>
        </w:tc>
      </w:tr>
      <w:tr>
        <w:trPr/>
        <w:tc>
          <w:tcPr>
            <w:tcW w:w="1715"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r>
          </w:p>
        </w:tc>
        <w:tc>
          <w:tcPr>
            <w:tcW w:w="467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Rik Powell</w:t>
            </w:r>
          </w:p>
        </w:tc>
      </w:tr>
      <w:tr>
        <w:trPr/>
        <w:tc>
          <w:tcPr>
            <w:tcW w:w="1715"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r>
          </w:p>
        </w:tc>
        <w:tc>
          <w:tcPr>
            <w:tcW w:w="467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Chief Financial Officer &amp; Interim Chief Executive Officer</w:t>
            </w:r>
          </w:p>
        </w:tc>
      </w:tr>
    </w:tbl>
    <w:p>
      <w:pPr>
        <w:pStyle w:val="TextBody"/>
        <w:bidi w:val="0"/>
        <w:spacing w:before="0" w:after="0"/>
        <w:jc w:val="left"/>
        <w:rPr>
          <w:sz w:val="20"/>
        </w:rPr>
      </w:pPr>
      <w:r>
        <w:rPr>
          <w:sz w:val="20"/>
        </w:rPr>
      </w:r>
    </w:p>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jc w:val="left"/>
        <w:rPr/>
      </w:pPr>
      <w:r>
        <w:rPr/>
      </w:r>
      <w:bookmarkStart w:id="0" w:name="ef20078341_ex99-1.htm"/>
      <w:bookmarkStart w:id="1" w:name="ksef20078341_ex991"/>
      <w:bookmarkStart w:id="2" w:name="ef20078341_ex99-1.htm"/>
      <w:bookmarkStart w:id="3" w:name="ksef20078341_ex991"/>
      <w:bookmarkEnd w:id="2"/>
      <w:bookmarkEnd w:id="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color w:val="000000"/>
        </w:rPr>
      </w:pPr>
      <w:r>
        <w:rPr>
          <w:color w:val="000000"/>
        </w:rPr>
        <w:drawing>
          <wp:inline distT="0" distB="0" distL="0" distR="0">
            <wp:extent cx="2714625" cy="485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14625" cy="485775"/>
                    </a:xfrm>
                    <a:prstGeom prst="rect">
                      <a:avLst/>
                    </a:prstGeom>
                  </pic:spPr>
                </pic:pic>
              </a:graphicData>
            </a:graphic>
          </wp:inline>
        </w:drawing>
      </w:r>
    </w:p>
    <w:p>
      <w:pPr>
        <w:pStyle w:val="TextBody"/>
        <w:bidi w:val="0"/>
        <w:spacing w:before="0" w:after="0"/>
        <w:jc w:val="left"/>
        <w:rPr>
          <w:color w:val="000000"/>
        </w:rPr>
      </w:pPr>
      <w:r>
        <w:rPr>
          <w:color w:val="000000"/>
        </w:rPr>
        <w:t> </w:t>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FOR IMMEDIATE RELEASE</w:t>
      </w:r>
    </w:p>
    <w:p>
      <w:pPr>
        <w:pStyle w:val="TextBody"/>
        <w:bidi w:val="0"/>
        <w:spacing w:before="0" w:after="0"/>
        <w:jc w:val="center"/>
        <w:rPr>
          <w:rFonts w:ascii="Times New Roman;Times;serif" w:hAnsi="Times New Roman;Times;serif"/>
          <w:b/>
          <w:color w:val="000000"/>
          <w:sz w:val="24"/>
        </w:rPr>
      </w:pPr>
      <w:r>
        <w:rPr>
          <w:rFonts w:ascii="Times New Roman;Times;serif" w:hAnsi="Times New Roman;Times;serif"/>
          <w:b/>
          <w:color w:val="000000"/>
          <w:sz w:val="24"/>
        </w:rPr>
        <w:br/>
        <w:t>Shutterstock Announces Capital Allocation Update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New York, NY — July 22, 2026</w:t>
      </w:r>
      <w:r>
        <w:rPr>
          <w:rFonts w:ascii="Times New Roman;Times;serif" w:hAnsi="Times New Roman;Times;serif"/>
          <w:color w:val="000000"/>
          <w:sz w:val="20"/>
        </w:rPr>
        <w:t xml:space="preserve"> — Shutterstock, Inc. (NYSE: </w:t>
      </w:r>
      <w:r>
        <w:rPr>
          <w:rFonts w:ascii="Times New Roman;Times;serif" w:hAnsi="Times New Roman;Times;serif"/>
          <w:color w:val="000000"/>
          <w:sz w:val="20"/>
          <w:u w:val="single"/>
        </w:rPr>
        <w:t>SSTK</w:t>
      </w:r>
      <w:r>
        <w:rPr>
          <w:rFonts w:ascii="Times New Roman;Times;serif" w:hAnsi="Times New Roman;Times;serif"/>
          <w:color w:val="000000"/>
          <w:sz w:val="20"/>
        </w:rPr>
        <w:t>) (the "Company"), a family of brands delivering scalable creative and GenAI solutions to help customers fuel great work, today announced that at a meeting held on July 20, 2026 its Board of Directors (the "Board") resolved to suspend the Company's future quarterly cash dividend.</w:t>
      </w:r>
    </w:p>
    <w:p>
      <w:pPr>
        <w:pStyle w:val="TextBody"/>
        <w:bidi w:val="0"/>
        <w:spacing w:before="0" w:after="0"/>
        <w:jc w:val="left"/>
        <w:rPr>
          <w:color w:val="000000"/>
        </w:rPr>
      </w:pPr>
      <w:r>
        <w:rPr>
          <w:color w:val="000000"/>
        </w:rPr>
        <w:t> </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Board's determination reflects its ongoing review of the Company's capital-allocation priorities and its focus on deploying capital to support long-term value creation for shareholders, including reducing debt, minimizing related interest expense and strengthening financial flexibility.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Board will continue to evaluate the Company’s capital allocation priorities as part of its regular governance process. Any future declaration and payment of dividends, and the amount thereof, will remain subject to the discretion of the Board and will depend upon, the Company's results of operations, financial condition, capital requirements, contractual restrictions, applicable law, and such other factors as the Board deems relevant.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Forward-Looking Statements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This press release includes forward-looking statements within the meaning of the Private Securities Litigation Reform Act of 1995. All statements other than statements of historical fact are forward-looking statements. Forward-looking statements may discuss intentions and expectations as to future plans, trends, events, results of operations or financial condition, or otherwise. Forward-looking statements speak only as of the date they are made and should not be relied upon as predictions of future events, as there can be no assurance that the events or circumstances reflected in these statements will occur. Forward-looking statements can often, but not always, be identified by the use of forward-looking terminology including “believes,” ”could,” “expects,” “intends,” "may,” “might,” “ongoing,” “plans,” "seeks,” “should,” ”will,”  or the negative of these words and phrases, other variations of these words and phrases or comparable terminology, but not all forward-looking statements include such identifying words. Forward-looking statements are based upon current plans, estimates and expectations that are subject to risks, uncertainties and assumptions. Should one or more of these risks or uncertainties materialize, or should underlying assumptions prove incorrect, actual results may differ materially from those indicated or anticipated by such forward-looking statements. The forward-looking statements in this press release relate to, among other things, the Company's capital allocation strategy, the suspension of the Company's quarterly cash dividend, the Company's plans with respect to debt reduction, interest expense management and financial flexibility, and any future declaration and payment of dividends. For a discussion of factors that could cause actual results to differ materially from those contemplated by forward-looking statements, see the sections captioned “Risk Factors” and “Management's Discussion and Analysis of Financial Condition and Results of Operations” in the Company's Annual Report on Form 10-K for the fiscal year ended December 31, 2025, the Company's Quarterly Reports on Form 10-Q, and the Company's other filings with the Securities and Exchange Commission. While those factors are considered representative, no list of risk factors should be considered a complete statement of all potential risks and uncertainties. Unlisted factors may present significant additional obstacles to the realization of forward-looking statements. The Company assumes no obligation to update forward-looking statements, and the Company disclaims any such obligation, except as may be required by law.</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About Shutterstock</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Shutterstock is in the business of turning ideas into impact. Powered by a global network of millions of creators and our cutting-edge technology, we provide businesses, creatives, and brand leaders with the essential, universal ingredients to make their work more effective. Shutterstock offers access to one of the world's largest and most diverse collections of high-quality licensable assets, specialized training datasets, evaluation tools, and end-to-end strategic partnerships for the full model training lifecycle, as well as advertising and distribution solutions, exclusive editorial content, and full-service studio production—delivering unparalleled resources to fuel great work.</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Discover our impact at www.shutterstock.com and connect with us on </w:t>
      </w:r>
      <w:r>
        <w:rPr>
          <w:rFonts w:ascii="Times New Roman;Times;serif" w:hAnsi="Times New Roman;Times;serif"/>
          <w:color w:val="000000"/>
          <w:sz w:val="20"/>
          <w:u w:val="single"/>
        </w:rPr>
        <w:t>LinkedIn</w:t>
      </w:r>
      <w:r>
        <w:rPr>
          <w:rFonts w:ascii="Times New Roman;Times;serif" w:hAnsi="Times New Roman;Times;serif"/>
          <w:color w:val="000000"/>
          <w:sz w:val="20"/>
        </w:rPr>
        <w:t xml:space="preserve">, </w:t>
      </w:r>
      <w:r>
        <w:rPr>
          <w:rFonts w:ascii="Times New Roman;Times;serif" w:hAnsi="Times New Roman;Times;serif"/>
          <w:color w:val="000000"/>
          <w:sz w:val="20"/>
          <w:u w:val="single"/>
        </w:rPr>
        <w:t>Instagram</w:t>
      </w:r>
      <w:r>
        <w:rPr>
          <w:rFonts w:ascii="Times New Roman;Times;serif" w:hAnsi="Times New Roman;Times;serif"/>
          <w:color w:val="000000"/>
          <w:sz w:val="20"/>
        </w:rPr>
        <w:t xml:space="preserve">, </w:t>
      </w:r>
      <w:r>
        <w:rPr>
          <w:rFonts w:ascii="Times New Roman;Times;serif" w:hAnsi="Times New Roman;Times;serif"/>
          <w:color w:val="000000"/>
          <w:sz w:val="20"/>
          <w:u w:val="single"/>
        </w:rPr>
        <w:t>X</w:t>
      </w:r>
      <w:r>
        <w:rPr>
          <w:rFonts w:ascii="Times New Roman;Times;serif" w:hAnsi="Times New Roman;Times;serif"/>
          <w:color w:val="000000"/>
          <w:sz w:val="20"/>
        </w:rPr>
        <w:t xml:space="preserve">, </w:t>
      </w:r>
      <w:r>
        <w:rPr>
          <w:rFonts w:ascii="Times New Roman;Times;serif" w:hAnsi="Times New Roman;Times;serif"/>
          <w:color w:val="000000"/>
          <w:sz w:val="20"/>
          <w:u w:val="single"/>
        </w:rPr>
        <w:t>Facebook</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YouTube</w:t>
      </w:r>
      <w:r>
        <w:rPr>
          <w:rFonts w:ascii="Times New Roman;Times;serif" w:hAnsi="Times New Roman;Times;serif"/>
          <w:color w:val="000000"/>
          <w:sz w:val="20"/>
        </w:rPr>
        <w:t>.</w:t>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 # #</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Press Contact: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Lori Rodney</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press@shutterstock.com</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917-563-4991</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1191</Words>
  <Characters>7014</Characters>
  <CharactersWithSpaces>8176</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