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3072024_040302.xml.htm"/>
      <w:bookmarkStart w:id="1" w:name="ksform403072024_0403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Oringer Jonathan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sz w:val="4"/>
                      <w:szCs w:val="4"/>
                    </w:rPr>
                  </w:pPr>
                  <w:r>
                    <w:rPr>
                      <w:sz w:val="4"/>
                      <w:szCs w:val="4"/>
                    </w:rPr>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Shutterstock, Inc.</w:t>
              </w:r>
            </w:hyperlink>
            <w:r>
              <w:rPr/>
              <w:t xml:space="preserve"> [ </w:t>
            </w:r>
            <w:r>
              <w:rPr>
                <w:rFonts w:ascii="Times;serif" w:hAnsi="Times;serif"/>
                <w:color w:val="0000FF"/>
                <w:sz w:val="24"/>
                <w:shd w:fill="FFFFFF" w:val="clear"/>
              </w:rPr>
              <w:t>SSTK</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EXECUTIVE CHAIRMAN</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03/05/2024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914"/>
        <w:gridCol w:w="438"/>
        <w:gridCol w:w="789"/>
        <w:gridCol w:w="1345"/>
        <w:gridCol w:w="977"/>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37,278</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50.34</w:t>
            </w:r>
            <w:r>
              <w:rPr>
                <w:rFonts w:ascii="Times;serif" w:hAnsi="Times;serif"/>
                <w:color w:val="008000"/>
                <w:position w:val="7"/>
                <w:sz w:val="16"/>
                <w:sz w:val="20"/>
                <w:shd w:fill="FFFFFF" w:val="clear"/>
              </w:rPr>
              <w:t>(2)</w:t>
            </w:r>
            <w:r>
              <w:rPr/>
              <w:t xml:space="preserve"> </w:t>
            </w:r>
          </w:p>
        </w:tc>
        <w:tc>
          <w:tcPr>
            <w:tcW w:w="13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10,918,633</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03/06/2024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22,249</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50.17</w:t>
            </w:r>
            <w:r>
              <w:rPr>
                <w:rFonts w:ascii="Times;serif" w:hAnsi="Times;serif"/>
                <w:color w:val="008000"/>
                <w:position w:val="7"/>
                <w:sz w:val="16"/>
                <w:sz w:val="20"/>
                <w:shd w:fill="FFFFFF" w:val="clear"/>
              </w:rPr>
              <w:t>(3)</w:t>
            </w:r>
            <w:r>
              <w:rPr/>
              <w:t xml:space="preserve"> </w:t>
            </w:r>
          </w:p>
        </w:tc>
        <w:tc>
          <w:tcPr>
            <w:tcW w:w="13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10,896,384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03/06/2024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51.08</w:t>
            </w:r>
            <w:r>
              <w:rPr>
                <w:rFonts w:ascii="Times;serif" w:hAnsi="Times;serif"/>
                <w:color w:val="008000"/>
                <w:position w:val="7"/>
                <w:sz w:val="16"/>
                <w:sz w:val="20"/>
                <w:shd w:fill="FFFFFF" w:val="clear"/>
              </w:rPr>
              <w:t>(4)</w:t>
            </w:r>
            <w:r>
              <w:rPr/>
              <w:t xml:space="preserve"> </w:t>
            </w:r>
          </w:p>
        </w:tc>
        <w:tc>
          <w:tcPr>
            <w:tcW w:w="13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10,895,884</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pursuant to a duly adopted 10b5-1 trading plan entered into in accordance with the Issuer's insider trading policy. The plan provides for periodic sales of a total maximum of 2,100,000 shares over the period beginning on June 1, 2023 through May 31, 2024 and was entered into for investment diversification purposes.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$50.00 to $50.64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$50.00 to $50.99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in Column 4 is a weighted average price. These shares were sold in multiple transactions at prices ranging from $51.01 to $51.21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Lapham,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59639" TargetMode="External"/><Relationship Id="rId4" Type="http://schemas.openxmlformats.org/officeDocument/2006/relationships/hyperlink" Target="http://www.sec.gov/cgi-bin/browse-edgar?action=getcompany&amp;CIK=0001549346"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847</Words>
  <Characters>4525</Characters>
  <CharactersWithSpaces>5294</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