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974725</wp:posOffset>
            </wp:positionV>
            <wp:extent cx="6951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16510"/>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1016635</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28"/>
          <w:szCs w:val="28"/>
          <w:b w:val="1"/>
          <w:bCs w:val="1"/>
          <w:color w:val="auto"/>
        </w:rPr>
        <w:t>UNITED STATES</w:t>
      </w:r>
    </w:p>
    <w:p>
      <w:pPr>
        <w:spacing w:after="0" w:line="125" w:lineRule="exact"/>
        <w:rPr>
          <w:sz w:val="24"/>
          <w:szCs w:val="24"/>
          <w:color w:val="auto"/>
        </w:rPr>
      </w:pPr>
    </w:p>
    <w:p>
      <w:pPr>
        <w:jc w:val="center"/>
        <w:ind w:left="380"/>
        <w:spacing w:after="0"/>
        <w:rPr>
          <w:sz w:val="20"/>
          <w:szCs w:val="20"/>
          <w:color w:val="auto"/>
        </w:rPr>
      </w:pPr>
      <w:r>
        <w:rPr>
          <w:rFonts w:ascii="Arial" w:cs="Arial" w:eastAsia="Arial" w:hAnsi="Arial"/>
          <w:sz w:val="28"/>
          <w:szCs w:val="28"/>
          <w:b w:val="1"/>
          <w:bCs w:val="1"/>
          <w:color w:val="auto"/>
        </w:rPr>
        <w:t>SECURITIES AND EXCHANGE COMMISSION</w:t>
      </w:r>
    </w:p>
    <w:p>
      <w:pPr>
        <w:spacing w:after="0" w:line="12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97790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5"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43180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13"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Securities Exchange Act of 1934</w:t>
      </w:r>
    </w:p>
    <w:p>
      <w:pPr>
        <w:spacing w:after="0" w:line="99"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38735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06" w:lineRule="exact"/>
        <w:rPr>
          <w:sz w:val="24"/>
          <w:szCs w:val="24"/>
          <w:color w:val="auto"/>
        </w:rPr>
      </w:pPr>
    </w:p>
    <w:p>
      <w:pPr>
        <w:jc w:val="center"/>
        <w:ind w:left="380"/>
        <w:spacing w:after="0"/>
        <w:rPr>
          <w:sz w:val="20"/>
          <w:szCs w:val="20"/>
          <w:color w:val="auto"/>
        </w:rPr>
      </w:pPr>
      <w:r>
        <w:rPr>
          <w:rFonts w:ascii="Arial" w:cs="Arial" w:eastAsia="Arial" w:hAnsi="Arial"/>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76200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28"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26670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87"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400"/>
        <w:spacing w:after="0"/>
        <w:rPr>
          <w:sz w:val="20"/>
          <w:szCs w:val="20"/>
          <w:color w:val="auto"/>
        </w:rPr>
      </w:pPr>
      <w:r>
        <w:rPr>
          <w:rFonts w:ascii="Arial" w:cs="Arial" w:eastAsia="Arial" w:hAnsi="Arial"/>
          <w:sz w:val="15"/>
          <w:szCs w:val="15"/>
          <w:b w:val="1"/>
          <w:bCs w:val="1"/>
          <w:color w:val="auto"/>
        </w:rPr>
        <w:t>001-35669</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80-0812659</w:t>
      </w:r>
    </w:p>
    <w:p>
      <w:pPr>
        <w:spacing w:after="0" w:line="79" w:lineRule="exact"/>
        <w:rPr>
          <w:sz w:val="24"/>
          <w:szCs w:val="24"/>
          <w:color w:val="auto"/>
        </w:rPr>
      </w:pPr>
    </w:p>
    <w:p>
      <w:pPr>
        <w:sectPr>
          <w:pgSz w:w="11900" w:h="16838" w:orient="portrait"/>
          <w:cols w:equalWidth="0" w:num="3">
            <w:col w:w="4540" w:space="720"/>
            <w:col w:w="3160" w:space="720"/>
            <w:col w:w="2200"/>
          </w:cols>
          <w:pgMar w:left="320" w:top="1440" w:right="239" w:bottom="1440" w:gutter="0" w:footer="0" w:header="0"/>
          <w:type w:val="continuous"/>
        </w:sectPr>
      </w:pPr>
    </w:p>
    <w:p>
      <w:pPr>
        <w:jc w:val="center"/>
        <w:ind w:right="1180"/>
        <w:spacing w:after="0"/>
        <w:rPr>
          <w:sz w:val="20"/>
          <w:szCs w:val="20"/>
          <w:color w:val="auto"/>
        </w:rPr>
      </w:pPr>
      <w:r>
        <w:rPr>
          <w:rFonts w:ascii="Arial" w:cs="Arial" w:eastAsia="Arial" w:hAnsi="Arial"/>
          <w:sz w:val="12"/>
          <w:szCs w:val="12"/>
          <w:color w:val="auto"/>
        </w:rPr>
        <w:t>(State or other jurisdiction</w:t>
      </w:r>
    </w:p>
    <w:p>
      <w:pPr>
        <w:spacing w:after="0" w:line="41" w:lineRule="exact"/>
        <w:rPr>
          <w:sz w:val="24"/>
          <w:szCs w:val="24"/>
          <w:color w:val="auto"/>
        </w:rPr>
      </w:pPr>
    </w:p>
    <w:p>
      <w:pPr>
        <w:jc w:val="center"/>
        <w:ind w:right="11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color w:val="auto"/>
        </w:rPr>
        <w:t>(IRS Employer</w:t>
      </w:r>
    </w:p>
    <w:p>
      <w:pPr>
        <w:spacing w:after="0" w:line="18" w:lineRule="exact"/>
        <w:rPr>
          <w:sz w:val="24"/>
          <w:szCs w:val="24"/>
          <w:color w:val="auto"/>
        </w:rPr>
      </w:pPr>
    </w:p>
    <w:p>
      <w:pPr>
        <w:jc w:val="center"/>
        <w:ind w:right="124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540" w:space="720"/>
            <w:col w:w="3080" w:space="720"/>
            <w:col w:w="2280"/>
          </w:cols>
          <w:pgMar w:left="320" w:top="1440" w:right="239" w:bottom="1440" w:gutter="0" w:footer="0" w:header="0"/>
          <w:type w:val="continuous"/>
        </w:sectPr>
      </w:pPr>
    </w:p>
    <w:p>
      <w:pPr>
        <w:spacing w:after="0" w:line="13"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350 Fifth Avenue, 20th Floor</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(646) 710-3417</w:t>
      </w:r>
    </w:p>
    <w:p>
      <w:pPr>
        <w:spacing w:after="0" w:line="115"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Not applicable</w:t>
      </w:r>
    </w:p>
    <w:p>
      <w:pPr>
        <w:spacing w:after="0" w:line="4" w:lineRule="exact"/>
        <w:rPr>
          <w:sz w:val="24"/>
          <w:szCs w:val="24"/>
          <w:color w:val="auto"/>
        </w:rPr>
      </w:pPr>
    </w:p>
    <w:p>
      <w:pPr>
        <w:jc w:val="center"/>
        <w:ind w:left="38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ectPr>
          <w:pgSz w:w="11900" w:h="16838" w:orient="portrait"/>
          <w:cols w:equalWidth="0" w:num="1">
            <w:col w:w="11340"/>
          </w:cols>
          <w:pgMar w:left="320" w:top="1440" w:right="239" w:bottom="1440" w:gutter="0" w:footer="0" w:header="0"/>
          <w:type w:val="continuous"/>
        </w:sectPr>
      </w:pPr>
    </w:p>
    <w:p>
      <w:pPr>
        <w:spacing w:after="0" w:line="38" w:lineRule="exact"/>
        <w:rPr>
          <w:sz w:val="24"/>
          <w:szCs w:val="24"/>
          <w:color w:val="auto"/>
        </w:rPr>
      </w:pPr>
    </w:p>
    <w:p>
      <w:pPr>
        <w:ind w:right="660" w:firstLine="395"/>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1"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 w:lineRule="exact"/>
        <w:rPr>
          <w:sz w:val="24"/>
          <w:szCs w:val="24"/>
          <w:color w:val="auto"/>
        </w:rPr>
      </w:pPr>
    </w:p>
    <w:tbl>
      <w:tblPr>
        <w:tblLayout w:type="fixed"/>
        <w:tblInd w:w="400" w:type="dxa"/>
        <w:tblCellMar>
          <w:top w:w="0" w:type="dxa"/>
          <w:left w:w="0" w:type="dxa"/>
          <w:bottom w:w="0" w:type="dxa"/>
          <w:right w:w="0" w:type="dxa"/>
        </w:tblCellMar>
      </w:tblPr>
      <w:tr>
        <w:trPr>
          <w:trHeight w:val="197"/>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5"/>
              </w:rPr>
              <w:t>Class</w:t>
            </w:r>
          </w:p>
        </w:tc>
        <w:tc>
          <w:tcPr>
            <w:tcW w:w="1840" w:type="dxa"/>
            <w:vAlign w:val="bottom"/>
            <w:tcBorders>
              <w:top w:val="single" w:sz="8" w:color="auto"/>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0"/>
              </w:rPr>
              <w:t>Trading symbol</w:t>
            </w:r>
          </w:p>
        </w:tc>
        <w:tc>
          <w:tcPr>
            <w:tcW w:w="34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77"/>
        </w:trPr>
        <w:tc>
          <w:tcPr>
            <w:tcW w:w="3840" w:type="dxa"/>
            <w:vAlign w:val="bottom"/>
          </w:tcPr>
          <w:p>
            <w:pPr>
              <w:jc w:val="center"/>
              <w:ind w:left="23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1840" w:type="dxa"/>
            <w:vAlign w:val="bottom"/>
          </w:tcPr>
          <w:p>
            <w:pPr>
              <w:jc w:val="center"/>
              <w:ind w:left="90"/>
              <w:spacing w:after="0"/>
              <w:rPr>
                <w:sz w:val="20"/>
                <w:szCs w:val="20"/>
                <w:color w:val="auto"/>
              </w:rPr>
            </w:pPr>
            <w:r>
              <w:rPr>
                <w:rFonts w:ascii="Arial" w:cs="Arial" w:eastAsia="Arial" w:hAnsi="Arial"/>
                <w:sz w:val="14"/>
                <w:szCs w:val="14"/>
                <w:b w:val="1"/>
                <w:bCs w:val="1"/>
                <w:color w:val="auto"/>
                <w:w w:val="96"/>
              </w:rPr>
              <w:t>SSTK</w:t>
            </w:r>
          </w:p>
        </w:tc>
        <w:tc>
          <w:tcPr>
            <w:tcW w:w="346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134" w:lineRule="exact"/>
        <w:rPr>
          <w:sz w:val="24"/>
          <w:szCs w:val="24"/>
          <w:color w:val="auto"/>
        </w:rPr>
      </w:pPr>
    </w:p>
    <w:p>
      <w:pPr>
        <w:ind w:left="920"/>
        <w:spacing w:after="0" w:line="22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20" w:hanging="50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82" w:lineRule="exact"/>
        <w:rPr>
          <w:rFonts w:ascii="MS PGothic" w:cs="MS PGothic" w:eastAsia="MS PGothic" w:hAnsi="MS PGothic"/>
          <w:sz w:val="18"/>
          <w:szCs w:val="18"/>
          <w:color w:val="auto"/>
        </w:rPr>
      </w:pPr>
    </w:p>
    <w:p>
      <w:pPr>
        <w:ind w:left="920" w:hanging="502"/>
        <w:spacing w:after="0" w:line="228" w:lineRule="auto"/>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1675765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267970</wp:posOffset>
            </wp:positionV>
            <wp:extent cx="695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292735</wp:posOffset>
            </wp:positionV>
            <wp:extent cx="695198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ind w:left="42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7"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On June 7, 2023, Shutterstock, Inc. issued a press release announcing that its Board of Directors approved a share repurchase program. A copy of the press release is furnished with this current report on Form 8-K as Exhibit 99.1.</w:t>
      </w:r>
    </w:p>
    <w:p>
      <w:pPr>
        <w:spacing w:after="0" w:line="7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accordance with General Instruction B.2. of Form 8-K, the information in this Item 7.01, including Exhibit 99.1 attached hereto, shall not be deemed “filed” for purposes of Section 18 of the Exchange Act, or otherwise subject to the liabilities of that section, nor shall it be deemed incorporated by reference into any filing under the Securities Act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7" w:lineRule="exact"/>
        <w:rPr>
          <w:sz w:val="20"/>
          <w:szCs w:val="20"/>
          <w:color w:val="auto"/>
        </w:rPr>
      </w:pPr>
    </w:p>
    <w:p>
      <w:pPr>
        <w:ind w:left="740" w:hanging="340"/>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09"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7, 2023</w:t>
      </w:r>
    </w:p>
    <w:p>
      <w:pPr>
        <w:spacing w:after="0" w:line="109" w:lineRule="exact"/>
        <w:rPr>
          <w:sz w:val="20"/>
          <w:szCs w:val="20"/>
          <w:color w:val="auto"/>
        </w:rPr>
      </w:pPr>
    </w:p>
    <w:p>
      <w:pPr>
        <w:ind w:left="1260" w:hanging="86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1424"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220" w:type="dxa"/>
            <w:vAlign w:val="bottom"/>
          </w:tcPr>
          <w:p>
            <w:pPr>
              <w:ind w:left="920"/>
              <w:spacing w:after="0"/>
              <w:rPr>
                <w:sz w:val="20"/>
                <w:szCs w:val="20"/>
                <w:color w:val="auto"/>
              </w:rPr>
            </w:pPr>
            <w:r>
              <w:rPr>
                <w:rFonts w:ascii="Arial" w:cs="Arial" w:eastAsia="Arial" w:hAnsi="Arial"/>
                <w:sz w:val="18"/>
                <w:szCs w:val="18"/>
                <w:b w:val="1"/>
                <w:bCs w:val="1"/>
                <w:color w:val="auto"/>
              </w:rPr>
              <w:t>EXHIBIT INDEX</w:t>
            </w:r>
          </w:p>
        </w:tc>
      </w:tr>
      <w:tr>
        <w:trPr>
          <w:trHeight w:val="595"/>
        </w:trPr>
        <w:tc>
          <w:tcPr>
            <w:tcW w:w="1260" w:type="dxa"/>
            <w:vAlign w:val="bottom"/>
          </w:tcPr>
          <w:p>
            <w:pPr>
              <w:ind w:left="500"/>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20" w:type="dxa"/>
            <w:vAlign w:val="bottom"/>
          </w:tcPr>
          <w:p>
            <w:pPr>
              <w:ind w:left="2080"/>
              <w:spacing w:after="0"/>
              <w:rPr>
                <w:sz w:val="20"/>
                <w:szCs w:val="20"/>
                <w:color w:val="auto"/>
              </w:rPr>
            </w:pPr>
            <w:r>
              <w:rPr>
                <w:rFonts w:ascii="Arial" w:cs="Arial" w:eastAsia="Arial" w:hAnsi="Arial"/>
                <w:sz w:val="14"/>
                <w:szCs w:val="14"/>
                <w:b w:val="1"/>
                <w:bCs w:val="1"/>
                <w:color w:val="auto"/>
              </w:rPr>
              <w:t>Exhibit Description</w:t>
            </w:r>
          </w:p>
        </w:tc>
      </w:tr>
      <w:tr>
        <w:trPr>
          <w:trHeight w:val="37"/>
        </w:trPr>
        <w:tc>
          <w:tcPr>
            <w:tcW w:w="126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r>
      <w:tr>
        <w:trPr>
          <w:trHeight w:val="454"/>
        </w:trPr>
        <w:tc>
          <w:tcPr>
            <w:tcW w:w="1260" w:type="dxa"/>
            <w:vAlign w:val="bottom"/>
          </w:tcPr>
          <w:p>
            <w:pPr>
              <w:jc w:val="right"/>
              <w:ind w:right="378"/>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0000FF"/>
              </w:rPr>
              <w:t>Press release dated June 7, 2023</w:t>
            </w:r>
          </w:p>
        </w:tc>
      </w:tr>
      <w:tr>
        <w:trPr>
          <w:trHeight w:val="20"/>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40"/>
        </w:trPr>
        <w:tc>
          <w:tcPr>
            <w:tcW w:w="1260" w:type="dxa"/>
            <w:vAlign w:val="bottom"/>
          </w:tcPr>
          <w:p>
            <w:pPr>
              <w:jc w:val="right"/>
              <w:ind w:right="418"/>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SIGNATURE</w:t>
      </w:r>
    </w:p>
    <w:p>
      <w:pPr>
        <w:spacing w:after="0" w:line="21" w:lineRule="exact"/>
        <w:rPr>
          <w:sz w:val="20"/>
          <w:szCs w:val="20"/>
          <w:color w:val="auto"/>
        </w:rPr>
      </w:pPr>
    </w:p>
    <w:p>
      <w:pPr>
        <w:ind w:right="900" w:firstLine="43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7900" w:type="dxa"/>
            <w:vAlign w:val="bottom"/>
            <w:gridSpan w:val="2"/>
          </w:tcPr>
          <w:p>
            <w:pPr>
              <w:ind w:left="1620"/>
              <w:spacing w:after="0"/>
              <w:rPr>
                <w:sz w:val="20"/>
                <w:szCs w:val="20"/>
                <w:color w:val="auto"/>
              </w:rPr>
            </w:pPr>
            <w:r>
              <w:rPr>
                <w:rFonts w:ascii="Arial" w:cs="Arial" w:eastAsia="Arial" w:hAnsi="Arial"/>
                <w:sz w:val="18"/>
                <w:szCs w:val="18"/>
                <w:b w:val="1"/>
                <w:bCs w:val="1"/>
                <w:color w:val="auto"/>
              </w:rPr>
              <w:t>SHUTTERSTOCK, INC.</w:t>
            </w:r>
          </w:p>
        </w:tc>
      </w:tr>
      <w:tr>
        <w:trPr>
          <w:trHeight w:val="685"/>
        </w:trPr>
        <w:tc>
          <w:tcPr>
            <w:tcW w:w="3020" w:type="dxa"/>
            <w:vAlign w:val="bottom"/>
          </w:tcPr>
          <w:p>
            <w:pPr>
              <w:spacing w:after="0"/>
              <w:rPr>
                <w:sz w:val="20"/>
                <w:szCs w:val="20"/>
                <w:color w:val="auto"/>
              </w:rPr>
            </w:pPr>
            <w:r>
              <w:rPr>
                <w:rFonts w:ascii="Arial" w:cs="Arial" w:eastAsia="Arial" w:hAnsi="Arial"/>
                <w:sz w:val="18"/>
                <w:szCs w:val="18"/>
                <w:color w:val="auto"/>
              </w:rPr>
              <w:t>Dated: June 7, 2023</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Jarrod Yahes</w:t>
            </w:r>
          </w:p>
        </w:tc>
      </w:tr>
      <w:tr>
        <w:trPr>
          <w:trHeight w:val="217"/>
        </w:trPr>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Jarrod Yahes</w:t>
            </w:r>
          </w:p>
        </w:tc>
      </w:tr>
      <w:tr>
        <w:trPr>
          <w:trHeight w:val="237"/>
        </w:trPr>
        <w:tc>
          <w:tcPr>
            <w:tcW w:w="3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138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80645</wp:posOffset>
            </wp:positionV>
            <wp:extent cx="322516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51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Shutterstock Announces Share Repurchase Program</w:t>
      </w:r>
    </w:p>
    <w:p>
      <w:pPr>
        <w:spacing w:after="0" w:line="126" w:lineRule="exact"/>
        <w:rPr>
          <w:sz w:val="20"/>
          <w:szCs w:val="20"/>
          <w:color w:val="auto"/>
        </w:rPr>
      </w:pPr>
    </w:p>
    <w:p>
      <w:pPr>
        <w:jc w:val="center"/>
        <w:ind w:left="340" w:right="400"/>
        <w:spacing w:after="0" w:line="268" w:lineRule="auto"/>
        <w:rPr>
          <w:sz w:val="20"/>
          <w:szCs w:val="20"/>
          <w:color w:val="auto"/>
        </w:rPr>
      </w:pPr>
      <w:r>
        <w:rPr>
          <w:rFonts w:ascii="Arial" w:cs="Arial" w:eastAsia="Arial" w:hAnsi="Arial"/>
          <w:sz w:val="18"/>
          <w:szCs w:val="18"/>
          <w:b w:val="1"/>
          <w:bCs w:val="1"/>
          <w:color w:val="auto"/>
        </w:rPr>
        <w:t>Share Repurchase Program Reflects Company’s Strong Free Cash Flow Generation, Healthy Balance Sheet and Commitment to Delivering Shareholder Value</w:t>
      </w:r>
    </w:p>
    <w:p>
      <w:pPr>
        <w:spacing w:after="0" w:line="200" w:lineRule="exact"/>
        <w:rPr>
          <w:sz w:val="20"/>
          <w:szCs w:val="20"/>
          <w:color w:val="auto"/>
        </w:rPr>
      </w:pPr>
    </w:p>
    <w:p>
      <w:pPr>
        <w:spacing w:after="0" w:line="20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New York, NY - June 7, 2023 - </w:t>
      </w:r>
      <w:r>
        <w:rPr>
          <w:rFonts w:ascii="Arial" w:cs="Arial" w:eastAsia="Arial" w:hAnsi="Arial"/>
          <w:sz w:val="16"/>
          <w:szCs w:val="16"/>
          <w:color w:val="auto"/>
        </w:rPr>
        <w:t>Shutterstock, Inc. (NYSE: SSTK), a premier partner for transformative brands, digital media and marketing companies,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its Board of Directors has approved a stock repurchase program, pursuant to which the Company is authorized to purchase up to $100 million of its common stock. The Company expects to fund repurchases through a combination of cash on hand, cash generated by operations and future financing transactions. Accordingly, the Company's stock repurchase program is subject to the Company having available cash to fund repurchases.</w:t>
      </w:r>
    </w:p>
    <w:p>
      <w:pPr>
        <w:spacing w:after="0" w:line="3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“Given our strong free cash flow generation and healthy balance sheet, Shutterstock is uniquely positioned as a technology company to be able to invest for organic and inorganic growth while also consistently returning value to shareholders through a mix of dividends and share buybacks,” remarked Paul Hennessy, CEO of Shutterstock. “I’m delighted to announce this program, which we believe reflects our ongoing commitment to delivering shareholder value through our thoughtful approach to capital allocation.”</w:t>
      </w:r>
    </w:p>
    <w:p>
      <w:pPr>
        <w:spacing w:after="0" w:line="200" w:lineRule="exact"/>
        <w:rPr>
          <w:sz w:val="20"/>
          <w:szCs w:val="20"/>
          <w:color w:val="auto"/>
        </w:rPr>
      </w:pPr>
    </w:p>
    <w:p>
      <w:pPr>
        <w:spacing w:after="0" w:line="227"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color w:val="auto"/>
        </w:rPr>
        <w:t>Under the program, management is authorized to purchase shares from time to time through open market purchases or privately negotiated transactions at prevailing prices as permitted by securities laws and other legal requirements. The timing and amount of any shares repurchased will be determined by the Company's management based on its evaluation of market conditions and other factors. The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SHUTTERSTOCK</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Shutterstock, Inc. (NYSE: SSTK) is a premier partner for transformative brands, digital media and marketing companies, empowering the world to create with confidence. Fueled by millions of creators around the world and a fearless approach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Learn more at www.shutterstock.com and follow us on LinkedIn, Instagram, Twitter,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future results of operations or financial condition,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Press Contact</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Lori Rodney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press@shutterstock.com</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917-563-4991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2023-06-07T07:22:55Z</dcterms:created>
  <dcterms:modified xsi:type="dcterms:W3CDTF">2023-06-07T07:22:55Z</dcterms:modified>
</cp:coreProperties>
</file>