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32"/>
          <w:szCs w:val="32"/>
          <w:b w:val="1"/>
          <w:bCs w:val="1"/>
          <w:color w:val="auto"/>
        </w:rPr>
        <w:t> </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0"/>
          <w:szCs w:val="40"/>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63"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1" w:lineRule="exact"/>
        <w:rPr>
          <w:rFonts w:ascii="MS PGothic" w:cs="MS PGothic" w:eastAsia="MS PGothic" w:hAnsi="MS PGothic"/>
          <w:sz w:val="18"/>
          <w:szCs w:val="18"/>
          <w:color w:val="auto"/>
        </w:rPr>
      </w:pPr>
    </w:p>
    <w:p>
      <w:pPr>
        <w:ind w:left="580" w:hanging="550"/>
        <w:spacing w:after="0" w:line="180" w:lineRule="auto"/>
        <w:tabs>
          <w:tab w:leader="none" w:pos="580" w:val="left"/>
        </w:tabs>
        <w:numPr>
          <w:ilvl w:val="1"/>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Fee paid previously with preliminary materials.</w:t>
      </w:r>
    </w:p>
    <w:p>
      <w:pPr>
        <w:spacing w:after="0" w:line="109" w:lineRule="exact"/>
        <w:rPr>
          <w:rFonts w:ascii="MS PGothic" w:cs="MS PGothic" w:eastAsia="MS PGothic" w:hAnsi="MS PGothic"/>
          <w:sz w:val="34"/>
          <w:szCs w:val="34"/>
          <w:color w:val="auto"/>
          <w:vertAlign w:val="subscript"/>
        </w:rPr>
      </w:pPr>
    </w:p>
    <w:p>
      <w:pPr>
        <w:ind w:left="580" w:hanging="550"/>
        <w:spacing w:after="0" w:line="182" w:lineRule="auto"/>
        <w:tabs>
          <w:tab w:leader="none" w:pos="580" w:val="left"/>
        </w:tabs>
        <w:numPr>
          <w:ilvl w:val="1"/>
          <w:numId w:val="2"/>
        </w:numPr>
        <w:rPr>
          <w:rFonts w:ascii="MS PGothic" w:cs="MS PGothic" w:eastAsia="MS PGothic" w:hAnsi="MS PGothic"/>
          <w:sz w:val="30"/>
          <w:szCs w:val="30"/>
          <w:color w:val="auto"/>
          <w:vertAlign w:val="subscript"/>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We are filing the accompanying Amendment No. 1 to our Proxy Statement on Schedule 14A for the sole purpose of including certain Inline eXtensible Business Reporting Language, or Inline XBRL, data tagging, which was inadvertently omitted from the original Proxy Statement due to a processing error. There are no other modifications or updates to any disclosures included in the original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0" w:right="559" w:bottom="1440" w:gutter="0" w:footer="0" w:header="0"/>
        </w:sectPr>
      </w:pPr>
    </w:p>
    <w:bookmarkStart w:id="1" w:name="page2"/>
    <w:bookmarkEnd w:id="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723265</wp:posOffset>
            </wp:positionV>
            <wp:extent cx="204025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b w:val="1"/>
          <w:bCs w:val="1"/>
          <w:color w:val="auto"/>
        </w:rPr>
        <w:t>Shutterstock,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Fifth Avenue, 20th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20,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On behalf of the Board of Directors and our senior management team, we are pleased to invite you to attend our 2025 Annual Meeting of Stockholders (the “</w:t>
      </w:r>
      <w:r>
        <w:rPr>
          <w:rFonts w:ascii="Arial" w:cs="Arial" w:eastAsia="Arial" w:hAnsi="Arial"/>
          <w:sz w:val="18"/>
          <w:szCs w:val="18"/>
          <w:u w:val="single" w:color="auto"/>
          <w:color w:val="auto"/>
        </w:rPr>
        <w:t>2025 Annual Meeting</w:t>
      </w:r>
      <w:r>
        <w:rPr>
          <w:rFonts w:ascii="Arial" w:cs="Arial" w:eastAsia="Arial" w:hAnsi="Arial"/>
          <w:sz w:val="18"/>
          <w:szCs w:val="18"/>
          <w:color w:val="auto"/>
        </w:rPr>
        <w:t>”) to be held on Monday, December 22, 2025 at 10:00 a.m. Eastern Time. The 2025 Annual Meeting will be a virtual stockholder meeting, conducted via live webcast.</w:t>
      </w:r>
    </w:p>
    <w:p>
      <w:pPr>
        <w:spacing w:after="0" w:line="63"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You will be able to attend the 2025 Annual Meeting online and submit your questions during the meeting via live webcast at www.virtualshareholdermeeting.com/SSTK2025. In order to attend the 2025 Annual Meeting as a stockholder, a control number will be required. For registered stockholders, the control number can be found on your proxy card. You will also be able to vote your shares electronically at the 2025 Annual Meeting. Please note that you will not be able to attend the 2025 Annual Meeting in person.</w:t>
      </w:r>
    </w:p>
    <w:p>
      <w:pPr>
        <w:spacing w:after="0" w:line="6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On or about November 20, 2025, we mailed to our stockholders a copy of this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the proxy card and our 2024 Annual Report to Stockholders (the “</w:t>
      </w:r>
      <w:r>
        <w:rPr>
          <w:rFonts w:ascii="Arial" w:cs="Arial" w:eastAsia="Arial" w:hAnsi="Arial"/>
          <w:sz w:val="18"/>
          <w:szCs w:val="18"/>
          <w:u w:val="single" w:color="auto"/>
          <w:color w:val="auto"/>
        </w:rPr>
        <w:t>2024 Annual Report</w:t>
      </w:r>
      <w:r>
        <w:rPr>
          <w:rFonts w:ascii="Arial" w:cs="Arial" w:eastAsia="Arial" w:hAnsi="Arial"/>
          <w:sz w:val="18"/>
          <w:szCs w:val="18"/>
          <w:color w:val="auto"/>
        </w:rPr>
        <w:t>”) (together, the “</w:t>
      </w:r>
      <w:r>
        <w:rPr>
          <w:rFonts w:ascii="Arial" w:cs="Arial" w:eastAsia="Arial" w:hAnsi="Arial"/>
          <w:sz w:val="18"/>
          <w:szCs w:val="18"/>
          <w:u w:val="single" w:color="auto"/>
          <w:color w:val="auto"/>
        </w:rPr>
        <w:t>Proxy Materials</w:t>
      </w:r>
      <w:r>
        <w:rPr>
          <w:rFonts w:ascii="Arial" w:cs="Arial" w:eastAsia="Arial" w:hAnsi="Arial"/>
          <w:sz w:val="18"/>
          <w:szCs w:val="18"/>
          <w:color w:val="auto"/>
        </w:rPr>
        <w:t>”). We encourage you to read our 2024 Annual Report, as it includes our audited financial statements and provides important information about our business.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regarding the business to be conducted at the 2025 Annual Meeting are described in this Proxy Statement.</w:t>
      </w:r>
    </w:p>
    <w:p>
      <w:pPr>
        <w:spacing w:after="0" w:line="1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Your vote is important. Whether or not you plan to attend the 2025 Annual Meeting via live webcast, we hope you will vote as soon as possible. You may vote over the Internet, as well as by telephone, or by mailing a proxy or voting instruction form. Please review the instructions on each of your voting options described in this Proxy Statement or the accompanying proxy card you received in the mail. Voting over the Internet or by telephone, written proxy or voting instruction card will ensure your representation at the 2025 Annual Meeting regardless of whether you attend the 2025 Annual Meeting.</w:t>
      </w:r>
    </w:p>
    <w:p>
      <w:pPr>
        <w:spacing w:after="0" w:line="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previously disclosed, on January 6, 2025, the Company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to combine in a merger-of-equals transaction with Getty Images Holdings, Inc. (NYSE:GETY) (“</w:t>
      </w:r>
      <w:r>
        <w:rPr>
          <w:rFonts w:ascii="Arial" w:cs="Arial" w:eastAsia="Arial" w:hAnsi="Arial"/>
          <w:sz w:val="18"/>
          <w:szCs w:val="18"/>
          <w:u w:val="single" w:color="auto"/>
          <w:color w:val="auto"/>
        </w:rPr>
        <w:t>Getty Images</w:t>
      </w:r>
      <w:r>
        <w:rPr>
          <w:rFonts w:ascii="Arial" w:cs="Arial" w:eastAsia="Arial" w:hAnsi="Arial"/>
          <w:sz w:val="18"/>
          <w:szCs w:val="18"/>
          <w:color w:val="auto"/>
        </w:rPr>
        <w:t>”) (such transaction referred to herein as the “</w:t>
      </w:r>
      <w:r>
        <w:rPr>
          <w:rFonts w:ascii="Arial" w:cs="Arial" w:eastAsia="Arial" w:hAnsi="Arial"/>
          <w:sz w:val="18"/>
          <w:szCs w:val="18"/>
          <w:u w:val="single" w:color="auto"/>
          <w:color w:val="auto"/>
        </w:rPr>
        <w:t>Merger</w:t>
      </w:r>
      <w:r>
        <w:rPr>
          <w:rFonts w:ascii="Arial" w:cs="Arial" w:eastAsia="Arial" w:hAnsi="Arial"/>
          <w:sz w:val="18"/>
          <w:szCs w:val="18"/>
          <w:color w:val="auto"/>
        </w:rPr>
        <w:t>”). A majority of Shutterstock stockholders approved the adoption of the Merger Agreement at a special meeting of stockholders held on June 10, 2025. The Merger is subject to the satisfaction of customary closing conditions, including receipt of required regulatory approvals. Subject to the satisfaction of the closing conditions, upon closing of the Merger, Shutterstock’s common stock will be delisted from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and deregistered under the Securities Exchange Act of 1934, as amended. For additional information related to the Merger, please refer to the definitive proxy statement filed by the Company and the definitive information statement and prospectus filed by Getty Images with the SEC on April 30, 2025 the (collectively, “</w:t>
      </w:r>
      <w:r>
        <w:rPr>
          <w:rFonts w:ascii="Arial" w:cs="Arial" w:eastAsia="Arial" w:hAnsi="Arial"/>
          <w:sz w:val="18"/>
          <w:szCs w:val="18"/>
          <w:u w:val="single" w:color="auto"/>
          <w:color w:val="auto"/>
        </w:rPr>
        <w:t>Information Statement and 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and our other filings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ongoing support of, and continued interest in, Shutterstock.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697355"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color w:val="auto"/>
        </w:rPr>
        <w:t>Paul J. Hennessy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9"/>
          <w:szCs w:val="29"/>
          <w:b w:val="1"/>
          <w:bCs w:val="1"/>
          <w:color w:val="EF3A35"/>
        </w:rPr>
        <w:t>SHUTTERSTOCK, INC.</w:t>
      </w: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EF3A35"/>
        </w:rPr>
        <w:t> </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EF3A35"/>
        </w:rPr>
        <w:t>NOTICE OF 2025 ANNUAL MEETING OF STOCKHOLDERS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0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880" w:type="dxa"/>
            <w:vAlign w:val="bottom"/>
            <w:gridSpan w:val="9"/>
          </w:tcPr>
          <w:p>
            <w:pPr>
              <w:spacing w:after="0"/>
              <w:rPr>
                <w:sz w:val="20"/>
                <w:szCs w:val="20"/>
                <w:color w:val="auto"/>
              </w:rPr>
            </w:pPr>
            <w:r>
              <w:rPr>
                <w:rFonts w:ascii="Arial" w:cs="Arial" w:eastAsia="Arial" w:hAnsi="Arial"/>
                <w:sz w:val="18"/>
                <w:szCs w:val="18"/>
                <w:color w:val="auto"/>
              </w:rPr>
              <w:t>10:00 a.m. Eastern Time, on Monday, December 22, 2025.</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880" w:type="dxa"/>
            <w:vAlign w:val="bottom"/>
            <w:gridSpan w:val="9"/>
          </w:tcPr>
          <w:p>
            <w:pPr>
              <w:spacing w:after="0"/>
              <w:rPr>
                <w:sz w:val="20"/>
                <w:szCs w:val="20"/>
                <w:color w:val="auto"/>
              </w:rPr>
            </w:pPr>
            <w:r>
              <w:rPr>
                <w:rFonts w:ascii="Arial" w:cs="Arial" w:eastAsia="Arial" w:hAnsi="Arial"/>
                <w:sz w:val="18"/>
                <w:szCs w:val="18"/>
                <w:b w:val="1"/>
                <w:bCs w:val="1"/>
                <w:color w:val="auto"/>
              </w:rPr>
              <w:t>Via live webcast at: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b w:val="1"/>
                <w:bCs w:val="1"/>
                <w:color w:val="auto"/>
              </w:rPr>
              <w:t>www.virtualshareholdermeeting.com/SSTK2025</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8880" w:type="dxa"/>
            <w:vAlign w:val="bottom"/>
            <w:gridSpan w:val="9"/>
          </w:tcPr>
          <w:p>
            <w:pPr>
              <w:spacing w:after="0" w:line="195" w:lineRule="exact"/>
              <w:rPr>
                <w:sz w:val="20"/>
                <w:szCs w:val="20"/>
                <w:color w:val="auto"/>
              </w:rPr>
            </w:pPr>
            <w:r>
              <w:rPr>
                <w:rFonts w:ascii="Arial" w:cs="Arial" w:eastAsia="Arial" w:hAnsi="Arial"/>
                <w:sz w:val="18"/>
                <w:szCs w:val="18"/>
                <w:b w:val="1"/>
                <w:bCs w:val="1"/>
                <w:color w:val="auto"/>
              </w:rPr>
              <w:t>You will not be able to attend the 2025 Annual Meeting in person.</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2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8880" w:type="dxa"/>
            <w:vAlign w:val="bottom"/>
            <w:gridSpan w:val="9"/>
          </w:tcPr>
          <w:p>
            <w:pPr>
              <w:spacing w:after="0"/>
              <w:rPr>
                <w:sz w:val="20"/>
                <w:szCs w:val="20"/>
                <w:color w:val="auto"/>
              </w:rPr>
            </w:pPr>
            <w:r>
              <w:rPr>
                <w:rFonts w:ascii="Arial" w:cs="Arial" w:eastAsia="Arial" w:hAnsi="Arial"/>
                <w:sz w:val="18"/>
                <w:szCs w:val="18"/>
                <w:color w:val="auto"/>
              </w:rPr>
              <w:t>To participate, vote or submit questions during the 2025 Annual Meeting, access via live webcast,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www.virtualshareholdermeeting.com/SSTK2025. The 2025 Annual Meeting will begin promptly at 10:00 a.m.</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Eastern Time and will open for entry at 9:45 a.m. Eastern Time.</w:t>
            </w: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rPr>
                <w:sz w:val="20"/>
                <w:szCs w:val="20"/>
                <w:color w:val="auto"/>
              </w:rPr>
            </w:pPr>
            <w:r>
              <w:rPr>
                <w:rFonts w:ascii="Arial" w:cs="Arial" w:eastAsia="Arial" w:hAnsi="Arial"/>
                <w:sz w:val="18"/>
                <w:szCs w:val="18"/>
                <w:color w:val="auto"/>
                <w:w w:val="99"/>
              </w:rPr>
              <w:t>To elect the Class I director nominees named in this Proxy Statement to serve until the 2028 Annual Meeting</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of Stockholders or until such director’s successor has been duly elected or appointed and qualified, or until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such director’s earlier resignation or removal, retirement or removal;</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line="195" w:lineRule="exact"/>
              <w:rPr>
                <w:sz w:val="20"/>
                <w:szCs w:val="20"/>
                <w:color w:val="auto"/>
              </w:rPr>
            </w:pPr>
            <w:r>
              <w:rPr>
                <w:rFonts w:ascii="Arial" w:cs="Arial" w:eastAsia="Arial" w:hAnsi="Arial"/>
                <w:sz w:val="18"/>
                <w:szCs w:val="18"/>
                <w:color w:val="auto"/>
              </w:rPr>
              <w:t>To cast a non-binding advisory vote to approve named executive officer compensation (“say-on-pay”);</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w w:val="73"/>
              </w:rPr>
              <w:t>• </w:t>
            </w:r>
          </w:p>
        </w:tc>
        <w:tc>
          <w:tcPr>
            <w:tcW w:w="2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To ratify the appointment of PricewaterhouseCoopers LLP as our independent registered public accounting</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firm for the fiscal year ending December 31, 2025; and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rPr>
                <w:sz w:val="20"/>
                <w:szCs w:val="20"/>
                <w:color w:val="auto"/>
              </w:rPr>
            </w:pPr>
            <w:r>
              <w:rPr>
                <w:rFonts w:ascii="Arial" w:cs="Arial" w:eastAsia="Arial" w:hAnsi="Arial"/>
                <w:sz w:val="18"/>
                <w:szCs w:val="18"/>
                <w:color w:val="auto"/>
                <w:w w:val="99"/>
              </w:rPr>
              <w:t>To transact such other business as may properly come before the 2025 Annual Meeting or any adjournments</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or postponements thereof.</w:t>
            </w:r>
          </w:p>
        </w:tc>
        <w:tc>
          <w:tcPr>
            <w:tcW w:w="0" w:type="dxa"/>
            <w:vAlign w:val="bottom"/>
          </w:tcPr>
          <w:p>
            <w:pPr>
              <w:spacing w:after="0"/>
              <w:rPr>
                <w:sz w:val="1"/>
                <w:szCs w:val="1"/>
                <w:color w:val="auto"/>
              </w:rPr>
            </w:pPr>
          </w:p>
        </w:tc>
      </w:tr>
      <w:tr>
        <w:trPr>
          <w:trHeight w:val="226"/>
        </w:trPr>
        <w:tc>
          <w:tcPr>
            <w:tcW w:w="20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880" w:type="dxa"/>
            <w:vAlign w:val="bottom"/>
            <w:gridSpan w:val="9"/>
          </w:tcPr>
          <w:p>
            <w:pPr>
              <w:spacing w:after="0"/>
              <w:rPr>
                <w:sz w:val="20"/>
                <w:szCs w:val="20"/>
                <w:color w:val="auto"/>
              </w:rPr>
            </w:pPr>
            <w:r>
              <w:rPr>
                <w:rFonts w:ascii="Arial" w:cs="Arial" w:eastAsia="Arial" w:hAnsi="Arial"/>
                <w:sz w:val="18"/>
                <w:szCs w:val="18"/>
                <w:color w:val="auto"/>
              </w:rPr>
              <w:t>You are entitled to vote only if you were a holder of common stock, $0.01 par value per share (“Common</w:t>
            </w: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7560" w:type="dxa"/>
            <w:vAlign w:val="bottom"/>
            <w:gridSpan w:val="6"/>
          </w:tcPr>
          <w:p>
            <w:pPr>
              <w:spacing w:after="0" w:line="196" w:lineRule="exact"/>
              <w:rPr>
                <w:sz w:val="20"/>
                <w:szCs w:val="20"/>
                <w:color w:val="auto"/>
              </w:rPr>
            </w:pPr>
            <w:r>
              <w:rPr>
                <w:rFonts w:ascii="Arial" w:cs="Arial" w:eastAsia="Arial" w:hAnsi="Arial"/>
                <w:sz w:val="18"/>
                <w:szCs w:val="18"/>
                <w:color w:val="auto"/>
              </w:rPr>
              <w:t>Stock”) of Shutterstock, Inc. as of November 19, 2025.</w:t>
            </w:r>
          </w:p>
        </w:tc>
        <w:tc>
          <w:tcPr>
            <w:tcW w:w="740" w:type="dxa"/>
            <w:vAlign w:val="bottom"/>
            <w:tcBorders>
              <w:top w:val="single" w:sz="8" w:color="auto"/>
            </w:tcBorders>
            <w:gridSpan w:val="2"/>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880" w:type="dxa"/>
            <w:vAlign w:val="bottom"/>
            <w:gridSpan w:val="9"/>
          </w:tcPr>
          <w:p>
            <w:pPr>
              <w:spacing w:after="0"/>
              <w:rPr>
                <w:sz w:val="20"/>
                <w:szCs w:val="20"/>
                <w:color w:val="auto"/>
              </w:rPr>
            </w:pPr>
            <w:r>
              <w:rPr>
                <w:rFonts w:ascii="Arial" w:cs="Arial" w:eastAsia="Arial" w:hAnsi="Arial"/>
                <w:sz w:val="18"/>
                <w:szCs w:val="18"/>
                <w:color w:val="auto"/>
              </w:rPr>
              <w:t>Your vote is important. Whether or not you plan to attend the 2025 Annual Meeting via live webcast, we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encourage you to read this Proxy Statement and submit your voting instructions as soon as possible. For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specific instructions on how to vote your shares, please refer to the Proxy Materials you received in the mail,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the section titled “Questions and Answers About the Proxy Materials and the 2025 Annual Meeting” in this</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Proxy Statement and your enclosed proxy card.</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40" w:right="160"/>
        <w:spacing w:after="0" w:line="287" w:lineRule="auto"/>
        <w:rPr>
          <w:sz w:val="20"/>
          <w:szCs w:val="20"/>
          <w:color w:val="auto"/>
        </w:rPr>
      </w:pPr>
      <w:r>
        <w:rPr>
          <w:rFonts w:ascii="Arial" w:cs="Arial" w:eastAsia="Arial" w:hAnsi="Arial"/>
          <w:sz w:val="18"/>
          <w:szCs w:val="18"/>
          <w:color w:val="auto"/>
        </w:rPr>
        <w:t>On or about November 20, 2025, we mailed to our stockholders the Proxy Materials containing instructions on how to access this Proxy Statement and 2024 Annual Report and how to vote online.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John Lapham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Proxy Statement and 2024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753" w:right="6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EF3A35"/>
        </w:rPr>
        <w:t>PROXY SUMMARY</w:t>
      </w:r>
    </w:p>
    <w:p>
      <w:pPr>
        <w:spacing w:after="0" w:line="12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the information you should consider in voting your shares. Please read the complete Proxy Statement and our 2024 Annual Report before voting.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Meeting Information</w:t>
      </w:r>
    </w:p>
    <w:p>
      <w:pPr>
        <w:spacing w:after="0" w:line="175"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Date:</w:t>
      </w:r>
      <w:r>
        <w:rPr>
          <w:sz w:val="20"/>
          <w:szCs w:val="20"/>
          <w:color w:val="auto"/>
        </w:rPr>
        <w:tab/>
      </w:r>
      <w:r>
        <w:rPr>
          <w:rFonts w:ascii="Arial" w:cs="Arial" w:eastAsia="Arial" w:hAnsi="Arial"/>
          <w:sz w:val="18"/>
          <w:szCs w:val="18"/>
          <w:color w:val="auto"/>
        </w:rPr>
        <w:t>Monday, December 22, 2025</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Time:</w:t>
      </w:r>
      <w:r>
        <w:rPr>
          <w:sz w:val="20"/>
          <w:szCs w:val="20"/>
          <w:color w:val="auto"/>
        </w:rPr>
        <w:tab/>
      </w:r>
      <w:r>
        <w:rPr>
          <w:rFonts w:ascii="Arial" w:cs="Arial" w:eastAsia="Arial" w:hAnsi="Arial"/>
          <w:sz w:val="18"/>
          <w:szCs w:val="18"/>
          <w:color w:val="auto"/>
        </w:rPr>
        <w:t>10:00 a.m. Eastern Time</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Virtual Meeting:</w:t>
      </w:r>
      <w:r>
        <w:rPr>
          <w:sz w:val="20"/>
          <w:szCs w:val="20"/>
          <w:color w:val="auto"/>
        </w:rPr>
        <w:tab/>
      </w:r>
      <w:r>
        <w:rPr>
          <w:rFonts w:ascii="Arial" w:cs="Arial" w:eastAsia="Arial" w:hAnsi="Arial"/>
          <w:sz w:val="17"/>
          <w:szCs w:val="17"/>
          <w:color w:val="auto"/>
        </w:rPr>
        <w:t>www.virtualshareholdermeeting.com/SSTK2025</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Record Date:</w:t>
      </w:r>
      <w:r>
        <w:rPr>
          <w:sz w:val="20"/>
          <w:szCs w:val="20"/>
          <w:color w:val="auto"/>
        </w:rPr>
        <w:tab/>
      </w:r>
      <w:r>
        <w:rPr>
          <w:rFonts w:ascii="Arial" w:cs="Arial" w:eastAsia="Arial" w:hAnsi="Arial"/>
          <w:sz w:val="17"/>
          <w:szCs w:val="17"/>
          <w:color w:val="auto"/>
        </w:rPr>
        <w:t>November 19,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17"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Your vote is important. You may vote your shares in advance of the 2025 Annual Meeting via the Internet, by telephone or by mail, or during the meeting by attending and voting electronically. If you vote via the Internet, by telephone or plan to vote electronically during the 2025 Annual Meeting, you do not need to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85725</wp:posOffset>
            </wp:positionV>
            <wp:extent cx="28321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210" cy="24003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85725</wp:posOffset>
            </wp:positionV>
            <wp:extent cx="15430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180340</wp:posOffset>
            </wp:positionV>
            <wp:extent cx="274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17970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103"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EF3A35"/>
        </w:rPr>
        <w:t>INTERNET</w:t>
      </w:r>
    </w:p>
    <w:p>
      <w:pPr>
        <w:spacing w:after="0" w:line="41" w:lineRule="exact"/>
        <w:rPr>
          <w:sz w:val="20"/>
          <w:szCs w:val="20"/>
          <w:color w:val="auto"/>
        </w:rPr>
      </w:pPr>
    </w:p>
    <w:p>
      <w:pPr>
        <w:jc w:val="center"/>
        <w:ind w:left="40"/>
        <w:spacing w:after="0"/>
        <w:rPr>
          <w:sz w:val="20"/>
          <w:szCs w:val="20"/>
          <w:color w:val="auto"/>
        </w:rPr>
      </w:pPr>
      <w:r>
        <w:rPr>
          <w:rFonts w:ascii="Arial" w:cs="Arial" w:eastAsia="Arial" w:hAnsi="Arial"/>
          <w:sz w:val="16"/>
          <w:szCs w:val="16"/>
          <w:color w:val="auto"/>
        </w:rPr>
        <w:t>To vote before the meeting, visit</w:t>
      </w:r>
    </w:p>
    <w:p>
      <w:pPr>
        <w:spacing w:after="0" w:line="31" w:lineRule="exact"/>
        <w:rPr>
          <w:sz w:val="20"/>
          <w:szCs w:val="20"/>
          <w:color w:val="auto"/>
        </w:rPr>
      </w:pPr>
    </w:p>
    <w:p>
      <w:pPr>
        <w:jc w:val="both"/>
        <w:ind w:left="40" w:firstLine="45"/>
        <w:spacing w:after="0" w:line="249" w:lineRule="auto"/>
        <w:rPr>
          <w:sz w:val="20"/>
          <w:szCs w:val="20"/>
          <w:color w:val="auto"/>
        </w:rPr>
      </w:pPr>
      <w:r>
        <w:rPr>
          <w:rFonts w:ascii="Arial" w:cs="Arial" w:eastAsia="Arial" w:hAnsi="Arial"/>
          <w:sz w:val="16"/>
          <w:szCs w:val="16"/>
          <w:b w:val="1"/>
          <w:bCs w:val="1"/>
          <w:color w:val="auto"/>
        </w:rPr>
        <w:t>www.proxyvote.com</w:t>
      </w:r>
      <w:r>
        <w:rPr>
          <w:rFonts w:ascii="Arial" w:cs="Arial" w:eastAsia="Arial" w:hAnsi="Arial"/>
          <w:sz w:val="16"/>
          <w:szCs w:val="16"/>
          <w:color w:val="auto"/>
        </w:rPr>
        <w:t>. To vote at the meeting, visit</w:t>
      </w:r>
      <w:r>
        <w:rPr>
          <w:rFonts w:ascii="Arial" w:cs="Arial" w:eastAsia="Arial" w:hAnsi="Arial"/>
          <w:sz w:val="16"/>
          <w:szCs w:val="16"/>
          <w:b w:val="1"/>
          <w:bCs w:val="1"/>
          <w:color w:val="auto"/>
        </w:rPr>
        <w:t xml:space="preserve"> www.virtualshareholdermeeting.com/SSTK2025</w:t>
      </w:r>
      <w:r>
        <w:rPr>
          <w:rFonts w:ascii="Arial" w:cs="Arial" w:eastAsia="Arial" w:hAnsi="Arial"/>
          <w:sz w:val="16"/>
          <w:szCs w:val="16"/>
          <w:color w:val="auto"/>
        </w:rPr>
        <w:t>.</w:t>
      </w:r>
    </w:p>
    <w:p>
      <w:pPr>
        <w:jc w:val="center"/>
        <w:ind w:left="40" w:right="120"/>
        <w:spacing w:after="0" w:line="283" w:lineRule="auto"/>
        <w:rPr>
          <w:sz w:val="20"/>
          <w:szCs w:val="20"/>
          <w:color w:val="auto"/>
        </w:rPr>
      </w:pPr>
      <w:r>
        <w:rPr>
          <w:rFonts w:ascii="Arial" w:cs="Arial" w:eastAsia="Arial" w:hAnsi="Arial"/>
          <w:sz w:val="16"/>
          <w:szCs w:val="16"/>
          <w:color w:val="auto"/>
        </w:rPr>
        <w:t>You will need the control number printed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9"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EF3A35"/>
        </w:rPr>
        <w:t>TELEPHONE</w:t>
      </w:r>
    </w:p>
    <w:p>
      <w:pPr>
        <w:spacing w:after="0" w:line="41" w:lineRule="exact"/>
        <w:rPr>
          <w:sz w:val="20"/>
          <w:szCs w:val="20"/>
          <w:color w:val="auto"/>
        </w:rPr>
      </w:pPr>
    </w:p>
    <w:p>
      <w:pPr>
        <w:ind w:left="80" w:firstLine="38"/>
        <w:spacing w:after="0" w:line="261" w:lineRule="auto"/>
        <w:rPr>
          <w:sz w:val="20"/>
          <w:szCs w:val="20"/>
          <w:color w:val="auto"/>
        </w:rPr>
      </w:pPr>
      <w:r>
        <w:rPr>
          <w:rFonts w:ascii="Arial" w:cs="Arial" w:eastAsia="Arial" w:hAnsi="Arial"/>
          <w:sz w:val="16"/>
          <w:szCs w:val="16"/>
          <w:color w:val="auto"/>
        </w:rPr>
        <w:t>Dial toll-free (</w:t>
      </w:r>
      <w:r>
        <w:rPr>
          <w:rFonts w:ascii="Arial" w:cs="Arial" w:eastAsia="Arial" w:hAnsi="Arial"/>
          <w:sz w:val="16"/>
          <w:szCs w:val="16"/>
          <w:b w:val="1"/>
          <w:bCs w:val="1"/>
          <w:color w:val="auto"/>
        </w:rPr>
        <w:t>1-800-690-6903</w:t>
      </w:r>
      <w:r>
        <w:rPr>
          <w:rFonts w:ascii="Arial" w:cs="Arial" w:eastAsia="Arial" w:hAnsi="Arial"/>
          <w:sz w:val="16"/>
          <w:szCs w:val="16"/>
          <w:color w:val="auto"/>
        </w:rPr>
        <w:t>) in accordance with instructions on your proxy card or the telephone number on your voting instruction form in accordance with instructions on the form. You will need the control number printed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EF3A35"/>
        </w:rPr>
        <w:t>MAIL</w:t>
      </w:r>
    </w:p>
    <w:p>
      <w:pPr>
        <w:spacing w:after="0" w:line="40" w:lineRule="exact"/>
        <w:rPr>
          <w:sz w:val="20"/>
          <w:szCs w:val="20"/>
          <w:color w:val="auto"/>
        </w:rPr>
      </w:pPr>
    </w:p>
    <w:p>
      <w:pPr>
        <w:jc w:val="center"/>
        <w:ind w:left="-39"/>
        <w:spacing w:after="0" w:line="228" w:lineRule="auto"/>
        <w:rPr>
          <w:sz w:val="20"/>
          <w:szCs w:val="20"/>
          <w:color w:val="auto"/>
        </w:rPr>
      </w:pPr>
      <w:r>
        <w:rPr>
          <w:rFonts w:ascii="Arial" w:cs="Arial" w:eastAsia="Arial" w:hAnsi="Arial"/>
          <w:sz w:val="16"/>
          <w:szCs w:val="16"/>
          <w:color w:val="auto"/>
        </w:rPr>
        <w:t>Send your completed and signed proxy card or voting instruction form using the enclosed postage-paid envelope.</w:t>
      </w:r>
    </w:p>
    <w:p>
      <w:pPr>
        <w:spacing w:after="0" w:line="862" w:lineRule="exact"/>
        <w:rPr>
          <w:sz w:val="20"/>
          <w:szCs w:val="20"/>
          <w:color w:val="auto"/>
        </w:rPr>
      </w:pPr>
    </w:p>
    <w:p>
      <w:pPr>
        <w:sectPr>
          <w:pgSz w:w="11900" w:h="16838" w:orient="portrait"/>
          <w:cols w:equalWidth="0" w:num="3">
            <w:col w:w="3740" w:space="140"/>
            <w:col w:w="3380" w:space="280"/>
            <w:col w:w="3680"/>
          </w:cols>
          <w:pgMar w:left="320" w:top="763"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We first began sending our stockholders the Proxy Materials, and made our proxy materials available, on or about November 20, 2025.</w:t>
      </w:r>
    </w:p>
    <w:p>
      <w:pPr>
        <w:sectPr>
          <w:pgSz w:w="11900" w:h="16838" w:orient="portrait"/>
          <w:cols w:equalWidth="0" w:num="1">
            <w:col w:w="11220"/>
          </w:cols>
          <w:pgMar w:left="320" w:top="76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EF3A35"/>
        </w:rPr>
        <w:t>PROPOSALS AT THE 2025 ANNUAL MEETING</w:t>
      </w:r>
    </w:p>
    <w:p>
      <w:pPr>
        <w:spacing w:after="0" w:line="162"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PROPOSAL #1</w:t>
      </w:r>
      <w:r>
        <w:rPr>
          <w:sz w:val="20"/>
          <w:szCs w:val="20"/>
          <w:color w:val="auto"/>
        </w:rPr>
        <w:tab/>
      </w:r>
      <w:r>
        <w:rPr>
          <w:rFonts w:ascii="Arial" w:cs="Arial" w:eastAsia="Arial" w:hAnsi="Arial"/>
          <w:sz w:val="18"/>
          <w:szCs w:val="18"/>
          <w:color w:val="auto"/>
        </w:rPr>
        <w:t>Election of each of Jonathan Oringer, Rachna Bhasin and Jaime Teevan to the Board, each to serve as a Class I</w:t>
      </w:r>
    </w:p>
    <w:p>
      <w:pPr>
        <w:spacing w:after="0" w:line="27" w:lineRule="exact"/>
        <w:rPr>
          <w:sz w:val="20"/>
          <w:szCs w:val="20"/>
          <w:color w:val="auto"/>
        </w:rPr>
      </w:pPr>
    </w:p>
    <w:p>
      <w:pPr>
        <w:ind w:left="1780" w:hanging="1759"/>
        <w:spacing w:after="0" w:line="266" w:lineRule="auto"/>
        <w:tabs>
          <w:tab w:leader="none" w:pos="1760" w:val="left"/>
        </w:tabs>
        <w:rPr>
          <w:sz w:val="20"/>
          <w:szCs w:val="20"/>
          <w:color w:val="auto"/>
        </w:rPr>
      </w:pPr>
      <w:r>
        <w:rPr>
          <w:rFonts w:ascii="Arial" w:cs="Arial" w:eastAsia="Arial" w:hAnsi="Arial"/>
          <w:sz w:val="18"/>
          <w:szCs w:val="18"/>
          <w:b w:val="1"/>
          <w:bCs w:val="1"/>
          <w:color w:val="EF3A35"/>
        </w:rPr>
        <w:t>Directors</w:t>
      </w:r>
      <w:r>
        <w:rPr>
          <w:sz w:val="20"/>
          <w:szCs w:val="20"/>
          <w:color w:val="auto"/>
        </w:rPr>
        <w:tab/>
      </w:r>
      <w:r>
        <w:rPr>
          <w:rFonts w:ascii="Arial" w:cs="Arial" w:eastAsia="Arial" w:hAnsi="Arial"/>
          <w:sz w:val="18"/>
          <w:szCs w:val="18"/>
          <w:color w:val="auto"/>
        </w:rPr>
        <w:t>director for a three-year term ending at the 2028 Annual Meeting of Stockholders or until such director’s successor has been duly elected or appointed and qualified, or until such director’s earlier resignation or removal (Proposal 1).</w:t>
      </w:r>
    </w:p>
    <w:p>
      <w:pPr>
        <w:spacing w:after="0" w:line="19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As requested by Getty Images, the Company has agreed to use reasonable best efforts to cause to be delivered to</w:t>
      </w:r>
    </w:p>
    <w:p>
      <w:pPr>
        <w:spacing w:after="0" w:line="2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Getty Images prior to the closing of the Merger, resignations executed by directors and officers of Shutterstock and its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subsidiaries, in each case to be effective upon the effective time of the Merger. Following the Merger, the Getty</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Images board will have eleven members, consisting of the Chief Executive Officer of Getty Images, six directors to be</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designated by Getty Images from among the directors serving on the Getty Images board as of immediately prior to</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Merger and four directors to be designated by Shutterstock from among the directors serving on the Shutterstock</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board as of immediately prior to the Merger. Paul J. Hennessy is expected to be appointed to serve as one of the</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members of the Getty Images board, and the other three directors to be designated by Shutterstock have not yet been</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determined as of the date of this Proxy Statement.</w:t>
      </w:r>
    </w:p>
    <w:p>
      <w:pPr>
        <w:spacing w:after="0" w:line="250" w:lineRule="exact"/>
        <w:rPr>
          <w:sz w:val="20"/>
          <w:szCs w:val="20"/>
          <w:color w:val="auto"/>
        </w:rPr>
      </w:pPr>
    </w:p>
    <w:p>
      <w:pPr>
        <w:ind w:left="1780"/>
        <w:spacing w:after="0"/>
        <w:rPr>
          <w:sz w:val="20"/>
          <w:szCs w:val="20"/>
          <w:color w:val="auto"/>
        </w:rPr>
      </w:pPr>
      <w:r>
        <w:rPr>
          <w:sz w:val="1"/>
          <w:szCs w:val="1"/>
          <w:color w:val="auto"/>
        </w:rPr>
        <w:drawing>
          <wp:inline distT="0" distB="0" distL="0" distR="0">
            <wp:extent cx="85725" cy="774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8"/>
          <w:szCs w:val="18"/>
          <w:i w:val="1"/>
          <w:iCs w:val="1"/>
          <w:color w:val="auto"/>
        </w:rPr>
        <w:t>Our Board unanimously recommends that you vote “FOR ALL” of the director nominees.</w:t>
      </w:r>
    </w:p>
    <w:p>
      <w:pPr>
        <w:spacing w:after="0" w:line="304"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PROPOSAL #2</w:t>
      </w:r>
      <w:r>
        <w:rPr>
          <w:sz w:val="20"/>
          <w:szCs w:val="20"/>
          <w:color w:val="auto"/>
        </w:rPr>
        <w:tab/>
      </w:r>
      <w:r>
        <w:rPr>
          <w:rFonts w:ascii="Arial" w:cs="Arial" w:eastAsia="Arial" w:hAnsi="Arial"/>
          <w:sz w:val="18"/>
          <w:szCs w:val="18"/>
          <w:color w:val="auto"/>
        </w:rPr>
        <w:t>Approval, on an advisory basis, of the compensation of our named executive officers, as disclosed in this Proxy</w:t>
      </w:r>
    </w:p>
    <w:p>
      <w:pPr>
        <w:spacing w:after="0" w:line="27"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Say-On-Pay</w:t>
      </w:r>
      <w:r>
        <w:rPr>
          <w:sz w:val="20"/>
          <w:szCs w:val="20"/>
          <w:color w:val="auto"/>
        </w:rPr>
        <w:tab/>
      </w:r>
      <w:r>
        <w:rPr>
          <w:rFonts w:ascii="Arial" w:cs="Arial" w:eastAsia="Arial" w:hAnsi="Arial"/>
          <w:sz w:val="17"/>
          <w:szCs w:val="17"/>
          <w:color w:val="auto"/>
        </w:rPr>
        <w:t>Statement (“say-on-pay”) (Proposal 2).</w:t>
      </w:r>
    </w:p>
    <w:p>
      <w:pPr>
        <w:spacing w:after="0" w:line="334" w:lineRule="exact"/>
        <w:rPr>
          <w:sz w:val="20"/>
          <w:szCs w:val="20"/>
          <w:color w:val="auto"/>
        </w:rPr>
      </w:pPr>
    </w:p>
    <w:p>
      <w:pPr>
        <w:ind w:left="1780" w:right="20" w:hanging="4"/>
        <w:spacing w:after="0" w:line="296" w:lineRule="auto"/>
        <w:rPr>
          <w:sz w:val="20"/>
          <w:szCs w:val="20"/>
          <w:color w:val="auto"/>
        </w:rPr>
      </w:pPr>
      <w:r>
        <w:rPr>
          <w:sz w:val="1"/>
          <w:szCs w:val="1"/>
          <w:color w:val="auto"/>
        </w:rPr>
        <w:drawing>
          <wp:inline distT="0" distB="0" distL="0" distR="0">
            <wp:extent cx="8572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i w:val="1"/>
          <w:iCs w:val="1"/>
          <w:color w:val="auto"/>
        </w:rPr>
        <w:t>Our Board unanimously recommends that you vote “FOR” approval, on a non-binding, advisory basis, of the compensation of our named executive officers.</w:t>
      </w:r>
    </w:p>
    <w:p>
      <w:pPr>
        <w:spacing w:after="0" w:line="254" w:lineRule="exact"/>
        <w:rPr>
          <w:sz w:val="20"/>
          <w:szCs w:val="20"/>
          <w:color w:val="auto"/>
        </w:rPr>
      </w:pPr>
    </w:p>
    <w:p>
      <w:pPr>
        <w:ind w:left="20"/>
        <w:spacing w:after="0" w:line="296" w:lineRule="auto"/>
        <w:rPr>
          <w:sz w:val="20"/>
          <w:szCs w:val="20"/>
          <w:color w:val="auto"/>
        </w:rPr>
      </w:pPr>
      <w:r>
        <w:rPr>
          <w:rFonts w:ascii="Arial" w:cs="Arial" w:eastAsia="Arial" w:hAnsi="Arial"/>
          <w:sz w:val="18"/>
          <w:szCs w:val="18"/>
          <w:b w:val="1"/>
          <w:bCs w:val="1"/>
          <w:color w:val="EF3A35"/>
        </w:rPr>
        <w:t xml:space="preserve">PROPOSAL #3 </w:t>
      </w:r>
      <w:r>
        <w:rPr>
          <w:rFonts w:ascii="Arial" w:cs="Arial" w:eastAsia="Arial" w:hAnsi="Arial"/>
          <w:sz w:val="18"/>
          <w:szCs w:val="18"/>
          <w:color w:val="000000"/>
        </w:rPr>
        <w:t>Ratification of the appointment of PricewaterhouseCoopers LLP as our independent registered public accounting firm</w:t>
      </w:r>
      <w:r>
        <w:rPr>
          <w:rFonts w:ascii="Arial" w:cs="Arial" w:eastAsia="Arial" w:hAnsi="Arial"/>
          <w:sz w:val="18"/>
          <w:szCs w:val="18"/>
          <w:b w:val="1"/>
          <w:bCs w:val="1"/>
          <w:color w:val="EF3A35"/>
        </w:rPr>
        <w:t xml:space="preserve"> Auditor Ratification </w:t>
      </w:r>
      <w:r>
        <w:rPr>
          <w:rFonts w:ascii="Arial" w:cs="Arial" w:eastAsia="Arial" w:hAnsi="Arial"/>
          <w:sz w:val="18"/>
          <w:szCs w:val="18"/>
          <w:color w:val="000000"/>
        </w:rPr>
        <w:t>for the fiscal year ending December 31, 2025 (Proposal 3).</w:t>
      </w:r>
    </w:p>
    <w:p>
      <w:pPr>
        <w:spacing w:after="0" w:line="264" w:lineRule="exact"/>
        <w:rPr>
          <w:sz w:val="20"/>
          <w:szCs w:val="20"/>
          <w:color w:val="auto"/>
        </w:rPr>
      </w:pPr>
    </w:p>
    <w:p>
      <w:pPr>
        <w:ind w:left="1780" w:right="20" w:hanging="4"/>
        <w:spacing w:after="0" w:line="285" w:lineRule="auto"/>
        <w:rPr>
          <w:sz w:val="20"/>
          <w:szCs w:val="20"/>
          <w:color w:val="auto"/>
        </w:rPr>
      </w:pPr>
      <w:r>
        <w:rPr>
          <w:sz w:val="1"/>
          <w:szCs w:val="1"/>
          <w:color w:val="auto"/>
        </w:rPr>
        <w:drawing>
          <wp:inline distT="0" distB="0" distL="0" distR="0">
            <wp:extent cx="85725"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i w:val="1"/>
          <w:iCs w:val="1"/>
          <w:color w:val="auto"/>
        </w:rPr>
        <w:t>Our</w:t>
      </w:r>
      <w:r>
        <w:rPr>
          <w:sz w:val="20"/>
          <w:szCs w:val="20"/>
          <w:color w:val="auto"/>
        </w:rPr>
        <w:t xml:space="preserve"> </w:t>
      </w:r>
      <w:r>
        <w:rPr>
          <w:rFonts w:ascii="Arial" w:cs="Arial" w:eastAsia="Arial" w:hAnsi="Arial"/>
          <w:sz w:val="18"/>
          <w:szCs w:val="18"/>
          <w:i w:val="1"/>
          <w:iCs w:val="1"/>
          <w:color w:val="auto"/>
        </w:rPr>
        <w:t>Board unanimously recommends that you vote “FOR” ratification of the appointment of PricewaterhouseCoopers LLP as our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2024 Business Highlights</w:t>
      </w:r>
      <w:r>
        <w:rPr>
          <w:rFonts w:ascii="Arial" w:cs="Arial" w:eastAsia="Arial" w:hAnsi="Arial"/>
          <w:sz w:val="23"/>
          <w:szCs w:val="23"/>
          <w:b w:val="1"/>
          <w:bCs w:val="1"/>
          <w:color w:val="FF0000"/>
          <w:vertAlign w:val="superscript"/>
        </w:rPr>
        <w:t>(1)</w:t>
      </w:r>
    </w:p>
    <w:p>
      <w:pPr>
        <w:spacing w:after="0" w:line="6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our brands during the year ended December 31, 2024. The highlights of our 2024 performance versus 2023 performance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w:t>
      </w:r>
    </w:p>
    <w:p>
      <w:pPr>
        <w:spacing w:after="0" w:line="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7% to $935.3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from operations was $68.7 million, essentially flat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decreased 67% to $35.9 million</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3% to $247.1 million</w:t>
      </w:r>
      <w:r>
        <w:rPr>
          <w:rFonts w:ascii="Arial" w:cs="Arial" w:eastAsia="Arial" w:hAnsi="Arial"/>
          <w:sz w:val="23"/>
          <w:szCs w:val="23"/>
          <w:color w:val="auto"/>
          <w:vertAlign w:val="superscript"/>
        </w:rPr>
        <w:t>(2)</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flows decreased $107.9 million to $32.6 million</w:t>
      </w:r>
      <w:r>
        <w:rPr>
          <w:rFonts w:ascii="Arial" w:cs="Arial" w:eastAsia="Arial" w:hAnsi="Arial"/>
          <w:sz w:val="23"/>
          <w:szCs w:val="23"/>
          <w:color w:val="auto"/>
          <w:vertAlign w:val="superscript"/>
        </w:rPr>
        <w:t>(2)</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free cash flow decreased $29.8 million to $108.7 million</w:t>
      </w:r>
      <w:r>
        <w:rPr>
          <w:rFonts w:ascii="Arial" w:cs="Arial" w:eastAsia="Arial" w:hAnsi="Arial"/>
          <w:sz w:val="23"/>
          <w:szCs w:val="23"/>
          <w:color w:val="auto"/>
          <w:vertAlign w:val="superscript"/>
        </w:rPr>
        <w:t>(2)</w:t>
      </w:r>
    </w:p>
    <w:p>
      <w:pPr>
        <w:spacing w:after="0" w:line="78" w:lineRule="exact"/>
        <w:rPr>
          <w:sz w:val="20"/>
          <w:szCs w:val="20"/>
          <w:color w:val="auto"/>
        </w:rPr>
      </w:pPr>
    </w:p>
    <w:p>
      <w:pPr>
        <w:ind w:left="580" w:right="140" w:hanging="329"/>
        <w:spacing w:after="0" w:line="276" w:lineRule="auto"/>
        <w:tabs>
          <w:tab w:leader="none" w:pos="631"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additional information regarding our financial results, please see the Original Form 10-K,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the Original Form 10-K.</w:t>
      </w:r>
    </w:p>
    <w:p>
      <w:pPr>
        <w:spacing w:after="0" w:line="15" w:lineRule="exact"/>
        <w:rPr>
          <w:rFonts w:ascii="Arial" w:cs="Arial" w:eastAsia="Arial" w:hAnsi="Arial"/>
          <w:sz w:val="14"/>
          <w:szCs w:val="14"/>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a discussion regarding, and reconciliation of, our non-GAAP to GAAP financial measures, please see Annex A.</w:t>
      </w:r>
    </w:p>
    <w:p>
      <w:pPr>
        <w:spacing w:after="0" w:line="11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At our 2024 Annual Meeting, approximately 94.8%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ectPr>
          <w:pgSz w:w="11900" w:h="16838" w:orient="portrait"/>
          <w:cols w:equalWidth="0" w:num="1">
            <w:col w:w="11200"/>
          </w:cols>
          <w:pgMar w:left="320" w:top="8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EF3A35"/>
        </w:rPr>
        <w:t>Pending Merger with Getty Images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previously disclosed, on January 6, 2025, the Company entered into the Merger Agreement to combine in a merger-of-equals transaction with Getty Images. A majority of Shutterstock stockholders approved the adoption of the Merger Agreement at a special meeting of stockholders held on June 10, 2025. The Merger is subject to the satisfaction of customary closing conditions, including receipt of required regulatory approvals. Subject to the satisfaction of the closing conditions, upon closing of the Merger, Shutterstock’s common stock will be delisted from the NYSE and deregistered under the Securities Exchange Act of 1934, as amended. For additional information related to the Merger, please refer to the Information Statement and Proxy Statement/Prospectus and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 w:name="page7"/>
    <w:bookmarkEnd w:id="6"/>
    <w:p>
      <w:pPr>
        <w:ind w:left="4260"/>
        <w:spacing w:after="0"/>
        <w:rPr>
          <w:sz w:val="20"/>
          <w:szCs w:val="20"/>
          <w:color w:val="auto"/>
        </w:rPr>
      </w:pPr>
      <w:r>
        <w:rPr>
          <w:rFonts w:ascii="Arial" w:cs="Arial" w:eastAsia="Arial" w:hAnsi="Arial"/>
          <w:sz w:val="25"/>
          <w:szCs w:val="25"/>
          <w:b w:val="1"/>
          <w:bCs w:val="1"/>
          <w:color w:val="EF3A35"/>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340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Directors and Executive Officers</w:t>
            </w:r>
          </w:p>
        </w:tc>
        <w:tc>
          <w:tcPr>
            <w:tcW w:w="6880" w:type="dxa"/>
            <w:vAlign w:val="bottom"/>
            <w:gridSpan w:val="19"/>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Board Structure, Director Nominations and Qualifications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50"/>
        </w:trPr>
        <w:tc>
          <w:tcPr>
            <w:tcW w:w="452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Corporate Governance and Board Matters</w:t>
            </w:r>
          </w:p>
        </w:tc>
        <w:tc>
          <w:tcPr>
            <w:tcW w:w="4960" w:type="dxa"/>
            <w:vAlign w:val="bottom"/>
            <w:gridSpan w:val="9"/>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9"/>
              </w:rPr>
              <w:t>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PROPOSAL ONE: ELECTION OF DIRECTORS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8"/>
          </w:tcPr>
          <w:p>
            <w:pPr>
              <w:spacing w:after="0"/>
              <w:rPr>
                <w:sz w:val="20"/>
                <w:szCs w:val="20"/>
                <w:color w:val="auto"/>
              </w:rPr>
            </w:pPr>
            <w:r>
              <w:rPr>
                <w:rFonts w:ascii="Arial" w:cs="Arial" w:eastAsia="Arial" w:hAnsi="Arial"/>
                <w:sz w:val="18"/>
                <w:szCs w:val="18"/>
                <w:color w:val="0000FF"/>
                <w:w w:val="97"/>
              </w:rPr>
              <w:t>DIRECTOR COMPENSATION</w:t>
            </w:r>
          </w:p>
        </w:tc>
        <w:tc>
          <w:tcPr>
            <w:tcW w:w="1400" w:type="dxa"/>
            <w:vAlign w:val="bottom"/>
            <w:gridSpan w:val="10"/>
          </w:tcPr>
          <w:p>
            <w:pPr>
              <w:spacing w:after="0"/>
              <w:rPr>
                <w:sz w:val="21"/>
                <w:szCs w:val="21"/>
                <w:color w:val="auto"/>
              </w:rPr>
            </w:pPr>
          </w:p>
        </w:tc>
        <w:tc>
          <w:tcPr>
            <w:tcW w:w="5640" w:type="dxa"/>
            <w:vAlign w:val="bottom"/>
            <w:gridSpan w:val="11"/>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8"/>
          </w:tcPr>
          <w:p>
            <w:pPr>
              <w:spacing w:after="0"/>
              <w:rPr>
                <w:sz w:val="20"/>
                <w:szCs w:val="20"/>
                <w:color w:val="auto"/>
              </w:rPr>
            </w:pPr>
            <w:r>
              <w:rPr>
                <w:rFonts w:ascii="Arial" w:cs="Arial" w:eastAsia="Arial" w:hAnsi="Arial"/>
                <w:sz w:val="18"/>
                <w:szCs w:val="18"/>
                <w:color w:val="0000FF"/>
              </w:rPr>
              <w:t>Director Compensation Table</w:t>
            </w:r>
          </w:p>
        </w:tc>
        <w:tc>
          <w:tcPr>
            <w:tcW w:w="7040" w:type="dxa"/>
            <w:vAlign w:val="bottom"/>
            <w:gridSpan w:val="21"/>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PROPOSAL TWO: ADVISORY VOTE TO APPROVE THE COMPENSATION OF OUR NAMED EXECUTIVE</w:t>
            </w:r>
          </w:p>
        </w:tc>
        <w:tc>
          <w:tcPr>
            <w:tcW w:w="800" w:type="dxa"/>
            <w:vAlign w:val="bottom"/>
            <w:gridSpan w:val="3"/>
          </w:tcPr>
          <w:p>
            <w:pPr>
              <w:spacing w:after="0"/>
              <w:rPr>
                <w:sz w:val="21"/>
                <w:szCs w:val="21"/>
                <w:color w:val="auto"/>
              </w:rPr>
            </w:pP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line="196" w:lineRule="exact"/>
              <w:rPr>
                <w:sz w:val="20"/>
                <w:szCs w:val="20"/>
                <w:color w:val="auto"/>
              </w:rPr>
            </w:pPr>
            <w:r>
              <w:rPr>
                <w:rFonts w:ascii="Arial" w:cs="Arial" w:eastAsia="Arial" w:hAnsi="Arial"/>
                <w:sz w:val="18"/>
                <w:szCs w:val="18"/>
                <w:color w:val="0000FF"/>
                <w:w w:val="98"/>
              </w:rPr>
              <w:t>OFFICERS</w:t>
            </w:r>
          </w:p>
        </w:tc>
        <w:tc>
          <w:tcPr>
            <w:tcW w:w="8560" w:type="dxa"/>
            <w:vAlign w:val="bottom"/>
            <w:gridSpan w:val="28"/>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tcBorders>
              <w:bottom w:val="single" w:sz="8" w:color="0000FF"/>
            </w:tcBorders>
            <w:vMerge w:val="continue"/>
          </w:tcPr>
          <w:p>
            <w:pPr>
              <w:spacing w:after="0"/>
              <w:rPr>
                <w:sz w:val="7"/>
                <w:szCs w:val="7"/>
                <w:color w:val="auto"/>
              </w:rPr>
            </w:pPr>
          </w:p>
        </w:tc>
        <w:tc>
          <w:tcPr>
            <w:tcW w:w="8560" w:type="dxa"/>
            <w:vAlign w:val="bottom"/>
            <w:gridSpan w:val="28"/>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EXECUTIVE COMPENSATION</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gridSpan w:val="14"/>
          </w:tcPr>
          <w:p>
            <w:pPr>
              <w:spacing w:after="0"/>
              <w:rPr>
                <w:sz w:val="20"/>
                <w:szCs w:val="20"/>
                <w:color w:val="auto"/>
              </w:rPr>
            </w:pPr>
            <w:r>
              <w:rPr>
                <w:rFonts w:ascii="Arial" w:cs="Arial" w:eastAsia="Arial" w:hAnsi="Arial"/>
                <w:sz w:val="18"/>
                <w:szCs w:val="18"/>
                <w:color w:val="0000FF"/>
                <w:w w:val="98"/>
              </w:rPr>
              <w:t>Compensation Discussion and Analysis</w:t>
            </w: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sz w:val="20"/>
                <w:szCs w:val="20"/>
                <w:color w:val="auto"/>
              </w:rPr>
            </w:pPr>
            <w:r>
              <w:rPr>
                <w:rFonts w:ascii="Arial" w:cs="Arial" w:eastAsia="Arial" w:hAnsi="Arial"/>
                <w:sz w:val="18"/>
                <w:szCs w:val="18"/>
                <w:color w:val="0000FF"/>
                <w:w w:val="98"/>
              </w:rPr>
              <w:t>Compensation Risk Assessment</w:t>
            </w:r>
          </w:p>
        </w:tc>
        <w:tc>
          <w:tcPr>
            <w:tcW w:w="560" w:type="dxa"/>
            <w:vAlign w:val="bottom"/>
            <w:gridSpan w:val="4"/>
          </w:tcPr>
          <w:p>
            <w:pPr>
              <w:spacing w:after="0"/>
              <w:rPr>
                <w:sz w:val="21"/>
                <w:szCs w:val="21"/>
                <w:color w:val="auto"/>
              </w:rPr>
            </w:pP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11"/>
          </w:tcPr>
          <w:p>
            <w:pPr>
              <w:spacing w:after="0"/>
              <w:rPr>
                <w:sz w:val="20"/>
                <w:szCs w:val="20"/>
                <w:color w:val="auto"/>
              </w:rPr>
            </w:pPr>
            <w:r>
              <w:rPr>
                <w:rFonts w:ascii="Arial" w:cs="Arial" w:eastAsia="Arial" w:hAnsi="Arial"/>
                <w:sz w:val="18"/>
                <w:szCs w:val="18"/>
                <w:color w:val="0000FF"/>
                <w:w w:val="99"/>
              </w:rPr>
              <w:t>Compensation Committee Report</w:t>
            </w:r>
          </w:p>
        </w:tc>
        <w:tc>
          <w:tcPr>
            <w:tcW w:w="6800" w:type="dxa"/>
            <w:vAlign w:val="bottom"/>
            <w:gridSpan w:val="1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11"/>
          </w:tcPr>
          <w:p>
            <w:pPr>
              <w:spacing w:after="0"/>
              <w:rPr>
                <w:sz w:val="20"/>
                <w:szCs w:val="20"/>
                <w:color w:val="auto"/>
              </w:rPr>
            </w:pPr>
            <w:r>
              <w:rPr>
                <w:rFonts w:ascii="Arial" w:cs="Arial" w:eastAsia="Arial" w:hAnsi="Arial"/>
                <w:sz w:val="18"/>
                <w:szCs w:val="18"/>
                <w:color w:val="0000FF"/>
              </w:rPr>
              <w:t>Summary Compensation Table</w:t>
            </w:r>
          </w:p>
        </w:tc>
        <w:tc>
          <w:tcPr>
            <w:tcW w:w="6800" w:type="dxa"/>
            <w:vAlign w:val="bottom"/>
            <w:gridSpan w:val="1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gridSpan w:val="21"/>
          </w:tcPr>
          <w:p>
            <w:pPr>
              <w:spacing w:after="0"/>
              <w:rPr>
                <w:sz w:val="20"/>
                <w:szCs w:val="20"/>
                <w:color w:val="auto"/>
              </w:rPr>
            </w:pPr>
            <w:r>
              <w:rPr>
                <w:rFonts w:ascii="Arial" w:cs="Arial" w:eastAsia="Arial" w:hAnsi="Arial"/>
                <w:sz w:val="18"/>
                <w:szCs w:val="18"/>
                <w:color w:val="0000FF"/>
                <w:w w:val="98"/>
              </w:rPr>
              <w:t>Employment Agreements and Compensatory Arrangements</w:t>
            </w:r>
          </w:p>
        </w:tc>
        <w:tc>
          <w:tcPr>
            <w:tcW w:w="476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gridSpan w:val="13"/>
          </w:tcPr>
          <w:p>
            <w:pPr>
              <w:spacing w:after="0"/>
              <w:rPr>
                <w:sz w:val="20"/>
                <w:szCs w:val="20"/>
                <w:color w:val="auto"/>
              </w:rPr>
            </w:pPr>
            <w:r>
              <w:rPr>
                <w:rFonts w:ascii="Arial" w:cs="Arial" w:eastAsia="Arial" w:hAnsi="Arial"/>
                <w:sz w:val="18"/>
                <w:szCs w:val="18"/>
                <w:color w:val="0000FF"/>
                <w:w w:val="99"/>
              </w:rPr>
              <w:t>Grants of Plan-Based Awards in 2024</w:t>
            </w:r>
          </w:p>
        </w:tc>
        <w:tc>
          <w:tcPr>
            <w:tcW w:w="1700" w:type="dxa"/>
            <w:vAlign w:val="bottom"/>
            <w:gridSpan w:val="8"/>
          </w:tcPr>
          <w:p>
            <w:pPr>
              <w:spacing w:after="0"/>
              <w:rPr>
                <w:sz w:val="21"/>
                <w:szCs w:val="21"/>
                <w:color w:val="auto"/>
              </w:rPr>
            </w:pPr>
          </w:p>
        </w:tc>
        <w:tc>
          <w:tcPr>
            <w:tcW w:w="476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Outstanding Equity Awards at Fiscal Year-End</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16"/>
          </w:tcPr>
          <w:p>
            <w:pPr>
              <w:spacing w:after="0"/>
              <w:rPr>
                <w:sz w:val="20"/>
                <w:szCs w:val="20"/>
                <w:color w:val="auto"/>
              </w:rPr>
            </w:pPr>
            <w:r>
              <w:rPr>
                <w:rFonts w:ascii="Arial" w:cs="Arial" w:eastAsia="Arial" w:hAnsi="Arial"/>
                <w:sz w:val="18"/>
                <w:szCs w:val="18"/>
                <w:color w:val="0000FF"/>
                <w:w w:val="99"/>
              </w:rPr>
              <w:t>Option Exercises and Stock Vested in 2024</w:t>
            </w:r>
          </w:p>
        </w:tc>
        <w:tc>
          <w:tcPr>
            <w:tcW w:w="220" w:type="dxa"/>
            <w:vAlign w:val="bottom"/>
          </w:tcPr>
          <w:p>
            <w:pPr>
              <w:spacing w:after="0"/>
              <w:rPr>
                <w:sz w:val="21"/>
                <w:szCs w:val="21"/>
                <w:color w:val="auto"/>
              </w:rPr>
            </w:pPr>
          </w:p>
        </w:tc>
        <w:tc>
          <w:tcPr>
            <w:tcW w:w="58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Potential Payments Upon Termination or Change in Control</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gridSpan w:val="22"/>
          </w:tcPr>
          <w:p>
            <w:pPr>
              <w:spacing w:after="0"/>
              <w:rPr>
                <w:sz w:val="20"/>
                <w:szCs w:val="20"/>
                <w:color w:val="auto"/>
              </w:rPr>
            </w:pPr>
            <w:r>
              <w:rPr>
                <w:rFonts w:ascii="Arial" w:cs="Arial" w:eastAsia="Arial" w:hAnsi="Arial"/>
                <w:sz w:val="18"/>
                <w:szCs w:val="18"/>
                <w:color w:val="0000FF"/>
                <w:w w:val="98"/>
              </w:rPr>
              <w:t>CERTAIN RELATIONSHIPS AND RELATED TRANSACTIONS</w:t>
            </w:r>
          </w:p>
        </w:tc>
        <w:tc>
          <w:tcPr>
            <w:tcW w:w="4460" w:type="dxa"/>
            <w:vAlign w:val="bottom"/>
            <w:gridSpan w:val="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gridSpan w:val="12"/>
          </w:tcPr>
          <w:p>
            <w:pPr>
              <w:spacing w:after="0"/>
              <w:rPr>
                <w:sz w:val="20"/>
                <w:szCs w:val="20"/>
                <w:color w:val="auto"/>
              </w:rPr>
            </w:pPr>
            <w:r>
              <w:rPr>
                <w:rFonts w:ascii="Arial" w:cs="Arial" w:eastAsia="Arial" w:hAnsi="Arial"/>
                <w:sz w:val="18"/>
                <w:szCs w:val="18"/>
                <w:color w:val="0000FF"/>
                <w:w w:val="99"/>
              </w:rPr>
              <w:t>Transactions with Related Persons</w:t>
            </w:r>
          </w:p>
        </w:tc>
        <w:tc>
          <w:tcPr>
            <w:tcW w:w="2240" w:type="dxa"/>
            <w:vAlign w:val="bottom"/>
            <w:gridSpan w:val="10"/>
          </w:tcPr>
          <w:p>
            <w:pPr>
              <w:spacing w:after="0"/>
              <w:rPr>
                <w:sz w:val="21"/>
                <w:szCs w:val="21"/>
                <w:color w:val="auto"/>
              </w:rPr>
            </w:pPr>
          </w:p>
        </w:tc>
        <w:tc>
          <w:tcPr>
            <w:tcW w:w="4460" w:type="dxa"/>
            <w:vAlign w:val="bottom"/>
            <w:gridSpan w:val="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0000FF"/>
                <w:w w:val="99"/>
              </w:rPr>
              <w:t>Pay Ratio Disclosure</w:t>
            </w:r>
          </w:p>
        </w:tc>
        <w:tc>
          <w:tcPr>
            <w:tcW w:w="1100" w:type="dxa"/>
            <w:vAlign w:val="bottom"/>
            <w:gridSpan w:val="9"/>
          </w:tcPr>
          <w:p>
            <w:pPr>
              <w:spacing w:after="0"/>
              <w:rPr>
                <w:sz w:val="21"/>
                <w:szCs w:val="21"/>
                <w:color w:val="auto"/>
              </w:rPr>
            </w:pPr>
          </w:p>
        </w:tc>
        <w:tc>
          <w:tcPr>
            <w:tcW w:w="6700" w:type="dxa"/>
            <w:vAlign w:val="bottom"/>
            <w:gridSpan w:val="1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sz w:val="20"/>
                <w:szCs w:val="20"/>
                <w:color w:val="auto"/>
              </w:rPr>
            </w:pPr>
            <w:r>
              <w:rPr>
                <w:rFonts w:ascii="Arial" w:cs="Arial" w:eastAsia="Arial" w:hAnsi="Arial"/>
                <w:sz w:val="18"/>
                <w:szCs w:val="18"/>
                <w:color w:val="0000FF"/>
                <w:w w:val="98"/>
              </w:rPr>
              <w:t>Pay Versus Performance</w:t>
            </w:r>
          </w:p>
        </w:tc>
        <w:tc>
          <w:tcPr>
            <w:tcW w:w="7480" w:type="dxa"/>
            <w:vAlign w:val="bottom"/>
            <w:gridSpan w:val="23"/>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PROPOSAL THREE: RATIFICATION OF THE APPOINTMENT OF OUR INDEPENDENT REGISTERED PUBLIC</w:t>
            </w: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88"/>
        </w:trPr>
        <w:tc>
          <w:tcPr>
            <w:tcW w:w="9040" w:type="dxa"/>
            <w:vAlign w:val="bottom"/>
            <w:tcBorders>
              <w:top w:val="single" w:sz="8" w:color="0000FF"/>
            </w:tcBorders>
            <w:gridSpan w:val="28"/>
            <w:vMerge w:val="restart"/>
          </w:tcPr>
          <w:p>
            <w:pPr>
              <w:spacing w:after="0" w:line="196" w:lineRule="exact"/>
              <w:rPr>
                <w:sz w:val="20"/>
                <w:szCs w:val="20"/>
                <w:color w:val="auto"/>
              </w:rPr>
            </w:pPr>
            <w:r>
              <w:rPr>
                <w:rFonts w:ascii="Arial" w:cs="Arial" w:eastAsia="Arial" w:hAnsi="Arial"/>
                <w:sz w:val="18"/>
                <w:szCs w:val="18"/>
                <w:color w:val="0000FF"/>
              </w:rPr>
              <w:t>ACCOUNTING FIRM</w:t>
            </w:r>
          </w:p>
        </w:tc>
        <w:tc>
          <w:tcPr>
            <w:tcW w:w="440" w:type="dxa"/>
            <w:vAlign w:val="bottom"/>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040" w:type="dxa"/>
            <w:vAlign w:val="bottom"/>
            <w:tcBorders>
              <w:top w:val="single" w:sz="8" w:color="0000FF"/>
            </w:tcBorders>
            <w:gridSpan w:val="28"/>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sz w:val="20"/>
                <w:szCs w:val="20"/>
                <w:color w:val="auto"/>
              </w:rPr>
            </w:pPr>
            <w:r>
              <w:rPr>
                <w:rFonts w:ascii="Arial" w:cs="Arial" w:eastAsia="Arial" w:hAnsi="Arial"/>
                <w:sz w:val="18"/>
                <w:szCs w:val="18"/>
                <w:color w:val="0000FF"/>
                <w:w w:val="98"/>
              </w:rPr>
              <w:t>Selection of the Accounting Firm</w:t>
            </w:r>
          </w:p>
        </w:tc>
        <w:tc>
          <w:tcPr>
            <w:tcW w:w="6880" w:type="dxa"/>
            <w:vAlign w:val="bottom"/>
            <w:gridSpan w:val="19"/>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Policy on Audit Committee Pre-Approval of Audit and Permissible Non-Audit Services of Independent Registered</w:t>
            </w: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88"/>
        </w:trPr>
        <w:tc>
          <w:tcPr>
            <w:tcW w:w="8960" w:type="dxa"/>
            <w:vAlign w:val="bottom"/>
            <w:tcBorders>
              <w:top w:val="single" w:sz="8" w:color="0000FF"/>
            </w:tcBorders>
            <w:gridSpan w:val="27"/>
            <w:vMerge w:val="restart"/>
          </w:tcPr>
          <w:p>
            <w:pPr>
              <w:spacing w:after="0" w:line="196" w:lineRule="exact"/>
              <w:rPr>
                <w:sz w:val="20"/>
                <w:szCs w:val="20"/>
                <w:color w:val="auto"/>
              </w:rPr>
            </w:pPr>
            <w:r>
              <w:rPr>
                <w:rFonts w:ascii="Arial" w:cs="Arial" w:eastAsia="Arial" w:hAnsi="Arial"/>
                <w:sz w:val="18"/>
                <w:szCs w:val="18"/>
                <w:color w:val="0000FF"/>
              </w:rPr>
              <w:t>Public Accounting Firm</w:t>
            </w:r>
          </w:p>
        </w:tc>
        <w:tc>
          <w:tcPr>
            <w:tcW w:w="520" w:type="dxa"/>
            <w:vAlign w:val="bottom"/>
            <w:gridSpan w:val="2"/>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960" w:type="dxa"/>
            <w:vAlign w:val="bottom"/>
            <w:tcBorders>
              <w:top w:val="single" w:sz="8" w:color="0000FF"/>
            </w:tcBorders>
            <w:gridSpan w:val="27"/>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Principal Accountant Fees and Services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gridSpan w:val="9"/>
          </w:tcPr>
          <w:p>
            <w:pPr>
              <w:spacing w:after="0"/>
              <w:rPr>
                <w:sz w:val="20"/>
                <w:szCs w:val="20"/>
                <w:color w:val="auto"/>
              </w:rPr>
            </w:pPr>
            <w:r>
              <w:rPr>
                <w:rFonts w:ascii="Arial" w:cs="Arial" w:eastAsia="Arial" w:hAnsi="Arial"/>
                <w:sz w:val="18"/>
                <w:szCs w:val="18"/>
                <w:color w:val="0000FF"/>
                <w:w w:val="98"/>
              </w:rPr>
              <w:t>AUDIT COMMITTEE REPORT</w:t>
            </w:r>
          </w:p>
        </w:tc>
        <w:tc>
          <w:tcPr>
            <w:tcW w:w="680" w:type="dxa"/>
            <w:vAlign w:val="bottom"/>
            <w:gridSpan w:val="5"/>
          </w:tcPr>
          <w:p>
            <w:pPr>
              <w:spacing w:after="0"/>
              <w:rPr>
                <w:sz w:val="21"/>
                <w:szCs w:val="21"/>
                <w:color w:val="auto"/>
              </w:rPr>
            </w:pP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EQUITY COMPENSATION PLAN INFORMATION</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QUESTIONS AND ANSWERS ABOUT THE PROXY MATERIALS AND THE ANNUAL MEETING</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5160" w:type="dxa"/>
            <w:vAlign w:val="bottom"/>
            <w:gridSpan w:val="15"/>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gridSpan w:val="2"/>
          </w:tcPr>
          <w:p>
            <w:pPr>
              <w:spacing w:after="0"/>
              <w:rPr>
                <w:sz w:val="20"/>
                <w:szCs w:val="20"/>
                <w:color w:val="auto"/>
              </w:rPr>
            </w:pPr>
            <w:r>
              <w:rPr>
                <w:rFonts w:ascii="Arial" w:cs="Arial" w:eastAsia="Arial" w:hAnsi="Arial"/>
                <w:sz w:val="18"/>
                <w:szCs w:val="18"/>
                <w:color w:val="0000FF"/>
                <w:w w:val="98"/>
              </w:rPr>
              <w:t>OTHER MATTERS</w:t>
            </w:r>
          </w:p>
        </w:tc>
        <w:tc>
          <w:tcPr>
            <w:tcW w:w="6220" w:type="dxa"/>
            <w:vAlign w:val="bottom"/>
            <w:gridSpan w:val="23"/>
          </w:tcPr>
          <w:p>
            <w:pPr>
              <w:spacing w:after="0"/>
              <w:rPr>
                <w:sz w:val="21"/>
                <w:szCs w:val="21"/>
                <w:color w:val="auto"/>
              </w:rPr>
            </w:pPr>
          </w:p>
        </w:tc>
        <w:tc>
          <w:tcPr>
            <w:tcW w:w="1720" w:type="dxa"/>
            <w:vAlign w:val="bottom"/>
            <w:gridSpan w:val="4"/>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Annex A – Non-GAAP Measures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w w:val="92"/>
              </w:rPr>
              <w:t>A-1</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763" w:right="1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5"/>
          <w:szCs w:val="25"/>
          <w:b w:val="1"/>
          <w:bCs w:val="1"/>
          <w:color w:val="EF3A35"/>
        </w:rPr>
        <w:t>FORWARD-LOOKING STATEMENTS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and Section 21E of the Securities Exchange Act of 1934, as amended, with respect to Shutterstock, Inc.’s (“Shutterstock,” “we,” “us,” or the “Company”) plans, intentions, expectations, assumptions, goals and beliefs regarding its business, including the expected benefits, timing and completion of the proposed Merger. All statements other than statements of historical fact are forward-looking statements. Examples of forward-looking statements include, but are not limited to, statements regarding our proposed Merger, future business, our ability to consummate other acquisitions and integrate the businesses we have acquired or may acquire into our existing operations, management strategies and our competitive position.</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can identify many forward-looking statements by words such as “may,” “will,” “would,” “should,” “could,” “expects,” “aims,” “anticipates,” “believes,” “estimates,” “intends,” “plans,” “predicts,” “projects,” “seeks,” “potential,” “opportunities,” “targets,” “goals,” and other similar expressions and the negatives of such expressions. However, not all forward-looking statements contain these words.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Forward-looking statements are subject to known and unknown risks, uncertainties and other factors that could cause actual results to differ materially from those expressed or implied in the forward-looking statements. Important factors that could cause actual results to differ materially include, among other things, risks related to the closing of our propose Merger and those factors discussed under “Risk Factors” in our Annual Report on Form 10-K filed with the Securities and Exchange Commission on February 25, 2025, and our Form 10-K/A filed on March 28, 2025, as supplemented from time to time. Given these and other risks and uncertainties, you should not place undue reliance on any forward-looking statements.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forward-looking statements contained in this Proxy Statement speak only as of the date of this Proxy Statement. We do not intend, and except as required by law, undertake no obligation, to update any forward-looking statements as a result of new information, future events or otherwise. All subsequent written and oral forward-looking statements attributable to the Company or persons acting on its behalf are expressly qualified in their entirety by the cautionary statements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8" w:name="page9"/>
    <w:bookmarkEnd w:id="8"/>
    <w:p>
      <w:pPr>
        <w:ind w:left="1360"/>
        <w:spacing w:after="0"/>
        <w:rPr>
          <w:sz w:val="20"/>
          <w:szCs w:val="20"/>
          <w:color w:val="auto"/>
        </w:rPr>
      </w:pPr>
      <w:r>
        <w:rPr>
          <w:rFonts w:ascii="Arial" w:cs="Arial" w:eastAsia="Arial" w:hAnsi="Arial"/>
          <w:sz w:val="25"/>
          <w:szCs w:val="25"/>
          <w:b w:val="1"/>
          <w:bCs w:val="1"/>
          <w:color w:val="EF3A35"/>
        </w:rPr>
        <w:t>DIRECTORS, EXECUTIVE OFFICERS AND 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Directors and Executive Officers</w:t>
      </w:r>
    </w:p>
    <w:p>
      <w:pPr>
        <w:spacing w:after="0" w:line="1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names of our directors and executive officers and their ages, positions and biographies as of November 20, 2025 are set forth below. Our business and affairs are managed under the oversight of our Board of Directors, and our executive officers are appointed by and serve at the discretion of our Board of Directors. There are no family relationships among our directors or executive officers.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Age</w:t>
            </w:r>
          </w:p>
        </w:tc>
        <w:tc>
          <w:tcPr>
            <w:tcW w:w="85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41"/>
        </w:trPr>
        <w:tc>
          <w:tcPr>
            <w:tcW w:w="1760" w:type="dxa"/>
            <w:vAlign w:val="bottom"/>
          </w:tcPr>
          <w:p>
            <w:pPr>
              <w:ind w:left="20"/>
              <w:spacing w:after="0"/>
              <w:rPr>
                <w:sz w:val="20"/>
                <w:szCs w:val="20"/>
                <w:color w:val="auto"/>
              </w:rPr>
            </w:pPr>
            <w:r>
              <w:rPr>
                <w:rFonts w:ascii="Arial" w:cs="Arial" w:eastAsia="Arial" w:hAnsi="Arial"/>
                <w:sz w:val="18"/>
                <w:szCs w:val="18"/>
                <w:color w:val="auto"/>
              </w:rPr>
              <w:t>Jonathan Oringer</w:t>
            </w:r>
          </w:p>
        </w:tc>
        <w:tc>
          <w:tcPr>
            <w:tcW w:w="880" w:type="dxa"/>
            <w:vAlign w:val="bottom"/>
          </w:tcPr>
          <w:p>
            <w:pPr>
              <w:ind w:left="300"/>
              <w:spacing w:after="0"/>
              <w:rPr>
                <w:sz w:val="20"/>
                <w:szCs w:val="20"/>
                <w:color w:val="auto"/>
              </w:rPr>
            </w:pPr>
            <w:r>
              <w:rPr>
                <w:rFonts w:ascii="Arial" w:cs="Arial" w:eastAsia="Arial" w:hAnsi="Arial"/>
                <w:sz w:val="18"/>
                <w:szCs w:val="18"/>
                <w:color w:val="auto"/>
              </w:rPr>
              <w:t>51</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Founder and Executive Chairman of the Board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Rachna Bhasin</w:t>
            </w:r>
          </w:p>
        </w:tc>
        <w:tc>
          <w:tcPr>
            <w:tcW w:w="880" w:type="dxa"/>
            <w:vAlign w:val="bottom"/>
          </w:tcPr>
          <w:p>
            <w:pPr>
              <w:ind w:left="300"/>
              <w:spacing w:after="0"/>
              <w:rPr>
                <w:sz w:val="20"/>
                <w:szCs w:val="20"/>
                <w:color w:val="auto"/>
              </w:rPr>
            </w:pPr>
            <w:r>
              <w:rPr>
                <w:rFonts w:ascii="Arial" w:cs="Arial" w:eastAsia="Arial" w:hAnsi="Arial"/>
                <w:sz w:val="18"/>
                <w:szCs w:val="18"/>
                <w:color w:val="auto"/>
              </w:rPr>
              <w:t>53</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Deirdre Bigley</w:t>
            </w:r>
          </w:p>
        </w:tc>
        <w:tc>
          <w:tcPr>
            <w:tcW w:w="880" w:type="dxa"/>
            <w:vAlign w:val="bottom"/>
          </w:tcPr>
          <w:p>
            <w:pPr>
              <w:ind w:left="300"/>
              <w:spacing w:after="0"/>
              <w:rPr>
                <w:sz w:val="20"/>
                <w:szCs w:val="20"/>
                <w:color w:val="auto"/>
              </w:rPr>
            </w:pPr>
            <w:r>
              <w:rPr>
                <w:rFonts w:ascii="Arial" w:cs="Arial" w:eastAsia="Arial" w:hAnsi="Arial"/>
                <w:sz w:val="18"/>
                <w:szCs w:val="18"/>
                <w:color w:val="auto"/>
              </w:rPr>
              <w:t>61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Thomas R. Evans</w:t>
            </w:r>
          </w:p>
        </w:tc>
        <w:tc>
          <w:tcPr>
            <w:tcW w:w="880" w:type="dxa"/>
            <w:vAlign w:val="bottom"/>
          </w:tcPr>
          <w:p>
            <w:pPr>
              <w:ind w:left="300"/>
              <w:spacing w:after="0"/>
              <w:rPr>
                <w:sz w:val="20"/>
                <w:szCs w:val="20"/>
                <w:color w:val="auto"/>
              </w:rPr>
            </w:pPr>
            <w:r>
              <w:rPr>
                <w:rFonts w:ascii="Arial" w:cs="Arial" w:eastAsia="Arial" w:hAnsi="Arial"/>
                <w:sz w:val="18"/>
                <w:szCs w:val="18"/>
                <w:color w:val="auto"/>
              </w:rPr>
              <w:t>71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Paul J. Hennessy</w:t>
            </w:r>
          </w:p>
        </w:tc>
        <w:tc>
          <w:tcPr>
            <w:tcW w:w="880" w:type="dxa"/>
            <w:vAlign w:val="bottom"/>
          </w:tcPr>
          <w:p>
            <w:pPr>
              <w:ind w:left="300"/>
              <w:spacing w:after="0"/>
              <w:rPr>
                <w:sz w:val="20"/>
                <w:szCs w:val="20"/>
                <w:color w:val="auto"/>
              </w:rPr>
            </w:pPr>
            <w:r>
              <w:rPr>
                <w:rFonts w:ascii="Arial" w:cs="Arial" w:eastAsia="Arial" w:hAnsi="Arial"/>
                <w:sz w:val="18"/>
                <w:szCs w:val="18"/>
                <w:color w:val="auto"/>
              </w:rPr>
              <w:t>61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880" w:type="dxa"/>
            <w:vAlign w:val="bottom"/>
          </w:tcPr>
          <w:p>
            <w:pPr>
              <w:ind w:left="300"/>
              <w:spacing w:after="0"/>
              <w:rPr>
                <w:sz w:val="20"/>
                <w:szCs w:val="20"/>
                <w:color w:val="auto"/>
              </w:rPr>
            </w:pPr>
            <w:r>
              <w:rPr>
                <w:rFonts w:ascii="Arial" w:cs="Arial" w:eastAsia="Arial" w:hAnsi="Arial"/>
                <w:sz w:val="18"/>
                <w:szCs w:val="18"/>
                <w:color w:val="auto"/>
              </w:rPr>
              <w:t>53</w:t>
            </w:r>
          </w:p>
        </w:tc>
        <w:tc>
          <w:tcPr>
            <w:tcW w:w="858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Jaime Teevan</w:t>
            </w:r>
          </w:p>
        </w:tc>
        <w:tc>
          <w:tcPr>
            <w:tcW w:w="880" w:type="dxa"/>
            <w:vAlign w:val="bottom"/>
          </w:tcPr>
          <w:p>
            <w:pPr>
              <w:ind w:left="300"/>
              <w:spacing w:after="0"/>
              <w:rPr>
                <w:sz w:val="20"/>
                <w:szCs w:val="20"/>
                <w:color w:val="auto"/>
              </w:rPr>
            </w:pPr>
            <w:r>
              <w:rPr>
                <w:rFonts w:ascii="Arial" w:cs="Arial" w:eastAsia="Arial" w:hAnsi="Arial"/>
                <w:sz w:val="18"/>
                <w:szCs w:val="18"/>
                <w:color w:val="auto"/>
              </w:rPr>
              <w:t>49</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Alfonse Upshaw</w:t>
            </w:r>
          </w:p>
        </w:tc>
        <w:tc>
          <w:tcPr>
            <w:tcW w:w="880" w:type="dxa"/>
            <w:vAlign w:val="bottom"/>
          </w:tcPr>
          <w:p>
            <w:pPr>
              <w:ind w:left="300"/>
              <w:spacing w:after="0"/>
              <w:rPr>
                <w:sz w:val="20"/>
                <w:szCs w:val="20"/>
                <w:color w:val="auto"/>
              </w:rPr>
            </w:pPr>
            <w:r>
              <w:rPr>
                <w:rFonts w:ascii="Arial" w:cs="Arial" w:eastAsia="Arial" w:hAnsi="Arial"/>
                <w:sz w:val="18"/>
                <w:szCs w:val="18"/>
                <w:color w:val="auto"/>
              </w:rPr>
              <w:t>56</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bl>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Jonathan Oringer </w:t>
      </w:r>
      <w:r>
        <w:rPr>
          <w:rFonts w:ascii="Arial" w:cs="Arial" w:eastAsia="Arial" w:hAnsi="Arial"/>
          <w:sz w:val="18"/>
          <w:szCs w:val="18"/>
          <w:color w:val="auto"/>
        </w:rPr>
        <w:t>has served as our Executive Chairman of the Board since April 2020. Prior to assuming the role of Executive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Oringer served as Chief Executive Officer since the founding the Company in 2003. Prior to founding Shutterstock, Mr. Oringer served as a director of several private companies. Mr. Oringer served on the Columbia Engineering Board of Visitors from 2019 to June 2025.</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Mr. Oringer holds a B.S. in computer science and mathematics from State University of New York at Stony Brook and an M.S. in computer science from Columbia University.</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 xml:space="preserve">Rachna Bhasin </w:t>
      </w:r>
      <w:r>
        <w:rPr>
          <w:rFonts w:ascii="Arial" w:cs="Arial" w:eastAsia="Arial" w:hAnsi="Arial"/>
          <w:sz w:val="18"/>
          <w:szCs w:val="18"/>
          <w:color w:val="auto"/>
        </w:rPr>
        <w:t>has served as a member of our Board since August 2019. Ms. Bhasin is the Founder/CEO of EQ Partners, a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consulting and investment company serving early-stage companies in the areas of technology and media. Ms. Bhasin was Chief Business Officer of Magic Leap, Inc., a spatial computing company, from October 2015 through January 2019 and prior to that, served as SVP, Corporate Strategy and Business Development at SiriusXM Radio, Inc. from November 2010 through October 2015. Ms. Bhasin also held positions at Dell, Inc., where Ms. Bhasin led the company’s consumer strategic partnership and personalization, and at EMI Music North America as Vice President of Business Development. Since March 2016, Ms. Bhasin has served as an Independent Director for Ryman Hospitality Properties (NYSE: RHP), a hotel, resort, entertainment and media company, where Ms. Bhasin serves on the Human Resources Committee and Chairs the Risk Committee. Ms. Bhasin is a member of the Board of Directors of Audiomack, a private company providing a music streaming and audio distribution platform, and is a Senior Advisor to Alignment Growth Capital, a fund that invests globally in growth-stage companies across media, entertainment and gaming. Ms. Bhasin joined the Board of Directors of Lotus House Sundari Foundation, Inc., a nonprofit organization that provides shelter and resources to homeless women and children, in December 2024. Ms. Bhasin joined the board of Valocity, a global technology company that provides digital solutions for the property valuation and mortgage lending industries, in May 2025. Ms. Bhasin served as an Independent Director for PropertyGuru (NYSE: PGRU), a South East Asian Property Platform, where Ms. Bhasin served on the Audit Committee, from August 2021 through December 2024 and on the Special Committee as it was taken private. Ms. Bhasin also served as a member of the Board of Directors for Newlab, who help commercialize and scale the critical technologies needed to decarbonize the economy, from June 2023 to December 2024. Ms. Bhasin holds a Bachelor of Commerce and Administration with Honors from the Victoria University of Wellington in New Zealand and an M.B.A. from Harvard Business School.</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Deirdre Bigley </w:t>
      </w:r>
      <w:r>
        <w:rPr>
          <w:rFonts w:ascii="Arial" w:cs="Arial" w:eastAsia="Arial" w:hAnsi="Arial"/>
          <w:sz w:val="18"/>
          <w:szCs w:val="18"/>
          <w:color w:val="auto"/>
        </w:rPr>
        <w:t>has served as a member of our Board since May 2016. Ms. Bigley was with Bloomberg, L.P., a global business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and news leader, joining in 2009 and serving as the Chief Marketing Officer from 2013 to 2021. Prior to joining Bloomberg, L.P., Ms. Bigley spent thirteen years at International Business Machines Corporation (IBM), serving in several capacities, including Vice President of Worldwide Advertising and Interactive, and Vice President of Worldwide Brand. Ms. Bigley serves on the Boards of: Wix.com, a cloud-based development platform, since November 2017 and Sportradar, a sports betting and sports entertainment company, since April 2021. Ms. Bigley served as a director of Taboola, an advertising company that powers recommendations for the open web, from April 2021 to June 2025. Ms. Bigley holds a B.A. in English from West Chester University.</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Thomas R. Evans </w:t>
      </w:r>
      <w:r>
        <w:rPr>
          <w:rFonts w:ascii="Arial" w:cs="Arial" w:eastAsia="Arial" w:hAnsi="Arial"/>
          <w:sz w:val="18"/>
          <w:szCs w:val="18"/>
          <w:color w:val="auto"/>
        </w:rPr>
        <w:t>has served as a member of our Board since March 2012. From January 2014 through December 2015, Mr. Evans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Advisor to the Board of Bankrate, Inc., a leading aggregator of financial rate information, and from March 2004 until December 2013, when he retired, Mr. Evans served as 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9" w:name="page10"/>
    <w:bookmarkEnd w:id="9"/>
    <w:p>
      <w:pPr>
        <w:ind w:right="80"/>
        <w:spacing w:after="0" w:line="254" w:lineRule="auto"/>
        <w:rPr>
          <w:sz w:val="20"/>
          <w:szCs w:val="20"/>
          <w:color w:val="auto"/>
        </w:rPr>
      </w:pPr>
      <w:r>
        <w:rPr>
          <w:rFonts w:ascii="Arial" w:cs="Arial" w:eastAsia="Arial" w:hAnsi="Arial"/>
          <w:sz w:val="18"/>
          <w:szCs w:val="18"/>
          <w:color w:val="auto"/>
        </w:rPr>
        <w:t>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of ANGI Homeservices Inc. and serves as a member of its Audit Committee and Chairman of its Compensation Committee. Mr. Evans also serves as a director and the Executive Chairman of Torticity, an end-to-end technology-driven online service for litigation law firms. From February 2021 to 2023, Mr. Evans also served as a director of G Squared Ascend I Inc., a special purpose acquisition company, and served as a member of its Audit, Compensation and Nominating and Corporate Governance Committees. Mr. Evans also served as a director of The Knot Worldwide from February 2018 until December 2024. Mr. Evans holds a B.S. in business administration from Arizona State University.</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our Chief Executive Officer since July 2022 and as a member of our Board since April 2015. From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May 2022, Mr. Hennessy served as Chief Executive 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Since April 2023, Mr. Hennessy has served on the board of directors of Aledade, Inc., the nation’s largest network of independent primary care. Mr. Hennessy is also a member of the board of directors of TickPick, the modern transparent ticket marketplace transforming the event ticketing industry, as of January 2025. Mr. Hennessy is also a member of the Board of Directors of Liquidity Services, a B2B e-commerce marketplace platform for surplus assets, and serves as a member of its Audit and Corporate Governance and Nominating Committees as of October 2025. Mr. Hennessy holds a B.S. in marketing management from Dominican College and an M.B.A. from Long Island University.</w:t>
      </w:r>
    </w:p>
    <w:p>
      <w:pPr>
        <w:spacing w:after="0" w:line="7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Rik Powell </w:t>
      </w:r>
      <w:r>
        <w:rPr>
          <w:rFonts w:ascii="Arial" w:cs="Arial" w:eastAsia="Arial" w:hAnsi="Arial"/>
          <w:sz w:val="18"/>
          <w:szCs w:val="18"/>
          <w:color w:val="auto"/>
        </w:rPr>
        <w:t>has served as our Chief Financial Officer since November 2024. Prior to joining the Company, Mr. Powell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Finance 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Powell held various finance roles at Dell Computer Corporation and HP Inc. and started his career at Grant Thornton LLP. Mr. Powell is from Oxford in the United Kingdom and has been a Fellow of the UK Chartered Association of Certified Accountants for a number of years.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Jaime Teevan </w:t>
      </w:r>
      <w:r>
        <w:rPr>
          <w:rFonts w:ascii="Arial" w:cs="Arial" w:eastAsia="Arial" w:hAnsi="Arial"/>
          <w:sz w:val="18"/>
          <w:szCs w:val="18"/>
          <w:color w:val="auto"/>
        </w:rPr>
        <w:t>has served as a member of our Board since July 2024. Recognized globally for her contributions to productivity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search, Dr. Teevan’s work has earned her a spot on TIME Magazine’s list of the top 100 influential figures in AI. As Microsoft's Chief Scientist and Technical Fellow, her career is distinguished by pioneering product innovations that are deeply rooted in rigorous research. Dr. Teevan spearheaded the creation of M365 Copilot, integrating AI into Microsoft’s suite of products, and is credited with inventing Bing’s first personalized search algorithm. Prior to her current role, Dr. Teevan was the Technical Advisor to Microsoft CEO Satya Nadella. Dr. Teevan is an elected ACM Fellow and member of the prestigious SIGIR and CHI Academies. Dr. Teevan holds a Ph.D. in AI from MIT and a B.S. from Yale University, and is an Affiliate Professor at the University of Washington. Dr. Teevan has served on the Board of Trustees of Yale University since July 2025. Dr. Teevan served on the board of the Computing Research Association, which plays a crucial role in shaping the future of computing research and influencing policy decisions until July 2025.</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Alfonse Upshaw </w:t>
      </w:r>
      <w:r>
        <w:rPr>
          <w:rFonts w:ascii="Arial" w:cs="Arial" w:eastAsia="Arial" w:hAnsi="Arial"/>
          <w:sz w:val="18"/>
          <w:szCs w:val="18"/>
          <w:color w:val="auto"/>
        </w:rPr>
        <w:t>has served as a member of our Board since December 2020. Mr. Upshaw is Senior Vice President and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Northern California Market for Kaiser Foundation Health Plans and Hospitals (Kaiser Permanente). Mr. Upshaw also served as Senior Vice President, Corporate Controller &amp; Chief Accounting Officer for Kaiser Permanente until January 2022. Previously, Mr. Upshaw was an audit partner with Deloitte where he served Fortune 500 public as well as high growth private clients in a variety of industries. Mr. Upshaw has served on not-for-profit boards and several advisory committees including the Black Directors Health Equity Agenda, Inc., Kennedy-King Memorial Scholarship Foundation, the UC Berkeley Center for Financial Reporting and Management, and the American Heart Association Research Roundtable. Mr. Upshaw holds a B.S. in Business Administration from the University of California, Berkeley. Mr. Upshaw is a lifetime member of the National Association of Black Accountants,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EF3A35"/>
        </w:rPr>
        <w:t>Board Structure, Director Nominations and Qualifications</w:t>
      </w:r>
    </w:p>
    <w:p>
      <w:pPr>
        <w:spacing w:after="0" w:line="1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is divided into three classes for purposes of election. One class is elected at each Annual Meeting of Stockholders to serve for a three-year term. The directors are classified into three classes as follows: Jonathan Oringer, Rachna Bhasin and Jaime Teevan each serve as a Class I director with a term ending at the 2025 Annual Meeting of Stockholders; Deirdre Bigley and Alfonse Upshaw each serve as a Class II director with a term ending at the 2026 Annual Meeting of Stockholders; and Thomas R. Evans and Paul J. Hennessy each serve as a Class III director with a term ending at the 2027 Annual Meeting of Stockholders.</w:t>
      </w:r>
    </w:p>
    <w:p>
      <w:pPr>
        <w:spacing w:after="0" w:line="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Nominating and Corporate Governance Committee is charged with identifying, evaluating and recommending director nominees to the full Board, as well as considering candidates for election to the Board recommended by stockholders. In evaluating the suitability of individual Board members, the Nominating and Corporate Governance Committee takes into account many factors, including international business experience; experience in industries beyond technology; financial experience and a good reputation within the financial community; business management experience and the potential to succeed top management in the event Board intervention is necessary on an unexpected basis; business contacts, business knowledge and influence that may be useful to our business and product lines; and knowledge about our industries and technologies. The Nominating and Corporate Governance Committee will also factor into its determination the following qualities with respect to potential director nominees:</w:t>
      </w:r>
    </w:p>
    <w:p>
      <w:pPr>
        <w:spacing w:after="0" w:line="131" w:lineRule="exact"/>
        <w:rPr>
          <w:sz w:val="20"/>
          <w:szCs w:val="20"/>
          <w:color w:val="auto"/>
        </w:rPr>
      </w:pPr>
    </w:p>
    <w:p>
      <w:pPr>
        <w:ind w:left="700" w:hanging="31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for integrity, honesty and adherence to high ethical standards;</w:t>
      </w:r>
    </w:p>
    <w:p>
      <w:pPr>
        <w:spacing w:after="0" w:line="63" w:lineRule="exact"/>
        <w:rPr>
          <w:rFonts w:ascii="Arial" w:cs="Arial" w:eastAsia="Arial" w:hAnsi="Arial"/>
          <w:sz w:val="18"/>
          <w:szCs w:val="18"/>
          <w:color w:val="auto"/>
        </w:rPr>
      </w:pPr>
    </w:p>
    <w:p>
      <w:pPr>
        <w:jc w:val="both"/>
        <w:ind w:left="700" w:right="600" w:hanging="314"/>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business acumen, experience and ability to exercise sound judgments in matters that relate to the current and long-term objectives of the Company and willingness and ability to contribute positively to the decision-making process of the Company;</w:t>
      </w:r>
    </w:p>
    <w:p>
      <w:pPr>
        <w:spacing w:after="0" w:line="8" w:lineRule="exact"/>
        <w:rPr>
          <w:rFonts w:ascii="Arial" w:cs="Arial" w:eastAsia="Arial" w:hAnsi="Arial"/>
          <w:sz w:val="18"/>
          <w:szCs w:val="18"/>
          <w:color w:val="auto"/>
        </w:rPr>
      </w:pPr>
    </w:p>
    <w:p>
      <w:pPr>
        <w:ind w:left="700" w:right="440" w:hanging="314"/>
        <w:spacing w:after="0" w:line="281"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commitment to understand the Company and its industry and to regularly attend and participate in meetings of the Board and its committees;</w:t>
      </w:r>
    </w:p>
    <w:p>
      <w:pPr>
        <w:spacing w:after="0" w:line="1" w:lineRule="exact"/>
        <w:rPr>
          <w:rFonts w:ascii="Arial" w:cs="Arial" w:eastAsia="Arial" w:hAnsi="Arial"/>
          <w:sz w:val="18"/>
          <w:szCs w:val="18"/>
          <w:color w:val="auto"/>
        </w:rPr>
      </w:pPr>
    </w:p>
    <w:p>
      <w:pPr>
        <w:ind w:left="700" w:right="480" w:hanging="314"/>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and ability to understand the sometimes-conflicting interests of the various constituencies of the Company, which include stockholders, employees, customers, contributors and the general public, and to act in the interests of all stockholders; and</w:t>
      </w:r>
    </w:p>
    <w:p>
      <w:pPr>
        <w:spacing w:after="0" w:line="8" w:lineRule="exact"/>
        <w:rPr>
          <w:rFonts w:ascii="Arial" w:cs="Arial" w:eastAsia="Arial" w:hAnsi="Arial"/>
          <w:sz w:val="18"/>
          <w:szCs w:val="18"/>
          <w:color w:val="auto"/>
        </w:rPr>
      </w:pPr>
    </w:p>
    <w:p>
      <w:pPr>
        <w:ind w:left="700" w:right="400" w:hanging="314"/>
        <w:spacing w:after="0" w:line="28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actual or perceived conflict of interests that would impair the nominee’s ability to represent the interests of all the Company’s stockholders and to fulfill the responsibilities of a director.</w:t>
      </w:r>
    </w:p>
    <w:p>
      <w:pPr>
        <w:spacing w:after="0" w:line="16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color w:val="auto"/>
        </w:rPr>
        <w:t>In determining whether to recommend a director for re-election, the Nominating and Corporate Governance Committee also considers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director’s past attendance at meetings and participation in and contributions to the activities of the Board as well as the director’s service on the boards of other public companies to ensure that the director can carry out director duties in a responsible manner. Upon determining the need for additional or replacement Board members, the Nominating and Corporate Governance Committee will identify one or more director candidates and evaluate each candidate under the criteria described above based on information provided to the committee by the Company or a third-party or may also include discussions with persons familiar with the candidate, an interview of the candidate or other actions the committee deems appropriate. Based on its assessment of each candidate’s independence, skills and qualifications and the criteria described above, the Nominating and Corporate Governance Committee will make recommendations regarding potential director candidates to the Board. The Nominating and Corporate Governance Committee may consult with management or engage third parties to assist in the search for director candidates or to assist in gathering information regarding a candidate’s background and experience.</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adopted a director resignation policy, pursuant to which any nominee for director who, in an uncontested election, receives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Board, upon the recommendation of the Nominating and Corporate Governance Committee, has voted to nominate Mr. Oringer, Ms. Bhasin, and Dr. Teevan for election to the Board as Class I directors at the 2025 Annual Meeting to serve for a term of three years until the 2028 Annual Meeting of Stockholders, or until their respective successors have been elected and qualified or, if sooner, until their respective resignation or removal. Mr. Oringer, Ms. Bhasin, and Dr. Teevan are currently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EF3A35"/>
        </w:rPr>
        <w:t>Corporate Governance and Board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Business Conduct and Compliance</w:t>
      </w:r>
    </w:p>
    <w:p>
      <w:pPr>
        <w:spacing w:after="0" w:line="11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have a strong commitment to effective corporate governance and have in place a comprehensive corporate governance framework for our operations. We have adopted Corporate Governance Guidelines, which, in conjunction with our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our Bylaws, and charters of the standing committees of our Board, form the framework for our corporate governance.</w:t>
      </w:r>
    </w:p>
    <w:p>
      <w:pPr>
        <w:spacing w:after="0" w:line="6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also adopted a Code of Business Conduct and Ethics (“</w:t>
      </w:r>
      <w:r>
        <w:rPr>
          <w:rFonts w:ascii="Arial" w:cs="Arial" w:eastAsia="Arial" w:hAnsi="Arial"/>
          <w:sz w:val="18"/>
          <w:szCs w:val="18"/>
          <w:u w:val="single" w:color="auto"/>
          <w:color w:val="auto"/>
        </w:rPr>
        <w:t>Code of Ethics</w:t>
      </w:r>
      <w:r>
        <w:rPr>
          <w:rFonts w:ascii="Arial" w:cs="Arial" w:eastAsia="Arial" w:hAnsi="Arial"/>
          <w:sz w:val="18"/>
          <w:szCs w:val="18"/>
          <w:color w:val="auto"/>
        </w:rPr>
        <w:t>”), that applies to all of our directors, officers and employees, including our senior financial officers. Our Code of Ethics requires, among other things, that all of our directors, officers and employees comply with all laws, attempt to avoid conflicts of interest, conduct business in an honest and ethical manner and otherwise act with integrity and in the Company’s best interest. In addition, our Code of Ethics imposes obligations on all of our directors, officers and employees to maintain books, records, accounts and financial statements that are accurate and that comply with applicable laws and with our internal controls, as well as providing for disclosure controls and procedures.</w:t>
      </w:r>
    </w:p>
    <w:p>
      <w:pPr>
        <w:spacing w:after="0" w:line="7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maintain a corporate governance page on our website that includes key information about our corporate governance initiatives, including our Corporate Governance Guidelines and Code of Ethics. The corporate governance page can be found on our Investor Relations website at investor.shutterstock.com under the link for “Corporate Governance.” We will promptly post under the same link amendments to or waivers, if any, of our Code of Ethics, involving our directors and executive officers.</w:t>
      </w:r>
    </w:p>
    <w:p>
      <w:pPr>
        <w:spacing w:after="0" w:line="6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also maintain policies to ensure our operations not only are compliant with applicable law, the rules and regulations of the SEC, and the listing standards of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but also promote good corporate governance principles and standards of behavior. A summary of our corporate governance policies is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Insider Trading and Disclosure</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Company’s limitations regarding trading in Company securities and the handling</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of non-public material information.</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Whistleblower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procedures for the reporting of suspected misconduct, illegal activities or fraud,</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including any questionable accounting, internal accounting controls and auditing matters, or</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other violations of federal or state laws or the Code of Ethics and the receipt, treatment and</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investigation of such reports.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Related Person Transaction</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policies and procedures for reviewing, approving and ratifying proposed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transactions with directors, executive officers, significant stockholders or any other related</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persons.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Anti-Corruption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detailed guidance for our Board members, officers, employees and third parties acting</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on our behalf on prohibited actions under anti-bribery and anti-corruption laws.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Anti-Harassment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that all persons shall be treated with dignity and respect and shall not be subject to</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discriminatory practices and harassment and sets forth the policies and procedures for</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reporting and investigation suspected harassment.</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Corporate Communications</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guidelines on fair and complete disclosure of Company information to current and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and Disclosure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future stockholders, the investing public and the financial community to ensure compliance with</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SEC rules and regulations.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Economic Sanctions</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that all Company activities by directors, officers, employees and agents acting on</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Compliance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behalf of the Company comport fully with applicable embargoes and other economic sanctions</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requirements.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guidelines pursuant to which the Company may recover certain incentive-based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Clawback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compensation payments made to current and former executive officers if the Company is</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required to prepare an accounting restatement of its financial statements as a result of material</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noncompliance with any financial reporting requirements under the federal securities laws.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7"/>
          <w:szCs w:val="17"/>
          <w:b w:val="1"/>
          <w:bCs w:val="1"/>
          <w:color w:val="auto"/>
        </w:rPr>
        <w:t>Hedging Policy</w:t>
      </w:r>
    </w:p>
    <w:p>
      <w:pPr>
        <w:spacing w:after="0" w:line="20" w:lineRule="exact"/>
        <w:rPr>
          <w:sz w:val="20"/>
          <w:szCs w:val="20"/>
          <w:color w:val="auto"/>
        </w:rPr>
      </w:pPr>
      <w:r>
        <w:rPr>
          <w:sz w:val="20"/>
          <w:szCs w:val="20"/>
          <w:color w:val="auto"/>
        </w:rPr>
        <w:br w:type="column"/>
      </w:r>
    </w:p>
    <w:p>
      <w:pPr>
        <w:ind w:right="620"/>
        <w:spacing w:after="0" w:line="278" w:lineRule="auto"/>
        <w:rPr>
          <w:sz w:val="20"/>
          <w:szCs w:val="20"/>
          <w:color w:val="auto"/>
        </w:rPr>
      </w:pPr>
      <w:r>
        <w:rPr>
          <w:rFonts w:ascii="Arial" w:cs="Arial" w:eastAsia="Arial" w:hAnsi="Arial"/>
          <w:sz w:val="17"/>
          <w:szCs w:val="17"/>
          <w:color w:val="auto"/>
        </w:rPr>
        <w:t>Provides that all Company employees, officers and directors may not engage in (1) hedging or derivative transactions or any other speculative transactions (hedging or derivative actions include (i) “cashless” collars, (ii) forward contracts, (iii) equity swaps or (iv) other similar related transactions); (2) any transactions that suggest speculation in the Company’s Stock; or (3) any short sale, “sale against the box” or any equivalent transaction involving the Company’s stock.</w:t>
      </w:r>
    </w:p>
    <w:p>
      <w:pPr>
        <w:spacing w:after="0" w:line="2" w:lineRule="exact"/>
        <w:rPr>
          <w:sz w:val="20"/>
          <w:szCs w:val="20"/>
          <w:color w:val="auto"/>
        </w:rPr>
      </w:pPr>
    </w:p>
    <w:p>
      <w:pPr>
        <w:sectPr>
          <w:pgSz w:w="11900" w:h="16838" w:orient="portrait"/>
          <w:cols w:equalWidth="0" w:num="2">
            <w:col w:w="2360" w:space="720"/>
            <w:col w:w="8140"/>
          </w:cols>
          <w:pgMar w:left="320" w:top="931" w:right="35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Information Security Policy</w:t>
      </w:r>
    </w:p>
    <w:p>
      <w:pPr>
        <w:spacing w:after="0" w:line="20" w:lineRule="exact"/>
        <w:rPr>
          <w:sz w:val="20"/>
          <w:szCs w:val="20"/>
          <w:color w:val="auto"/>
        </w:rPr>
      </w:pPr>
      <w:r>
        <w:rPr>
          <w:sz w:val="20"/>
          <w:szCs w:val="20"/>
          <w:color w:val="auto"/>
        </w:rPr>
        <w:br w:type="column"/>
      </w:r>
    </w:p>
    <w:p>
      <w:pPr>
        <w:jc w:val="both"/>
        <w:ind w:right="1200"/>
        <w:spacing w:after="0" w:line="268" w:lineRule="auto"/>
        <w:rPr>
          <w:sz w:val="20"/>
          <w:szCs w:val="20"/>
          <w:color w:val="auto"/>
        </w:rPr>
      </w:pPr>
      <w:r>
        <w:rPr>
          <w:rFonts w:ascii="Arial" w:cs="Arial" w:eastAsia="Arial" w:hAnsi="Arial"/>
          <w:sz w:val="18"/>
          <w:szCs w:val="18"/>
          <w:color w:val="auto"/>
        </w:rPr>
        <w:t>Designed to ensure the safeguarding of all information in the Company’s possession in accordance with applicable law by establishing policies, practices, and procedures, and implementing technical, administrative, and physical measures, to protect it.</w:t>
      </w:r>
    </w:p>
    <w:p>
      <w:pPr>
        <w:spacing w:after="0" w:line="182" w:lineRule="exact"/>
        <w:rPr>
          <w:sz w:val="20"/>
          <w:szCs w:val="20"/>
          <w:color w:val="auto"/>
        </w:rPr>
      </w:pPr>
    </w:p>
    <w:p>
      <w:pPr>
        <w:sectPr>
          <w:pgSz w:w="11900" w:h="16838" w:orient="portrait"/>
          <w:cols w:equalWidth="0" w:num="2">
            <w:col w:w="2360" w:space="720"/>
            <w:col w:w="8140"/>
          </w:cols>
          <w:pgMar w:left="320" w:top="931" w:right="359" w:bottom="1440" w:gutter="0" w:footer="0" w:header="0"/>
          <w:type w:val="continuous"/>
        </w:sectPr>
      </w:pPr>
    </w:p>
    <w:p>
      <w:pPr>
        <w:ind w:right="200" w:firstLine="324"/>
        <w:spacing w:after="0" w:line="232" w:lineRule="auto"/>
        <w:rPr>
          <w:sz w:val="20"/>
          <w:szCs w:val="20"/>
          <w:color w:val="auto"/>
        </w:rPr>
      </w:pPr>
      <w:r>
        <w:rPr>
          <w:rFonts w:ascii="Arial" w:cs="Arial" w:eastAsia="Arial" w:hAnsi="Arial"/>
          <w:sz w:val="18"/>
          <w:szCs w:val="18"/>
          <w:color w:val="auto"/>
        </w:rPr>
        <w:t>A copy of any of the policies set forth above may be requested from the Corporate Secretary,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w:t>
      </w:r>
    </w:p>
    <w:p>
      <w:pPr>
        <w:spacing w:after="0" w:line="7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Ms. Bhasin, Mr. Evans, Dr. Teevan and Mr. Upshaw, representing five of our seven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addition, each committee of the Board is composed solely of independent directors, consistent with the applicable rules and regulations of the SEC and the listing requirements and rules of the NYSE.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17"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Our Corporate Governance Guidelines are designed to promote the functioning of the Board and its committees. These Guidelines address Board composition, Board functions and responsibilities, qualifications, leadership structure, committees and meetings.</w:t>
      </w:r>
    </w:p>
    <w:p>
      <w:pPr>
        <w:spacing w:after="0" w:line="4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Our Corporate Governance Guidelines do not indicate a particular Board structure, and the Board is given the flexibility to select its Chairman and our Chief Executive Officer in the manner that it believes is in the best interests of our stockholders. Following a thorough review by the Nominating and Corporate Governance Committee and the independent members of the Board as well as a multi-year discussion on Chief Executive Officer succession planning, the Board determined in February 2020 to separate the positions of Chairman and Chief Executive Officer and to create the role of Executive Chairman. As a result of Mr. Oringer’s status as Founder and his role and responsibilities as Executive Chairman, Mr. Oringer is not considered to be an independent Chairman. Since October 2014, the Board has appointed Mr. Evans as our “Presiding Director” to preside over non-management and executive sessions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Roles and Responsibilities</w:t>
      </w:r>
    </w:p>
    <w:p>
      <w:pPr>
        <w:spacing w:after="0" w:line="11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his role as Executive Chairman, Mr. Oringer focuses on the leadership of the Board, including ensuring that Board functions are effectively carried out and, where functions have been delegated to Committees of the Board, that the results are reported to the Board; ensuring that the interests of various stakeholders are considered by the Board; engaging with our Presiding Director to facilitate communication between management and the independent directors; providing input on the performance of the Chief Executive Officer and acting as primary spokesman for the Board.</w:t>
      </w:r>
    </w:p>
    <w:p>
      <w:pPr>
        <w:spacing w:after="0" w:line="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Oringer also meets regularly with Mr. Hennessy, our Chief Executive Officer, to advise and counsel across a wide range of issues; participates in discussions on the Company’s long-term growth, including discussions on strategic planning and capital allocation; is available to the executive leadership team and other management to provide feedback and advise, where needed; and works with Mr. Hennessy and management to drive key business relationships and growth.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Effective risk management is critical to our Company’s ability to achieve its strategy. The Board oversees management in exercising its responsibility for managing risk, considering our robust framework of policies, procedures, and processes to anticipate, identify, assess, prioritize, and mitigate risks across the Company. Responsibility for managing risk rests with executive management while the Board and its committees participate in oversight of the process. Specifically, the Board has responsibility for overseeing the strategic planning process, reviewing and monitoring management’s execution of the Company’s strategic and business plans, and selected risk areas. Each Board committee is responsible for oversight of specific risk areas relevant to their respective committee charter.</w:t>
      </w:r>
    </w:p>
    <w:p>
      <w:pPr>
        <w:spacing w:after="0" w:line="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oversight responsibility of the Board and its committees is informed by reports from our management team and our internal audit function that are designed to provide visibility to the Board about the identification and assessment of key risks and our risk mitigation strategies. Specifically, the Company has robust internal processes and an internal control environment that facilitate the identification and management of risks and regular communication with the Board and its committees. These include an enterprise risk management assessment, regular internal management Disclosure Committee meetings, a Code of Business Conduct and Ethics and a comprehensive internal and external audit process. The Board executes its oversight responsibility directly and through its committees, which regularly report back to the Board. Some examples of risks overseen by committees are:</w:t>
      </w:r>
    </w:p>
    <w:p>
      <w:pPr>
        <w:spacing w:after="0" w:line="129" w:lineRule="exact"/>
        <w:rPr>
          <w:sz w:val="20"/>
          <w:szCs w:val="20"/>
          <w:color w:val="auto"/>
        </w:rPr>
      </w:pPr>
    </w:p>
    <w:p>
      <w:pPr>
        <w:ind w:left="700" w:right="580" w:hanging="314"/>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oversees the enterprise risk process that management implements and reviews and assesses the Company’s processes to manage financial reporting risk and to manage internal audit, internal control over financial reporting and disclosure controls and procedures, tax, investment, and other financial risks, as well as the Company’s financial position and financial activities. The Board has also delegated oversight of information technology and cybersecurity risks to the Audit Committee.</w:t>
      </w:r>
    </w:p>
    <w:p>
      <w:pPr>
        <w:spacing w:after="0" w:line="17" w:lineRule="exact"/>
        <w:rPr>
          <w:rFonts w:ascii="Arial" w:cs="Arial" w:eastAsia="Arial" w:hAnsi="Arial"/>
          <w:sz w:val="18"/>
          <w:szCs w:val="18"/>
          <w:color w:val="auto"/>
        </w:rPr>
      </w:pPr>
    </w:p>
    <w:p>
      <w:pPr>
        <w:ind w:left="700" w:right="920" w:hanging="314"/>
        <w:spacing w:after="0" w:line="28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Compensation Committee oversees compensation programs, policies and practices and their effect on risk-taking by management.</w:t>
      </w:r>
    </w:p>
    <w:p>
      <w:pPr>
        <w:spacing w:after="0" w:line="1" w:lineRule="exact"/>
        <w:rPr>
          <w:rFonts w:ascii="Arial" w:cs="Arial" w:eastAsia="Arial" w:hAnsi="Arial"/>
          <w:sz w:val="18"/>
          <w:szCs w:val="18"/>
          <w:color w:val="auto"/>
        </w:rPr>
      </w:pPr>
    </w:p>
    <w:p>
      <w:pPr>
        <w:ind w:left="700" w:right="560" w:hanging="314"/>
        <w:spacing w:after="0" w:line="262"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manages risk by overseeing the governance framework and structure as well as other corporate governance matters, including oversight of the annual board and committee assessment process, and is charged with developing and recommending to the Board corporate governance principles and policies and Board committee structure, leadership and membership.</w:t>
      </w:r>
    </w:p>
    <w:p>
      <w:pPr>
        <w:spacing w:after="0" w:line="190" w:lineRule="exact"/>
        <w:rPr>
          <w:sz w:val="20"/>
          <w:szCs w:val="20"/>
          <w:color w:val="auto"/>
        </w:rPr>
      </w:pPr>
    </w:p>
    <w:p>
      <w:pPr>
        <w:ind w:right="1420" w:firstLine="324"/>
        <w:spacing w:after="0" w:line="375" w:lineRule="auto"/>
        <w:rPr>
          <w:sz w:val="20"/>
          <w:szCs w:val="20"/>
          <w:color w:val="auto"/>
        </w:rPr>
      </w:pPr>
      <w:r>
        <w:rPr>
          <w:rFonts w:ascii="Arial" w:cs="Arial" w:eastAsia="Arial" w:hAnsi="Arial"/>
          <w:sz w:val="18"/>
          <w:szCs w:val="18"/>
          <w:color w:val="auto"/>
        </w:rPr>
        <w:t xml:space="preserve">Each committee reports regularly to the Board with respect to such committee’s particular risk oversight responsibilities. </w:t>
      </w:r>
      <w:r>
        <w:rPr>
          <w:rFonts w:ascii="Arial" w:cs="Arial" w:eastAsia="Arial" w:hAnsi="Arial"/>
          <w:sz w:val="18"/>
          <w:szCs w:val="18"/>
          <w:b w:val="1"/>
          <w:bCs w:val="1"/>
          <w:i w:val="1"/>
          <w:iCs w:val="1"/>
          <w:color w:val="auto"/>
        </w:rPr>
        <w:t>Highlight on the Board Roles in Oversight of Human Capital Management</w:t>
      </w:r>
    </w:p>
    <w:p>
      <w:pPr>
        <w:spacing w:after="0" w:line="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Board has long recognized that our employees are some of our most important assets and is engaged with management on ensuring that our Company is an employer of choice for the most talented employees in our industry. While the full Board discusses human capital management with regard to its role in overseeing our overall long-term strategy, our Compensation Committee has responsibility for overseeing human capital management and our corporate culture.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 on the Board Roles in Oversight of Cybersecurity and Data Privacy</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and the Audit Committee are each involved in oversight of the Company’s management of cybersecurity risk. Cybersecurity is vital to protecting proprietary and confidential information and the trust of our customers, contributors and employees. To more effectively prevent, detect and respond to information security threats, the Company has a dedicated Chief Information Security Officer whose team is responsible for leading enterprise-wide information security strategy, policy, standards, architecture and processes. The Audit Committee receives regular reports from the then-current Chief Information Security Officer and Chief Technology Officer, as applicable, on, among other things, the Company’s cyber risks and threats, the status of projects to strengthen the Company’s information security systems, assessments of the Company’s security program and the emerging threat landscape. The Audit Committee regularly briefs the full Board on these matters. The Board and its committees also discuss recent incidents throughout the industry and the emerging threat landscape.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117"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color w:val="auto"/>
        </w:rPr>
        <w:t>Stockholders and other interested parties may communicate directly with the Board, with any director, including our Presiding Director, or with the independent directors as a group or any other group of directors by writing to our Corporate Secretary at Shutterstock, Inc., Attn: Corporate Secretary,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with a request to forward such communication to the intended recipient or recipients. Messages received with such a request will be forwarded to the appropriate director or directors. If the communication is addressed to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right="700"/>
        <w:spacing w:after="0" w:line="291" w:lineRule="auto"/>
        <w:rPr>
          <w:sz w:val="20"/>
          <w:szCs w:val="20"/>
          <w:color w:val="auto"/>
        </w:rPr>
      </w:pPr>
      <w:r>
        <w:rPr>
          <w:rFonts w:ascii="Arial" w:cs="Arial" w:eastAsia="Arial" w:hAnsi="Arial"/>
          <w:sz w:val="17"/>
          <w:szCs w:val="17"/>
          <w:color w:val="auto"/>
        </w:rPr>
        <w:t>Presiding Director, the communication will be forwarded directly to the Presiding Director and will not be processed by the Corporate Secretary. If no particular director is named, letters will be forwarded, depending upon the subject matter, to the Chair of the Audit, Compensation, or Nominating and Corporate Governance Committee, as the Corporate Secretary deems appropriate or necessary.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2024, the Board held 12 meetings and additionally took action on five occasions by unanimous written consent. Each of our directors attended, in person or by telephone, at least 75% of the total number of meetings of both the Board of Directors and Board committees on which such director served during the period. Under our Corporate Governance Guidelines, each of our directors is strongly encouraged to make every effort to attend our annual meetings. All but two of the directors serving at the time of the 2024 Annual Meeting of Stockholders attended the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15" w:lineRule="exact"/>
        <w:rPr>
          <w:sz w:val="20"/>
          <w:szCs w:val="20"/>
          <w:color w:val="auto"/>
        </w:rPr>
      </w:pPr>
    </w:p>
    <w:p>
      <w:pPr>
        <w:ind w:right="20" w:firstLine="324"/>
        <w:spacing w:after="0" w:line="318" w:lineRule="auto"/>
        <w:rPr>
          <w:sz w:val="20"/>
          <w:szCs w:val="20"/>
          <w:color w:val="auto"/>
        </w:rPr>
      </w:pPr>
      <w:r>
        <w:rPr>
          <w:rFonts w:ascii="Arial" w:cs="Arial" w:eastAsia="Arial" w:hAnsi="Arial"/>
          <w:sz w:val="17"/>
          <w:szCs w:val="17"/>
          <w:color w:val="auto"/>
        </w:rPr>
        <w:t>Executive sessions of our independent directors are generally held in connection with regularly scheduled Board meetings and are chaired by our Presiding Director. Our standing committees also generally meet in executive sessions at the end of each committee meeting.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2024, our Board had three standing committees: an Audit Committee, a Compensation Committee, and a Nominating and Corporate Governance Committee. Each of these committees operates under a written charter approved by the Board, copies of which are available on our website at investor.shutterstock.com. These committees currently comprise the following independent members: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Nominating and</w:t>
            </w:r>
          </w:p>
        </w:tc>
      </w:tr>
      <w:tr>
        <w:trPr>
          <w:trHeight w:val="202"/>
        </w:trPr>
        <w:tc>
          <w:tcPr>
            <w:tcW w:w="28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80" w:type="dxa"/>
            <w:vAlign w:val="bottom"/>
          </w:tcPr>
          <w:p>
            <w:pPr>
              <w:spacing w:after="0"/>
              <w:rPr>
                <w:sz w:val="16"/>
                <w:szCs w:val="16"/>
                <w:color w:val="auto"/>
              </w:rPr>
            </w:pPr>
          </w:p>
        </w:tc>
        <w:tc>
          <w:tcPr>
            <w:tcW w:w="2600" w:type="dxa"/>
            <w:vAlign w:val="bottom"/>
          </w:tcPr>
          <w:p>
            <w:pPr>
              <w:jc w:val="center"/>
              <w:ind w:left="1016"/>
              <w:spacing w:after="0"/>
              <w:rPr>
                <w:sz w:val="20"/>
                <w:szCs w:val="20"/>
                <w:color w:val="auto"/>
              </w:rPr>
            </w:pPr>
            <w:r>
              <w:rPr>
                <w:rFonts w:ascii="Arial" w:cs="Arial" w:eastAsia="Arial" w:hAnsi="Arial"/>
                <w:sz w:val="16"/>
                <w:szCs w:val="16"/>
                <w:b w:val="1"/>
                <w:bCs w:val="1"/>
                <w:color w:val="auto"/>
              </w:rPr>
              <w:t>Audit</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Governance</w:t>
            </w:r>
          </w:p>
        </w:tc>
      </w:tr>
      <w:tr>
        <w:trPr>
          <w:trHeight w:val="24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2600" w:type="dxa"/>
            <w:vAlign w:val="bottom"/>
          </w:tcPr>
          <w:p>
            <w:pPr>
              <w:jc w:val="center"/>
              <w:ind w:left="1036"/>
              <w:spacing w:after="0"/>
              <w:rPr>
                <w:sz w:val="20"/>
                <w:szCs w:val="20"/>
                <w:color w:val="auto"/>
              </w:rPr>
            </w:pPr>
            <w:r>
              <w:rPr>
                <w:rFonts w:ascii="Arial" w:cs="Arial" w:eastAsia="Arial" w:hAnsi="Arial"/>
                <w:sz w:val="16"/>
                <w:szCs w:val="16"/>
                <w:b w:val="1"/>
                <w:bCs w:val="1"/>
                <w:color w:val="auto"/>
              </w:rPr>
              <w:t>Committee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1680" w:type="dxa"/>
            <w:vAlign w:val="bottom"/>
          </w:tcPr>
          <w:p>
            <w:pPr>
              <w:jc w:val="center"/>
              <w:ind w:left="117"/>
              <w:spacing w:after="0"/>
              <w:rPr>
                <w:sz w:val="20"/>
                <w:szCs w:val="20"/>
                <w:color w:val="auto"/>
              </w:rPr>
            </w:pPr>
            <w:r>
              <w:rPr>
                <w:rFonts w:ascii="Arial" w:cs="Arial" w:eastAsia="Arial" w:hAnsi="Arial"/>
                <w:sz w:val="16"/>
                <w:szCs w:val="16"/>
                <w:b w:val="1"/>
                <w:bCs w:val="1"/>
                <w:color w:val="auto"/>
              </w:rPr>
              <w:t>Committee</w:t>
            </w:r>
          </w:p>
        </w:tc>
      </w:tr>
      <w:tr>
        <w:trPr>
          <w:trHeight w:val="254"/>
        </w:trPr>
        <w:tc>
          <w:tcPr>
            <w:tcW w:w="2880" w:type="dxa"/>
            <w:vAlign w:val="bottom"/>
            <w:tcBorders>
              <w:bottom w:val="single" w:sz="8" w:color="BFE7FA"/>
            </w:tcBorders>
            <w:shd w:val="clear" w:color="auto" w:fill="BFE7FA"/>
          </w:tcPr>
          <w:p>
            <w:pPr>
              <w:ind w:left="20"/>
              <w:spacing w:after="0"/>
              <w:rPr>
                <w:sz w:val="20"/>
                <w:szCs w:val="20"/>
                <w:color w:val="auto"/>
              </w:rPr>
            </w:pPr>
            <w:r>
              <w:rPr>
                <w:rFonts w:ascii="Arial" w:cs="Arial" w:eastAsia="Arial" w:hAnsi="Arial"/>
                <w:sz w:val="18"/>
                <w:szCs w:val="18"/>
                <w:color w:val="auto"/>
              </w:rPr>
              <w:t>Rachna Bhasin</w:t>
            </w:r>
          </w:p>
        </w:tc>
        <w:tc>
          <w:tcPr>
            <w:tcW w:w="2600" w:type="dxa"/>
            <w:vAlign w:val="bottom"/>
            <w:tcBorders>
              <w:bottom w:val="single" w:sz="8" w:color="BFE7FA"/>
            </w:tcBorders>
            <w:shd w:val="clear" w:color="auto" w:fill="BFE7FA"/>
          </w:tcPr>
          <w:p>
            <w:pPr>
              <w:spacing w:after="0"/>
              <w:rPr>
                <w:sz w:val="22"/>
                <w:szCs w:val="22"/>
                <w:color w:val="auto"/>
              </w:rPr>
            </w:pPr>
          </w:p>
        </w:tc>
        <w:tc>
          <w:tcPr>
            <w:tcW w:w="1800" w:type="dxa"/>
            <w:vAlign w:val="bottom"/>
            <w:tcBorders>
              <w:bottom w:val="single" w:sz="8" w:color="BFE7FA"/>
            </w:tcBorders>
            <w:shd w:val="clear" w:color="auto" w:fill="BFE7FA"/>
          </w:tcPr>
          <w:p>
            <w:pPr>
              <w:spacing w:after="0"/>
              <w:rPr>
                <w:sz w:val="22"/>
                <w:szCs w:val="22"/>
                <w:color w:val="auto"/>
              </w:rPr>
            </w:pPr>
          </w:p>
        </w:tc>
        <w:tc>
          <w:tcPr>
            <w:tcW w:w="1680" w:type="dxa"/>
            <w:vAlign w:val="bottom"/>
            <w:tcBorders>
              <w:bottom w:val="single" w:sz="8" w:color="BFE7FA"/>
            </w:tcBorders>
            <w:shd w:val="clear" w:color="auto" w:fill="BFE7FA"/>
          </w:tcPr>
          <w:p>
            <w:pPr>
              <w:spacing w:after="0"/>
              <w:rPr>
                <w:sz w:val="22"/>
                <w:szCs w:val="22"/>
                <w:color w:val="auto"/>
              </w:rPr>
            </w:pPr>
          </w:p>
        </w:tc>
      </w:tr>
      <w:tr>
        <w:trPr>
          <w:trHeight w:val="315"/>
        </w:trPr>
        <w:tc>
          <w:tcPr>
            <w:tcW w:w="2880" w:type="dxa"/>
            <w:vAlign w:val="bottom"/>
          </w:tcPr>
          <w:p>
            <w:pPr>
              <w:ind w:left="20"/>
              <w:spacing w:after="0"/>
              <w:rPr>
                <w:sz w:val="20"/>
                <w:szCs w:val="20"/>
                <w:color w:val="auto"/>
              </w:rPr>
            </w:pPr>
            <w:r>
              <w:rPr>
                <w:rFonts w:ascii="Arial" w:cs="Arial" w:eastAsia="Arial" w:hAnsi="Arial"/>
                <w:sz w:val="18"/>
                <w:szCs w:val="18"/>
                <w:color w:val="auto"/>
              </w:rPr>
              <w:t>Deirdre Bigley</w:t>
            </w:r>
          </w:p>
        </w:tc>
        <w:tc>
          <w:tcPr>
            <w:tcW w:w="2600" w:type="dxa"/>
            <w:vAlign w:val="bottom"/>
          </w:tcPr>
          <w:p>
            <w:pPr>
              <w:spacing w:after="0"/>
              <w:rPr>
                <w:sz w:val="24"/>
                <w:szCs w:val="24"/>
                <w:color w:val="auto"/>
              </w:rPr>
            </w:pPr>
          </w:p>
        </w:tc>
        <w:tc>
          <w:tcPr>
            <w:tcW w:w="1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spacing w:after="0"/>
              <w:rPr>
                <w:sz w:val="24"/>
                <w:szCs w:val="24"/>
                <w:color w:val="auto"/>
              </w:rPr>
            </w:pPr>
          </w:p>
        </w:tc>
      </w:tr>
      <w:tr>
        <w:trPr>
          <w:trHeight w:val="23"/>
        </w:trPr>
        <w:tc>
          <w:tcPr>
            <w:tcW w:w="2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18"/>
        </w:trPr>
        <w:tc>
          <w:tcPr>
            <w:tcW w:w="2880" w:type="dxa"/>
            <w:vAlign w:val="bottom"/>
            <w:tcBorders>
              <w:bottom w:val="single" w:sz="8" w:color="BFE7FA"/>
            </w:tcBorders>
            <w:shd w:val="clear" w:color="auto" w:fill="BFE7FA"/>
          </w:tcPr>
          <w:p>
            <w:pPr>
              <w:ind w:left="20"/>
              <w:spacing w:after="0"/>
              <w:rPr>
                <w:sz w:val="20"/>
                <w:szCs w:val="20"/>
                <w:color w:val="auto"/>
              </w:rPr>
            </w:pPr>
            <w:r>
              <w:rPr>
                <w:rFonts w:ascii="Arial" w:cs="Arial" w:eastAsia="Arial" w:hAnsi="Arial"/>
                <w:sz w:val="18"/>
                <w:szCs w:val="18"/>
                <w:color w:val="auto"/>
              </w:rPr>
              <w:t>Thomas R. Evans</w:t>
            </w:r>
          </w:p>
        </w:tc>
        <w:tc>
          <w:tcPr>
            <w:tcW w:w="2600" w:type="dxa"/>
            <w:vAlign w:val="bottom"/>
            <w:tcBorders>
              <w:bottom w:val="single" w:sz="8" w:color="BFE7FA"/>
            </w:tcBorders>
            <w:shd w:val="clear" w:color="auto" w:fill="BFE7FA"/>
          </w:tcPr>
          <w:p>
            <w:pPr>
              <w:spacing w:after="0"/>
              <w:rPr>
                <w:sz w:val="24"/>
                <w:szCs w:val="24"/>
                <w:color w:val="auto"/>
              </w:rPr>
            </w:pPr>
          </w:p>
        </w:tc>
        <w:tc>
          <w:tcPr>
            <w:tcW w:w="1800" w:type="dxa"/>
            <w:vAlign w:val="bottom"/>
            <w:tcBorders>
              <w:bottom w:val="single" w:sz="8" w:color="BFE7FA"/>
            </w:tcBorders>
            <w:shd w:val="clear" w:color="auto" w:fill="BFE7FA"/>
          </w:tcPr>
          <w:p>
            <w:pPr>
              <w:spacing w:after="0"/>
              <w:rPr>
                <w:sz w:val="24"/>
                <w:szCs w:val="24"/>
                <w:color w:val="auto"/>
              </w:rPr>
            </w:pPr>
          </w:p>
        </w:tc>
        <w:tc>
          <w:tcPr>
            <w:tcW w:w="1680" w:type="dxa"/>
            <w:vAlign w:val="bottom"/>
            <w:tcBorders>
              <w:bottom w:val="single" w:sz="8" w:color="BFE7FA"/>
            </w:tcBorders>
            <w:shd w:val="clear" w:color="auto" w:fill="BFE7FA"/>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314"/>
        </w:trPr>
        <w:tc>
          <w:tcPr>
            <w:tcW w:w="2880" w:type="dxa"/>
            <w:vAlign w:val="bottom"/>
          </w:tcPr>
          <w:p>
            <w:pPr>
              <w:ind w:left="20"/>
              <w:spacing w:after="0"/>
              <w:rPr>
                <w:sz w:val="20"/>
                <w:szCs w:val="20"/>
                <w:color w:val="auto"/>
              </w:rPr>
            </w:pPr>
            <w:r>
              <w:rPr>
                <w:rFonts w:ascii="Arial" w:cs="Arial" w:eastAsia="Arial" w:hAnsi="Arial"/>
                <w:sz w:val="18"/>
                <w:szCs w:val="18"/>
                <w:color w:val="auto"/>
              </w:rPr>
              <w:t>Alfonse Upshaw</w:t>
            </w: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-773430</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-773430</wp:posOffset>
            </wp:positionV>
            <wp:extent cx="8572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-773430</wp:posOffset>
            </wp:positionV>
            <wp:extent cx="8572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-610870</wp:posOffset>
            </wp:positionV>
            <wp:extent cx="10287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-559435</wp:posOffset>
            </wp:positionV>
            <wp:extent cx="8572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-344805</wp:posOffset>
            </wp:positionV>
            <wp:extent cx="85725"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-344805</wp:posOffset>
            </wp:positionV>
            <wp:extent cx="8572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-396240</wp:posOffset>
            </wp:positionV>
            <wp:extent cx="10287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-182245</wp:posOffset>
            </wp:positionV>
            <wp:extent cx="10287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sz w:val="1"/>
          <w:szCs w:val="1"/>
          <w:color w:val="auto"/>
        </w:rPr>
        <w:drawing>
          <wp:inline distT="0" distB="0" distL="0" distR="0">
            <wp:extent cx="102870" cy="1111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11125"/>
                    </a:xfrm>
                    <a:prstGeom prst="rect">
                      <a:avLst/>
                    </a:prstGeom>
                    <a:noFill/>
                    <a:ln>
                      <a:noFill/>
                    </a:ln>
                  </pic:spPr>
                </pic:pic>
              </a:graphicData>
            </a:graphic>
          </wp:inline>
        </w:drawing>
      </w:r>
      <w:r>
        <w:rPr>
          <w:rFonts w:ascii="Arial" w:cs="Arial" w:eastAsia="Arial" w:hAnsi="Arial"/>
          <w:sz w:val="14"/>
          <w:szCs w:val="14"/>
          <w:color w:val="auto"/>
        </w:rPr>
        <w:t>      Committee Chairperson</w:t>
      </w:r>
    </w:p>
    <w:p>
      <w:pPr>
        <w:spacing w:after="0" w:line="14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Each of our standing committees has a written charter approved by the Board that establishes the committee’s roles and responsibilities. Copies of the charters for the Audit Committee, the Compensation Committee, and the Nominating and Corporate Governance Committee can be found on our Investor Relations website at investor.shutterstock.com under the link for “Corporate Governance.” Please note that information on, or that can be accessed through, our website is not part of the proxy soliciting materials, is not deemed “filed” with the SEC and is not to be incorporated by reference into any of our filings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Exchange Act, and, except for information filed by the Company under the cover of Schedule 14A, is not deemed to be proxy soliciting materials.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5" w:lineRule="exact"/>
        <w:rPr>
          <w:sz w:val="20"/>
          <w:szCs w:val="20"/>
          <w:color w:val="auto"/>
        </w:rPr>
      </w:pPr>
    </w:p>
    <w:p>
      <w:pPr>
        <w:jc w:val="both"/>
        <w:ind w:right="280" w:firstLine="324"/>
        <w:spacing w:after="0" w:line="318" w:lineRule="auto"/>
        <w:rPr>
          <w:sz w:val="20"/>
          <w:szCs w:val="20"/>
          <w:color w:val="auto"/>
        </w:rPr>
      </w:pPr>
      <w:r>
        <w:rPr>
          <w:rFonts w:ascii="Arial" w:cs="Arial" w:eastAsia="Arial" w:hAnsi="Arial"/>
          <w:sz w:val="17"/>
          <w:szCs w:val="17"/>
          <w:color w:val="auto"/>
        </w:rPr>
        <w:t>The primary purpose of our Audit Committee is to assist the Board in its oversight of our corporate accounting and financial reporting process and internal controls over financial reporting. As more fully described in its charter, the Audit Committee’s responsibilities include:</w:t>
      </w:r>
    </w:p>
    <w:p>
      <w:pPr>
        <w:spacing w:after="0" w:line="76" w:lineRule="exact"/>
        <w:rPr>
          <w:sz w:val="20"/>
          <w:szCs w:val="20"/>
          <w:color w:val="auto"/>
        </w:rPr>
      </w:pPr>
    </w:p>
    <w:p>
      <w:pPr>
        <w:ind w:left="700" w:right="54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 w:lineRule="exact"/>
        <w:rPr>
          <w:rFonts w:ascii="Arial" w:cs="Arial" w:eastAsia="Arial" w:hAnsi="Arial"/>
          <w:sz w:val="18"/>
          <w:szCs w:val="18"/>
          <w:color w:val="auto"/>
        </w:rPr>
      </w:pPr>
    </w:p>
    <w:p>
      <w:pPr>
        <w:ind w:left="700" w:right="68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 w:lineRule="exact"/>
        <w:rPr>
          <w:rFonts w:ascii="Arial" w:cs="Arial" w:eastAsia="Arial" w:hAnsi="Arial"/>
          <w:sz w:val="18"/>
          <w:szCs w:val="18"/>
          <w:color w:val="auto"/>
        </w:rPr>
      </w:pPr>
    </w:p>
    <w:p>
      <w:pPr>
        <w:ind w:left="700" w:right="70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 w:lineRule="exact"/>
        <w:rPr>
          <w:rFonts w:ascii="Arial" w:cs="Arial" w:eastAsia="Arial" w:hAnsi="Arial"/>
          <w:sz w:val="18"/>
          <w:szCs w:val="18"/>
          <w:color w:val="auto"/>
        </w:rPr>
      </w:pPr>
    </w:p>
    <w:p>
      <w:pPr>
        <w:ind w:left="700" w:right="44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coordinating the Board’s oversight of our internal control over financial reporting, disclosure controls and procedures, and code of business conduct and ethics;</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15" w:name="page16"/>
    <w:bookmarkEnd w:id="15"/>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accounting-related complaints and concerns;</w:t>
      </w:r>
    </w:p>
    <w:p>
      <w:pPr>
        <w:spacing w:after="0" w:line="63" w:lineRule="exact"/>
        <w:rPr>
          <w:rFonts w:ascii="Arial" w:cs="Arial" w:eastAsia="Arial" w:hAnsi="Arial"/>
          <w:sz w:val="18"/>
          <w:szCs w:val="18"/>
          <w:color w:val="auto"/>
        </w:rPr>
      </w:pPr>
    </w:p>
    <w:p>
      <w:pPr>
        <w:ind w:left="700" w:right="1180" w:hanging="314"/>
        <w:spacing w:after="0" w:line="28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independently with our senior internal audit executive, our independent registered public accounting firm, and management;</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Audit Committee currently consists of Mr. Upshaw, who serves as its chairman, Mr. Evans and Ms. Bhasin. The Audit Committee met six times during 2024.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Upshaw qualifies as an audit committee financial expert within the meaning of SEC rules.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5"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The primary purpose of our Compensation Committee is to assist the Board in overseeing our compensation program. As more fully described in its charter, the Compensation Committee’s responsibilities include:</w:t>
      </w:r>
    </w:p>
    <w:p>
      <w:pPr>
        <w:spacing w:after="0" w:line="99" w:lineRule="exact"/>
        <w:rPr>
          <w:sz w:val="20"/>
          <w:szCs w:val="20"/>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our general compensation strategy;</w:t>
      </w:r>
    </w:p>
    <w:p>
      <w:pPr>
        <w:spacing w:after="0" w:line="63" w:lineRule="exact"/>
        <w:rPr>
          <w:rFonts w:ascii="Arial" w:cs="Arial" w:eastAsia="Arial" w:hAnsi="Arial"/>
          <w:sz w:val="18"/>
          <w:szCs w:val="18"/>
          <w:color w:val="auto"/>
        </w:rPr>
      </w:pPr>
    </w:p>
    <w:p>
      <w:pPr>
        <w:ind w:left="700" w:right="500" w:hanging="314"/>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annual and long-term performance goals for our Chief Executive Officer, and evaluating the performance of our Chief Executive Officer in light of those goals and objectives and determining and approving or recommending for approval the compensation of our Chief Executive Officer based on such evaluations;</w:t>
      </w:r>
    </w:p>
    <w:p>
      <w:pPr>
        <w:spacing w:after="0" w:line="8" w:lineRule="exact"/>
        <w:rPr>
          <w:rFonts w:ascii="Arial" w:cs="Arial" w:eastAsia="Arial" w:hAnsi="Arial"/>
          <w:sz w:val="18"/>
          <w:szCs w:val="18"/>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in consultation with our Chief Executive Officer, the compensation of our executive officers;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administering our stock plans and any equity compensation arrangements that may be adopted by us from time to time;</w:t>
      </w:r>
    </w:p>
    <w:p>
      <w:pPr>
        <w:spacing w:after="0" w:line="63" w:lineRule="exact"/>
        <w:rPr>
          <w:rFonts w:ascii="Arial" w:cs="Arial" w:eastAsia="Arial" w:hAnsi="Arial"/>
          <w:sz w:val="18"/>
          <w:szCs w:val="18"/>
          <w:color w:val="auto"/>
        </w:rPr>
      </w:pPr>
    </w:p>
    <w:p>
      <w:pPr>
        <w:ind w:left="700" w:right="640" w:hanging="314"/>
        <w:spacing w:after="0" w:line="281"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compensation levels for directors for service on our Board and its committees and recommending changes in such compensation; and</w:t>
      </w:r>
    </w:p>
    <w:p>
      <w:pPr>
        <w:spacing w:after="0" w:line="1" w:lineRule="exact"/>
        <w:rPr>
          <w:rFonts w:ascii="Arial" w:cs="Arial" w:eastAsia="Arial" w:hAnsi="Arial"/>
          <w:sz w:val="18"/>
          <w:szCs w:val="18"/>
          <w:color w:val="auto"/>
        </w:rPr>
      </w:pPr>
    </w:p>
    <w:p>
      <w:pPr>
        <w:ind w:left="700" w:right="980" w:hanging="314"/>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with management the annual Compensation Discussion and Analysis (“</w:t>
      </w:r>
      <w:r>
        <w:rPr>
          <w:rFonts w:ascii="Arial" w:cs="Arial" w:eastAsia="Arial" w:hAnsi="Arial"/>
          <w:sz w:val="18"/>
          <w:szCs w:val="18"/>
          <w:u w:val="single" w:color="auto"/>
          <w:color w:val="auto"/>
        </w:rPr>
        <w:t>CD&amp;A</w:t>
      </w:r>
      <w:r>
        <w:rPr>
          <w:rFonts w:ascii="Arial" w:cs="Arial" w:eastAsia="Arial" w:hAnsi="Arial"/>
          <w:sz w:val="18"/>
          <w:szCs w:val="18"/>
          <w:color w:val="auto"/>
        </w:rPr>
        <w:t>”) disclosure and related tabular presentations for our named executive officers and, based on this review and discussions, making a recommendation to include the CD&amp;A disclosure in the Company’s annual public filings.</w:t>
      </w:r>
    </w:p>
    <w:p>
      <w:pPr>
        <w:spacing w:after="0" w:line="17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engagement of any compensation consultants, legal counsel or other advisors rests exclusively with our Compensation Committee, which has sole authority to retain and terminate any compensation consultant, counsel or other advisor that it uses. See also “Director Compensation” for a discussion of the role of our compensation consultant.</w:t>
      </w:r>
    </w:p>
    <w:p>
      <w:pPr>
        <w:spacing w:after="0" w:line="6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Compensation Committee currently consists of Ms. Bigley, who serves as its chairperson, Ms. Bhasin and Mr. Evans. The Compensation Committee met five times during 2024. The Board, in its business judgment, has determined that each director serving on the Compensation Committee meets the independence requirements prescribed by the NYSE and is a “non-employee director” for purposes of the Exchange Act and an “outside director” for purposes of Section 162(m) of the Internal Revenue Code.</w:t>
      </w:r>
    </w:p>
    <w:p>
      <w:pPr>
        <w:spacing w:after="0" w:line="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For additional information regarding determination of our directors’ and executive officers’ compensation, please refer to the discussion set forth under “Director Compensation” and “Setting Our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5"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The primary purposes of our Nominating and Corporate Governance Committee are to assist our Board in identifying individuals qualified to become members of our Board, to oversee the evaluation of our Board and management and to review and update our corporate governance principles. As more fully described in its charter, the Nominating and Corporate Governance Committee’s responsibilities include:</w:t>
      </w:r>
    </w:p>
    <w:p>
      <w:pPr>
        <w:spacing w:after="0" w:line="99" w:lineRule="exact"/>
        <w:rPr>
          <w:sz w:val="20"/>
          <w:szCs w:val="20"/>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a set of corporate governance principles to our Board;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composition, size, organization and governance of our Board and its committees;</w:t>
      </w:r>
    </w:p>
    <w:p>
      <w:pPr>
        <w:spacing w:after="0" w:line="63" w:lineRule="exact"/>
        <w:rPr>
          <w:rFonts w:ascii="Arial" w:cs="Arial" w:eastAsia="Arial" w:hAnsi="Arial"/>
          <w:sz w:val="18"/>
          <w:szCs w:val="18"/>
          <w:color w:val="auto"/>
        </w:rPr>
      </w:pPr>
    </w:p>
    <w:p>
      <w:pPr>
        <w:ind w:left="700" w:right="700" w:hanging="314"/>
        <w:spacing w:after="0" w:line="281"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to our Board director independence determinations with respect to continuing and prospective directors;</w:t>
      </w:r>
    </w:p>
    <w:p>
      <w:pPr>
        <w:spacing w:after="0" w:line="1" w:lineRule="exact"/>
        <w:rPr>
          <w:rFonts w:ascii="Arial" w:cs="Arial" w:eastAsia="Arial" w:hAnsi="Arial"/>
          <w:sz w:val="18"/>
          <w:szCs w:val="18"/>
          <w:color w:val="auto"/>
        </w:rPr>
      </w:pPr>
    </w:p>
    <w:p>
      <w:pPr>
        <w:ind w:left="700" w:right="1080" w:hanging="314"/>
        <w:spacing w:after="0" w:line="281"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evaluating and recommending candidates for election to our Board in the class subject to election; including nominees recommended by our stockholders;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Board and Board committee’s performance and self-evaluation process.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ind w:firstLine="324"/>
        <w:spacing w:after="0" w:line="262" w:lineRule="auto"/>
        <w:rPr>
          <w:sz w:val="20"/>
          <w:szCs w:val="20"/>
          <w:color w:val="auto"/>
        </w:rPr>
      </w:pPr>
      <w:r>
        <w:rPr>
          <w:rFonts w:ascii="Arial" w:cs="Arial" w:eastAsia="Arial" w:hAnsi="Arial"/>
          <w:sz w:val="18"/>
          <w:szCs w:val="18"/>
          <w:color w:val="auto"/>
        </w:rPr>
        <w:t>Our Nominating and Corporate Governance Committee currently consists of Mr. Evans, who serves as its chairperson, Ms. Bhasin and Ms. Bigley. The Nominating and Corporate Governance Committee met two times during 2024. The Board, in its business judgment, has determined that each director serving on the Nominating and Corporate Governance Committee meets the independence requirements prescribed by the NYSE.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77" w:right="5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25"/>
          <w:szCs w:val="25"/>
          <w:b w:val="1"/>
          <w:bCs w:val="1"/>
          <w:color w:val="EF3A35"/>
        </w:rPr>
        <w:t>PROPOSAL ONE: ELECTION OF DIRECTORS</w:t>
      </w:r>
    </w:p>
    <w:p>
      <w:pPr>
        <w:spacing w:after="0" w:line="1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Board is divided into three classes. Directors are elected by class for three-year terms. The Nominating and Corporate Governance Committee recommended, and the Board has nominated, the three Class I directors, Jon Oringer, Rachna Bhasin and Jaime Teevan, as nominees for election as members of our Board at the 2025 Annual Meeting.</w:t>
      </w:r>
    </w:p>
    <w:p>
      <w:pPr>
        <w:spacing w:after="0" w:line="63" w:lineRule="exact"/>
        <w:rPr>
          <w:sz w:val="20"/>
          <w:szCs w:val="20"/>
          <w:color w:val="auto"/>
        </w:rPr>
      </w:pPr>
    </w:p>
    <w:p>
      <w:pPr>
        <w:jc w:val="both"/>
        <w:ind w:right="500" w:firstLine="324"/>
        <w:spacing w:after="0" w:line="268" w:lineRule="auto"/>
        <w:rPr>
          <w:sz w:val="20"/>
          <w:szCs w:val="20"/>
          <w:color w:val="auto"/>
        </w:rPr>
      </w:pPr>
      <w:r>
        <w:rPr>
          <w:rFonts w:ascii="Arial" w:cs="Arial" w:eastAsia="Arial" w:hAnsi="Arial"/>
          <w:sz w:val="18"/>
          <w:szCs w:val="18"/>
          <w:color w:val="auto"/>
        </w:rPr>
        <w:t>Mr. Oringer, Ms. Bhasin and Dr. Teevan have each agreed to serve as a director of the Company if elected. The term of office of a director elected at the 2025 Annual Meeting will continue until the Annual Meeting of Stockholders held in 2028, or until such director’s successor has been duly elected and qualified, or until such director’s earlier resignation or removal.</w:t>
      </w:r>
    </w:p>
    <w:p>
      <w:pPr>
        <w:spacing w:after="0" w:line="6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requested by Getty Images, the Company has agreed to use reasonable best efforts to cause to be delivered to Getty Images prior to the closing of the Merger, resignations executed by directors and officers of Shutterstock and its subsidiaries, in each case to be effective upon the effective time of the Merger. 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Paul J. Hennessy is expected to be appointed to serve as one of the members of the Getty Images board, and the other three directors to be designated by Shutterstock have not yet been determined as of the date of this Proxy Statement. Unless otherwise instructed, the persons appointed in the accompanying form of proxy will vote the proxies received by them for these nominees, who are all presently directors of the Company. In the event that any nominee becomes unavailable or unwilling to serve as a member of our Board, the proxy holders will vote in their discretion for a substitute nominee, or if a substitute nominee cannot be identified, the Board may reduce the size of the Board.</w:t>
      </w:r>
    </w:p>
    <w:p>
      <w:pPr>
        <w:spacing w:after="0" w:line="74"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The table below summarizes the key qualifications, skills or attributes of each director nominee standing for election at the 2025 Annual Meeting, which we believe qualify the director to serve on our Board. For additional information regarding our Board members, including our director nominees standing for election at the 2025 Annual Meeting, please refer to the biographies set forth under “Directors and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8620" w:type="dxa"/>
            <w:vAlign w:val="bottom"/>
          </w:tcPr>
          <w:p>
            <w:pPr>
              <w:ind w:left="200"/>
              <w:spacing w:after="0"/>
              <w:rPr>
                <w:sz w:val="20"/>
                <w:szCs w:val="20"/>
                <w:color w:val="auto"/>
              </w:rPr>
            </w:pPr>
            <w:r>
              <w:rPr>
                <w:rFonts w:ascii="Arial" w:cs="Arial" w:eastAsia="Arial" w:hAnsi="Arial"/>
                <w:sz w:val="18"/>
                <w:szCs w:val="18"/>
                <w:color w:val="auto"/>
              </w:rPr>
              <w:t>Qualifications</w:t>
            </w:r>
          </w:p>
        </w:tc>
      </w:tr>
      <w:tr>
        <w:trPr>
          <w:trHeight w:val="23"/>
        </w:trPr>
        <w:tc>
          <w:tcPr>
            <w:tcW w:w="222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r>
      <w:tr>
        <w:trPr>
          <w:trHeight w:val="218"/>
        </w:trPr>
        <w:tc>
          <w:tcPr>
            <w:tcW w:w="2220" w:type="dxa"/>
            <w:vAlign w:val="bottom"/>
          </w:tcPr>
          <w:p>
            <w:pPr>
              <w:ind w:left="100"/>
              <w:spacing w:after="0"/>
              <w:rPr>
                <w:sz w:val="20"/>
                <w:szCs w:val="20"/>
                <w:color w:val="auto"/>
              </w:rPr>
            </w:pPr>
            <w:r>
              <w:rPr>
                <w:rFonts w:ascii="Arial" w:cs="Arial" w:eastAsia="Arial" w:hAnsi="Arial"/>
                <w:sz w:val="18"/>
                <w:szCs w:val="18"/>
                <w:color w:val="auto"/>
              </w:rPr>
              <w:t>Jonathan Oringer</w:t>
            </w:r>
          </w:p>
        </w:tc>
        <w:tc>
          <w:tcPr>
            <w:tcW w:w="8620" w:type="dxa"/>
            <w:vAlign w:val="bottom"/>
          </w:tcPr>
          <w:p>
            <w:pPr>
              <w:ind w:left="200"/>
              <w:spacing w:after="0"/>
              <w:rPr>
                <w:sz w:val="20"/>
                <w:szCs w:val="20"/>
                <w:color w:val="auto"/>
              </w:rPr>
            </w:pPr>
            <w:r>
              <w:rPr>
                <w:rFonts w:ascii="Arial" w:cs="Arial" w:eastAsia="Arial" w:hAnsi="Arial"/>
                <w:sz w:val="18"/>
                <w:szCs w:val="18"/>
                <w:color w:val="auto"/>
              </w:rPr>
              <w:t>Extensive experience in the commercial digital imagery industry, experience with entrepreneurial and</w:t>
            </w:r>
          </w:p>
        </w:tc>
      </w:tr>
      <w:tr>
        <w:trPr>
          <w:trHeight w:val="187"/>
        </w:trPr>
        <w:tc>
          <w:tcPr>
            <w:tcW w:w="2220" w:type="dxa"/>
            <w:vAlign w:val="bottom"/>
          </w:tcPr>
          <w:p>
            <w:pPr>
              <w:ind w:left="100"/>
              <w:spacing w:after="0"/>
              <w:rPr>
                <w:sz w:val="20"/>
                <w:szCs w:val="20"/>
                <w:color w:val="auto"/>
              </w:rPr>
            </w:pPr>
            <w:r>
              <w:rPr>
                <w:rFonts w:ascii="Arial" w:cs="Arial" w:eastAsia="Arial" w:hAnsi="Arial"/>
                <w:sz w:val="14"/>
                <w:szCs w:val="14"/>
                <w:i w:val="1"/>
                <w:iCs w:val="1"/>
                <w:color w:val="auto"/>
              </w:rPr>
              <w:t>(term expiring at 2025 Annual</w:t>
            </w:r>
          </w:p>
        </w:tc>
        <w:tc>
          <w:tcPr>
            <w:tcW w:w="8620" w:type="dxa"/>
            <w:vAlign w:val="bottom"/>
          </w:tcPr>
          <w:p>
            <w:pPr>
              <w:ind w:left="200"/>
              <w:spacing w:after="0" w:line="187" w:lineRule="exact"/>
              <w:rPr>
                <w:sz w:val="20"/>
                <w:szCs w:val="20"/>
                <w:color w:val="auto"/>
              </w:rPr>
            </w:pPr>
            <w:r>
              <w:rPr>
                <w:rFonts w:ascii="Arial" w:cs="Arial" w:eastAsia="Arial" w:hAnsi="Arial"/>
                <w:sz w:val="18"/>
                <w:szCs w:val="18"/>
                <w:color w:val="auto"/>
              </w:rPr>
              <w:t>technology companies and extensive knowledge of the Company as its founder.</w:t>
            </w:r>
          </w:p>
        </w:tc>
      </w:tr>
      <w:tr>
        <w:trPr>
          <w:trHeight w:val="188"/>
        </w:trPr>
        <w:tc>
          <w:tcPr>
            <w:tcW w:w="2220" w:type="dxa"/>
            <w:vAlign w:val="bottom"/>
          </w:tcPr>
          <w:p>
            <w:pPr>
              <w:ind w:left="100"/>
              <w:spacing w:after="0"/>
              <w:rPr>
                <w:sz w:val="20"/>
                <w:szCs w:val="20"/>
                <w:color w:val="auto"/>
              </w:rPr>
            </w:pPr>
            <w:r>
              <w:rPr>
                <w:rFonts w:ascii="Arial" w:cs="Arial" w:eastAsia="Arial" w:hAnsi="Arial"/>
                <w:sz w:val="14"/>
                <w:szCs w:val="14"/>
                <w:i w:val="1"/>
                <w:iCs w:val="1"/>
                <w:color w:val="auto"/>
              </w:rPr>
              <w:t>Meeting)</w:t>
            </w:r>
          </w:p>
        </w:tc>
        <w:tc>
          <w:tcPr>
            <w:tcW w:w="8620" w:type="dxa"/>
            <w:vAlign w:val="bottom"/>
          </w:tcPr>
          <w:p>
            <w:pPr>
              <w:spacing w:after="0"/>
              <w:rPr>
                <w:sz w:val="16"/>
                <w:szCs w:val="16"/>
                <w:color w:val="auto"/>
              </w:rPr>
            </w:pPr>
          </w:p>
        </w:tc>
      </w:tr>
    </w:tbl>
    <w:p>
      <w:pPr>
        <w:spacing w:after="0" w:line="30" w:lineRule="exact"/>
        <w:rPr>
          <w:sz w:val="20"/>
          <w:szCs w:val="20"/>
          <w:color w:val="auto"/>
        </w:rPr>
      </w:pPr>
    </w:p>
    <w:p>
      <w:pPr>
        <w:sectPr>
          <w:pgSz w:w="11900" w:h="16838" w:orient="portrait"/>
          <w:cols w:equalWidth="0" w:num="1">
            <w:col w:w="11180"/>
          </w:cols>
          <w:pgMar w:left="320" w:top="871" w:right="399" w:bottom="1440" w:gutter="0" w:footer="0" w:header="0"/>
        </w:sectPr>
      </w:pPr>
    </w:p>
    <w:p>
      <w:pPr>
        <w:ind w:left="100"/>
        <w:spacing w:after="0"/>
        <w:rPr>
          <w:sz w:val="20"/>
          <w:szCs w:val="20"/>
          <w:color w:val="auto"/>
        </w:rPr>
      </w:pPr>
      <w:r>
        <w:rPr>
          <w:rFonts w:ascii="Arial" w:cs="Arial" w:eastAsia="Arial" w:hAnsi="Arial"/>
          <w:sz w:val="18"/>
          <w:szCs w:val="18"/>
          <w:color w:val="auto"/>
        </w:rPr>
        <w:t>Rachna Bhasin</w:t>
      </w:r>
    </w:p>
    <w:p>
      <w:pPr>
        <w:spacing w:after="0" w:line="32" w:lineRule="exact"/>
        <w:rPr>
          <w:sz w:val="20"/>
          <w:szCs w:val="20"/>
          <w:color w:val="auto"/>
        </w:rPr>
      </w:pPr>
    </w:p>
    <w:p>
      <w:pPr>
        <w:ind w:left="100"/>
        <w:spacing w:after="0" w:line="285" w:lineRule="auto"/>
        <w:rPr>
          <w:sz w:val="20"/>
          <w:szCs w:val="20"/>
          <w:color w:val="auto"/>
        </w:rPr>
      </w:pPr>
      <w:r>
        <w:rPr>
          <w:rFonts w:ascii="Arial" w:cs="Arial" w:eastAsia="Arial" w:hAnsi="Arial"/>
          <w:sz w:val="14"/>
          <w:szCs w:val="14"/>
          <w:i w:val="1"/>
          <w:iCs w:val="1"/>
          <w:color w:val="auto"/>
        </w:rPr>
        <w:t>(term expiring at 2025 Annual Meeting)</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Jaime Teevan</w:t>
      </w:r>
    </w:p>
    <w:p>
      <w:pPr>
        <w:spacing w:after="0" w:line="32" w:lineRule="exact"/>
        <w:rPr>
          <w:sz w:val="20"/>
          <w:szCs w:val="20"/>
          <w:color w:val="auto"/>
        </w:rPr>
      </w:pPr>
    </w:p>
    <w:p>
      <w:pPr>
        <w:ind w:left="100"/>
        <w:spacing w:after="0" w:line="285" w:lineRule="auto"/>
        <w:rPr>
          <w:sz w:val="20"/>
          <w:szCs w:val="20"/>
          <w:color w:val="auto"/>
        </w:rPr>
      </w:pPr>
      <w:r>
        <w:rPr>
          <w:rFonts w:ascii="Arial" w:cs="Arial" w:eastAsia="Arial" w:hAnsi="Arial"/>
          <w:sz w:val="14"/>
          <w:szCs w:val="14"/>
          <w:i w:val="1"/>
          <w:iCs w:val="1"/>
          <w:color w:val="auto"/>
        </w:rPr>
        <w:t>(term expiring at 2025 Annual Meeting)</w:t>
      </w:r>
    </w:p>
    <w:p>
      <w:pPr>
        <w:spacing w:after="0" w:line="20" w:lineRule="exact"/>
        <w:rPr>
          <w:sz w:val="20"/>
          <w:szCs w:val="20"/>
          <w:color w:val="auto"/>
        </w:rPr>
      </w:pPr>
      <w:r>
        <w:rPr>
          <w:sz w:val="20"/>
          <w:szCs w:val="20"/>
          <w:color w:val="auto"/>
        </w:rPr>
        <w:br w:type="column"/>
      </w:r>
    </w:p>
    <w:p>
      <w:pPr>
        <w:ind w:right="800"/>
        <w:spacing w:after="0" w:line="262" w:lineRule="auto"/>
        <w:rPr>
          <w:sz w:val="20"/>
          <w:szCs w:val="20"/>
          <w:color w:val="auto"/>
        </w:rPr>
      </w:pPr>
      <w:r>
        <w:rPr>
          <w:rFonts w:ascii="Arial" w:cs="Arial" w:eastAsia="Arial" w:hAnsi="Arial"/>
          <w:sz w:val="18"/>
          <w:szCs w:val="18"/>
          <w:color w:val="auto"/>
        </w:rPr>
        <w:t>Extensive senior leadership experience in the technology and media industries, specifically driving corporate and business development initiatives and significant technical expertise and experience in innovation. Valuable insight into evaluation and execution of strategic, business and operational initiatives.</w:t>
      </w:r>
    </w:p>
    <w:p>
      <w:pPr>
        <w:spacing w:after="0" w:line="1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Extensive senior leadership experience in technology industry, particularly with a wealth of knowledge and experience in AI, research, and innovation, coupled with her leadership in developing key technological advancements.</w:t>
      </w:r>
    </w:p>
    <w:p>
      <w:pPr>
        <w:spacing w:after="0" w:line="184" w:lineRule="exact"/>
        <w:rPr>
          <w:sz w:val="20"/>
          <w:szCs w:val="20"/>
          <w:color w:val="auto"/>
        </w:rPr>
      </w:pPr>
    </w:p>
    <w:p>
      <w:pPr>
        <w:sectPr>
          <w:pgSz w:w="11900" w:h="16838" w:orient="portrait"/>
          <w:cols w:equalWidth="0" w:num="2">
            <w:col w:w="2000" w:space="420"/>
            <w:col w:w="8760"/>
          </w:cols>
          <w:pgMar w:left="320" w:top="871" w:right="399" w:bottom="1440" w:gutter="0" w:footer="0" w:header="0"/>
          <w:type w:val="continuous"/>
        </w:sectPr>
      </w:pPr>
    </w:p>
    <w:p>
      <w:pPr>
        <w:ind w:firstLine="324"/>
        <w:spacing w:after="0" w:line="259" w:lineRule="auto"/>
        <w:rPr>
          <w:sz w:val="20"/>
          <w:szCs w:val="20"/>
          <w:color w:val="auto"/>
        </w:rPr>
      </w:pPr>
      <w:r>
        <w:rPr>
          <w:rFonts w:ascii="Arial" w:cs="Arial" w:eastAsia="Arial" w:hAnsi="Arial"/>
          <w:sz w:val="18"/>
          <w:szCs w:val="18"/>
          <w:color w:val="auto"/>
        </w:rPr>
        <w:t>A plurality of the votes cast in the election of directors is required to elect a nominee to our Board. The Board has adopted a director resignation policy, pursuant to which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75" w:lineRule="exact"/>
        <w:rPr>
          <w:sz w:val="20"/>
          <w:szCs w:val="20"/>
          <w:color w:val="auto"/>
        </w:rPr>
      </w:pPr>
    </w:p>
    <w:p>
      <w:pPr>
        <w:jc w:val="center"/>
        <w:ind w:left="380" w:right="320"/>
        <w:spacing w:after="0" w:line="285" w:lineRule="auto"/>
        <w:rPr>
          <w:sz w:val="20"/>
          <w:szCs w:val="20"/>
          <w:color w:val="auto"/>
        </w:rPr>
      </w:pPr>
      <w:r>
        <w:rPr>
          <w:rFonts w:ascii="Arial" w:cs="Arial" w:eastAsia="Arial" w:hAnsi="Arial"/>
          <w:sz w:val="22"/>
          <w:szCs w:val="22"/>
          <w:b w:val="1"/>
          <w:bCs w:val="1"/>
          <w:color w:val="EF3A35"/>
        </w:rPr>
        <w:t>OUR BOARD UNANIMOUSLY RECOMMENDS A VOTE “FOR” THE ELECTION OF EACH NOMINEE FOR DIRECTOR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type w:val="continuous"/>
        </w:sectPr>
      </w:pPr>
    </w:p>
    <w:bookmarkStart w:id="18" w:name="page19"/>
    <w:bookmarkEnd w:id="18"/>
    <w:p>
      <w:pPr>
        <w:ind w:firstLine="324"/>
        <w:spacing w:after="0" w:line="287" w:lineRule="auto"/>
        <w:rPr>
          <w:sz w:val="20"/>
          <w:szCs w:val="20"/>
          <w:color w:val="auto"/>
        </w:rPr>
      </w:pPr>
      <w:r>
        <w:rPr>
          <w:rFonts w:ascii="Arial" w:cs="Arial" w:eastAsia="Arial" w:hAnsi="Arial"/>
          <w:sz w:val="18"/>
          <w:szCs w:val="18"/>
          <w:color w:val="auto"/>
        </w:rPr>
        <w:t>The key qualifications, skills or attributes of the members of the Board whose terms or directorships do not expire at the 2025 Annual Meeting are set forth below.</w:t>
      </w:r>
    </w:p>
    <w:p>
      <w:pPr>
        <w:sectPr>
          <w:pgSz w:w="11900" w:h="16838" w:orient="portrait"/>
          <w:cols w:equalWidth="0" w:num="1">
            <w:col w:w="10880"/>
          </w:cols>
          <w:pgMar w:left="320" w:top="877" w:right="699" w:bottom="1440" w:gutter="0" w:footer="0" w:header="0"/>
        </w:sectPr>
      </w:pPr>
    </w:p>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Deirdre Bigley</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2026 Annual Meeting)</w:t>
      </w:r>
    </w:p>
    <w:p>
      <w:pPr>
        <w:spacing w:after="0" w:line="81" w:lineRule="exact"/>
        <w:rPr>
          <w:sz w:val="20"/>
          <w:szCs w:val="20"/>
          <w:color w:val="auto"/>
        </w:rPr>
      </w:pPr>
    </w:p>
    <w:p>
      <w:pPr>
        <w:ind w:left="100"/>
        <w:spacing w:after="0" w:line="242" w:lineRule="auto"/>
        <w:rPr>
          <w:sz w:val="20"/>
          <w:szCs w:val="20"/>
          <w:color w:val="auto"/>
        </w:rPr>
      </w:pPr>
      <w:r>
        <w:rPr>
          <w:rFonts w:ascii="Arial" w:cs="Arial" w:eastAsia="Arial" w:hAnsi="Arial"/>
          <w:sz w:val="18"/>
          <w:szCs w:val="18"/>
          <w:color w:val="auto"/>
        </w:rPr>
        <w:t xml:space="preserve">Thomas R. Evans </w:t>
      </w:r>
      <w:r>
        <w:rPr>
          <w:rFonts w:ascii="Arial" w:cs="Arial" w:eastAsia="Arial" w:hAnsi="Arial"/>
          <w:sz w:val="14"/>
          <w:szCs w:val="14"/>
          <w:i w:val="1"/>
          <w:iCs w:val="1"/>
          <w:color w:val="auto"/>
        </w:rPr>
        <w:t>(term</w:t>
      </w:r>
      <w:r>
        <w:rPr>
          <w:rFonts w:ascii="Arial" w:cs="Arial" w:eastAsia="Arial" w:hAnsi="Arial"/>
          <w:sz w:val="18"/>
          <w:szCs w:val="18"/>
          <w:color w:val="auto"/>
        </w:rPr>
        <w:t xml:space="preserve"> </w:t>
      </w:r>
      <w:r>
        <w:rPr>
          <w:rFonts w:ascii="Arial" w:cs="Arial" w:eastAsia="Arial" w:hAnsi="Arial"/>
          <w:sz w:val="14"/>
          <w:szCs w:val="14"/>
          <w:i w:val="1"/>
          <w:iCs w:val="1"/>
          <w:color w:val="auto"/>
        </w:rPr>
        <w:t>expiring at 2027 Annual Meeting</w:t>
      </w:r>
      <w:r>
        <w:rPr>
          <w:rFonts w:ascii="Arial" w:cs="Arial" w:eastAsia="Arial" w:hAnsi="Arial"/>
          <w:sz w:val="14"/>
          <w:szCs w:val="14"/>
          <w:color w:val="auto"/>
        </w:rPr>
        <w:t>)</w:t>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Paul J. Hennessy</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2027 Annual Meeting</w:t>
      </w:r>
      <w:r>
        <w:rPr>
          <w:rFonts w:ascii="Arial" w:cs="Arial" w:eastAsia="Arial" w:hAnsi="Arial"/>
          <w:sz w:val="14"/>
          <w:szCs w:val="14"/>
          <w:color w:val="auto"/>
        </w:rPr>
        <w:t>)</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Alfonse Upshaw</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2026 Annual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Extensive experience working at multinational corporations with teams across a range of products and significant business and operational experience, particularly as a senior marketing executive at media and technology companies.</w:t>
      </w:r>
    </w:p>
    <w:p>
      <w:pPr>
        <w:spacing w:after="0" w:line="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Breadth of business experience, particularly as a senior executive in internet and media industries, and service on the board of directors of public companies; valuable insight into operational strategy and execution.</w:t>
      </w:r>
    </w:p>
    <w:p>
      <w:pPr>
        <w:spacing w:after="0" w:line="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Extensive global marketing and management experience as well as domestic and international start-up experience, particularly as a senior executive with online marketing experience in the internet and travel industries.</w:t>
      </w:r>
    </w:p>
    <w:p>
      <w:pPr>
        <w:spacing w:after="0" w:line="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Extensive accounting, finance and corporate governance experience, including holding roles as chief accounting officer and regional chief financial officer of the largest not-for-profit integrated healthcare company in the United States, as well as qualification to serve as a financial expert.</w:t>
      </w:r>
    </w:p>
    <w:p>
      <w:pPr>
        <w:spacing w:after="0" w:line="200" w:lineRule="exact"/>
        <w:rPr>
          <w:sz w:val="20"/>
          <w:szCs w:val="20"/>
          <w:color w:val="auto"/>
        </w:rPr>
      </w:pPr>
    </w:p>
    <w:p>
      <w:pPr>
        <w:sectPr>
          <w:pgSz w:w="11900" w:h="16838" w:orient="portrait"/>
          <w:cols w:equalWidth="0" w:num="2">
            <w:col w:w="2220" w:space="200"/>
            <w:col w:w="8460"/>
          </w:cols>
          <w:pgMar w:left="320" w:top="877"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77" w:right="69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EF3A35"/>
        </w:rPr>
        <w:t>DIRECTOR COMPENSATION</w:t>
      </w:r>
    </w:p>
    <w:p>
      <w:pPr>
        <w:spacing w:after="0" w:line="1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The Board reviews the recommendations of the Compensation Committee and determines the form and amount of director compensation. Directors who also serve as employees of the Company do not receive payment for services as a director.</w:t>
      </w:r>
    </w:p>
    <w:p>
      <w:pPr>
        <w:spacing w:after="0" w:line="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overall goal of our director compensation program is to provide compensation for our non-employee directors in a manner that enables us to attract and retain outstanding director candidates and reflects the substantial time commitment necessary to oversee the Company’s affairs. Our director compensation program is also intended to align the interests of our directors and our stockholders, and we have chosen to do so by compensating our non-employee directors with a mix of cash and equity-based compensation. We also reimburse our non-employee directors for reasonable travel expenses and other out-of-pocket costs incurred in connection with attending Board and committee meetings.</w:t>
      </w:r>
    </w:p>
    <w:p>
      <w:pPr>
        <w:spacing w:after="0" w:line="7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2022 Omnibus Equity Incentive Plan, as amended and restated (the “</w:t>
      </w:r>
      <w:r>
        <w:rPr>
          <w:rFonts w:ascii="Arial" w:cs="Arial" w:eastAsia="Arial" w:hAnsi="Arial"/>
          <w:sz w:val="18"/>
          <w:szCs w:val="18"/>
          <w:u w:val="single" w:color="auto"/>
          <w:color w:val="auto"/>
        </w:rPr>
        <w:t>Amended and Restated 2022 Plan</w:t>
      </w:r>
      <w:r>
        <w:rPr>
          <w:rFonts w:ascii="Arial" w:cs="Arial" w:eastAsia="Arial" w:hAnsi="Arial"/>
          <w:sz w:val="18"/>
          <w:szCs w:val="18"/>
          <w:color w:val="auto"/>
        </w:rPr>
        <w:t>”) limits the maximum aggregate value of awards granted under the Amended and Restated 2022 Plan (based on their grant date fair value for financial reporting purposes) and cash payable to any individual non-employee director in any fiscal year to $750,000, subject to extraordinary circumstances for any non-employee director as the Board may determine in its discretion and in accordance with the terms of the Amended and Restated 2022 Plan. The Board believes this is a meaningful limit on total director compensation.</w:t>
      </w:r>
    </w:p>
    <w:p>
      <w:pPr>
        <w:spacing w:after="0" w:line="71"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Our non-employee director compensation program provides for an annual fee of $50,000 and fees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chairperson and members of our Audit, Compensation, and Nominating and Corporate Governance Committees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2024 Annual Retainer-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2024 Annual Retainer-</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Role</w:t>
            </w:r>
          </w:p>
        </w:tc>
        <w:tc>
          <w:tcPr>
            <w:tcW w:w="200" w:type="dxa"/>
            <w:vAlign w:val="bottom"/>
            <w:tcBorders>
              <w:bottom w:val="single" w:sz="8" w:color="BFE7FA"/>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Chairperson ($)</w:t>
            </w:r>
          </w:p>
        </w:tc>
        <w:tc>
          <w:tcPr>
            <w:tcW w:w="180" w:type="dxa"/>
            <w:vAlign w:val="bottom"/>
            <w:tcBorders>
              <w:bottom w:val="single" w:sz="8" w:color="BFE7FA"/>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Members ($)</w:t>
            </w:r>
          </w:p>
        </w:tc>
        <w:tc>
          <w:tcPr>
            <w:tcW w:w="0" w:type="dxa"/>
            <w:vAlign w:val="bottom"/>
          </w:tcPr>
          <w:p>
            <w:pPr>
              <w:spacing w:after="0"/>
              <w:rPr>
                <w:sz w:val="1"/>
                <w:szCs w:val="1"/>
                <w:color w:val="auto"/>
              </w:rPr>
            </w:pPr>
          </w:p>
        </w:tc>
      </w:tr>
      <w:tr>
        <w:trPr>
          <w:trHeight w:val="244"/>
        </w:trPr>
        <w:tc>
          <w:tcPr>
            <w:tcW w:w="6760" w:type="dxa"/>
            <w:vAlign w:val="bottom"/>
            <w:tcBorders>
              <w:bottom w:val="single" w:sz="8" w:color="BFE7FA"/>
            </w:tcBorders>
            <w:gridSpan w:val="2"/>
            <w:shd w:val="clear" w:color="auto" w:fill="BFE7FA"/>
          </w:tcPr>
          <w:p>
            <w:pPr>
              <w:ind w:left="20"/>
              <w:spacing w:after="0"/>
              <w:rPr>
                <w:sz w:val="20"/>
                <w:szCs w:val="20"/>
                <w:color w:val="auto"/>
              </w:rPr>
            </w:pPr>
            <w:r>
              <w:rPr>
                <w:rFonts w:ascii="Arial" w:cs="Arial" w:eastAsia="Arial" w:hAnsi="Arial"/>
                <w:sz w:val="18"/>
                <w:szCs w:val="18"/>
                <w:color w:val="auto"/>
              </w:rPr>
              <w:t>Audit Committee</w:t>
            </w:r>
          </w:p>
        </w:tc>
        <w:tc>
          <w:tcPr>
            <w:tcW w:w="1560" w:type="dxa"/>
            <w:vAlign w:val="bottom"/>
            <w:tcBorders>
              <w:bottom w:val="single" w:sz="8" w:color="BFE7FA"/>
            </w:tcBorders>
            <w:shd w:val="clear" w:color="auto" w:fill="BFE7FA"/>
          </w:tcPr>
          <w:p>
            <w:pPr>
              <w:jc w:val="center"/>
              <w:spacing w:after="0"/>
              <w:rPr>
                <w:sz w:val="20"/>
                <w:szCs w:val="20"/>
                <w:color w:val="auto"/>
              </w:rPr>
            </w:pPr>
            <w:r>
              <w:rPr>
                <w:rFonts w:ascii="Arial" w:cs="Arial" w:eastAsia="Arial" w:hAnsi="Arial"/>
                <w:sz w:val="18"/>
                <w:szCs w:val="18"/>
                <w:color w:val="auto"/>
                <w:w w:val="98"/>
              </w:rPr>
              <w:t>20,000</w:t>
            </w:r>
          </w:p>
        </w:tc>
        <w:tc>
          <w:tcPr>
            <w:tcW w:w="180" w:type="dxa"/>
            <w:vAlign w:val="bottom"/>
            <w:tcBorders>
              <w:bottom w:val="single" w:sz="8" w:color="BFE7FA"/>
            </w:tcBorders>
            <w:shd w:val="clear" w:color="auto" w:fill="BFE7FA"/>
          </w:tcPr>
          <w:p>
            <w:pPr>
              <w:spacing w:after="0"/>
              <w:rPr>
                <w:sz w:val="21"/>
                <w:szCs w:val="21"/>
                <w:color w:val="auto"/>
              </w:rPr>
            </w:pPr>
          </w:p>
        </w:tc>
        <w:tc>
          <w:tcPr>
            <w:tcW w:w="1880" w:type="dxa"/>
            <w:vAlign w:val="bottom"/>
            <w:tcBorders>
              <w:bottom w:val="single" w:sz="8" w:color="BFE7FA"/>
            </w:tcBorders>
            <w:shd w:val="clear" w:color="auto" w:fill="BFE7FA"/>
          </w:tcPr>
          <w:p>
            <w:pPr>
              <w:jc w:val="center"/>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7"/>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15,000</w:t>
            </w:r>
          </w:p>
        </w:tc>
        <w:tc>
          <w:tcPr>
            <w:tcW w:w="1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5,000</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gridSpan w:val="2"/>
            <w:shd w:val="clear" w:color="auto" w:fill="BFE7FA"/>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560" w:type="dxa"/>
            <w:vAlign w:val="bottom"/>
            <w:shd w:val="clear" w:color="auto" w:fill="BFE7FA"/>
          </w:tcPr>
          <w:p>
            <w:pPr>
              <w:jc w:val="center"/>
              <w:spacing w:after="0"/>
              <w:rPr>
                <w:sz w:val="20"/>
                <w:szCs w:val="20"/>
                <w:color w:val="auto"/>
              </w:rPr>
            </w:pPr>
            <w:r>
              <w:rPr>
                <w:rFonts w:ascii="Arial" w:cs="Arial" w:eastAsia="Arial" w:hAnsi="Arial"/>
                <w:sz w:val="18"/>
                <w:szCs w:val="18"/>
                <w:color w:val="auto"/>
                <w:w w:val="98"/>
              </w:rPr>
              <w:t>10,000</w:t>
            </w:r>
          </w:p>
        </w:tc>
        <w:tc>
          <w:tcPr>
            <w:tcW w:w="180" w:type="dxa"/>
            <w:vAlign w:val="bottom"/>
            <w:shd w:val="clear" w:color="auto" w:fill="BFE7FA"/>
          </w:tcPr>
          <w:p>
            <w:pPr>
              <w:spacing w:after="0"/>
              <w:rPr>
                <w:sz w:val="21"/>
                <w:szCs w:val="21"/>
                <w:color w:val="auto"/>
              </w:rPr>
            </w:pPr>
          </w:p>
        </w:tc>
        <w:tc>
          <w:tcPr>
            <w:tcW w:w="1880" w:type="dxa"/>
            <w:vAlign w:val="bottom"/>
            <w:shd w:val="clear" w:color="auto" w:fill="BFE7FA"/>
          </w:tcPr>
          <w:p>
            <w:pPr>
              <w:jc w:val="center"/>
              <w:spacing w:after="0"/>
              <w:rPr>
                <w:sz w:val="20"/>
                <w:szCs w:val="20"/>
                <w:color w:val="auto"/>
              </w:rPr>
            </w:pPr>
            <w:r>
              <w:rPr>
                <w:rFonts w:ascii="Arial" w:cs="Arial" w:eastAsia="Arial" w:hAnsi="Arial"/>
                <w:sz w:val="18"/>
                <w:szCs w:val="18"/>
                <w:color w:val="auto"/>
                <w:w w:val="97"/>
              </w:rPr>
              <w:t>5,000</w:t>
            </w:r>
          </w:p>
        </w:tc>
        <w:tc>
          <w:tcPr>
            <w:tcW w:w="0" w:type="dxa"/>
            <w:vAlign w:val="bottom"/>
          </w:tcPr>
          <w:p>
            <w:pPr>
              <w:spacing w:after="0"/>
              <w:rPr>
                <w:sz w:val="1"/>
                <w:szCs w:val="1"/>
                <w:color w:val="auto"/>
              </w:rPr>
            </w:pPr>
          </w:p>
        </w:tc>
      </w:tr>
      <w:tr>
        <w:trPr>
          <w:trHeight w:val="23"/>
        </w:trPr>
        <w:tc>
          <w:tcPr>
            <w:tcW w:w="6560" w:type="dxa"/>
            <w:vAlign w:val="bottom"/>
            <w:shd w:val="clear" w:color="auto" w:fill="BFE7FA"/>
          </w:tcPr>
          <w:p>
            <w:pPr>
              <w:spacing w:after="0"/>
              <w:rPr>
                <w:sz w:val="2"/>
                <w:szCs w:val="2"/>
                <w:color w:val="auto"/>
              </w:rPr>
            </w:pPr>
          </w:p>
        </w:tc>
        <w:tc>
          <w:tcPr>
            <w:tcW w:w="200" w:type="dxa"/>
            <w:vAlign w:val="bottom"/>
            <w:shd w:val="clear" w:color="auto" w:fill="BFE7FA"/>
          </w:tcPr>
          <w:p>
            <w:pPr>
              <w:spacing w:after="0"/>
              <w:rPr>
                <w:sz w:val="2"/>
                <w:szCs w:val="2"/>
                <w:color w:val="auto"/>
              </w:rPr>
            </w:pPr>
          </w:p>
        </w:tc>
        <w:tc>
          <w:tcPr>
            <w:tcW w:w="1560" w:type="dxa"/>
            <w:vAlign w:val="bottom"/>
            <w:shd w:val="clear" w:color="auto" w:fill="BFE7FA"/>
          </w:tcPr>
          <w:p>
            <w:pPr>
              <w:spacing w:after="0"/>
              <w:rPr>
                <w:sz w:val="2"/>
                <w:szCs w:val="2"/>
                <w:color w:val="auto"/>
              </w:rPr>
            </w:pPr>
          </w:p>
        </w:tc>
        <w:tc>
          <w:tcPr>
            <w:tcW w:w="180" w:type="dxa"/>
            <w:vAlign w:val="bottom"/>
            <w:shd w:val="clear" w:color="auto" w:fill="BFE7FA"/>
          </w:tcPr>
          <w:p>
            <w:pPr>
              <w:spacing w:after="0"/>
              <w:rPr>
                <w:sz w:val="2"/>
                <w:szCs w:val="2"/>
                <w:color w:val="auto"/>
              </w:rPr>
            </w:pPr>
          </w:p>
        </w:tc>
        <w:tc>
          <w:tcPr>
            <w:tcW w:w="1880" w:type="dxa"/>
            <w:vAlign w:val="bottom"/>
            <w:shd w:val="clear" w:color="auto" w:fill="BFE7F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-521970</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-521970</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8"/>
          <w:szCs w:val="18"/>
          <w:color w:val="auto"/>
        </w:rPr>
        <w:t>In addition to the annual cash retainer, the independent director who serves as the presiding director receives an additional annual cash retainer in the amount of $20,000. All fees are payable quarterly in arrears (and prorated in the event of service less than an entire quarter).</w:t>
      </w:r>
    </w:p>
    <w:p>
      <w:pPr>
        <w:spacing w:after="0" w:line="4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2024 Non-Employee Director Equity Compensation: </w:t>
      </w:r>
      <w:r>
        <w:rPr>
          <w:rFonts w:ascii="Arial" w:cs="Arial" w:eastAsia="Arial" w:hAnsi="Arial"/>
          <w:sz w:val="18"/>
          <w:szCs w:val="18"/>
          <w:color w:val="auto"/>
        </w:rPr>
        <w:t>Our non-employee director compensation program also provides for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w:t>
      </w:r>
      <w:r>
        <w:rPr>
          <w:rFonts w:ascii="Arial" w:cs="Arial" w:eastAsia="Arial" w:hAnsi="Arial"/>
          <w:sz w:val="18"/>
          <w:szCs w:val="18"/>
          <w:u w:val="single" w:color="auto"/>
          <w:color w:val="auto"/>
        </w:rPr>
        <w:t>RSU</w:t>
      </w:r>
      <w:r>
        <w:rPr>
          <w:rFonts w:ascii="Arial" w:cs="Arial" w:eastAsia="Arial" w:hAnsi="Arial"/>
          <w:sz w:val="18"/>
          <w:szCs w:val="18"/>
          <w:color w:val="auto"/>
        </w:rPr>
        <w:t>”) award with a cash value equal to $ 175,000 annually upon election and annually thereafter, with the grant date of such annual award to be the date of our annual meeting of stockholders. These RSUs vest on the earlier of (i) the one-year anniversary of the date of grant and (ii) the date immediately preceding the date of our next annual meeting of stockholders, subject in each case to the non-employee director’s continued service to the Company through the vesting date. If a non-employee director is appointed to the Board at any point other than at the annual meeting of stockholders, the initial director grant is prorated.</w:t>
      </w:r>
    </w:p>
    <w:p>
      <w:pPr>
        <w:spacing w:after="0" w:line="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our Amended and Restated 2022 Plan and the terms of the RSU agreements entered into between each non-employee director and the Company. Furthermore, pursuant to the terms of our director compensation policy, the RSUs fully vest upon a change in control of the Company.</w:t>
      </w:r>
    </w:p>
    <w:p>
      <w:pPr>
        <w:spacing w:after="0" w:line="71"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EF3A35"/>
        </w:rPr>
        <w:t>Director Compensation Table</w:t>
      </w:r>
    </w:p>
    <w:p>
      <w:pPr>
        <w:spacing w:after="0" w:line="117"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on the amount of compensation received by our non -employee directors for the year ended December 31, 2024. Information regarding the compensation of Mr. Oringer and Mr. Hennessy is set forth in the Summary Compensation Table included elsewhere in this Proxy Statement.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7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Stock Awards ($)</w:t>
            </w:r>
            <w:r>
              <w:rPr>
                <w:rFonts w:ascii="Times New Roman" w:cs="Times New Roman" w:eastAsia="Times New Roman" w:hAnsi="Times New Roman"/>
                <w:sz w:val="23"/>
                <w:szCs w:val="23"/>
                <w:b w:val="1"/>
                <w:bCs w:val="1"/>
                <w:color w:val="auto"/>
                <w:w w:val="96"/>
                <w:vertAlign w:val="superscript"/>
              </w:rPr>
              <w:t>(2)</w:t>
            </w:r>
          </w:p>
        </w:tc>
        <w:tc>
          <w:tcPr>
            <w:tcW w:w="13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Total ($)</w:t>
            </w:r>
          </w:p>
        </w:tc>
      </w:tr>
      <w:tr>
        <w:trPr>
          <w:trHeight w:val="26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Deirdre Bigley</w:t>
            </w:r>
            <w:r>
              <w:rPr>
                <w:rFonts w:ascii="Times New Roman" w:cs="Times New Roman" w:eastAsia="Times New Roman" w:hAnsi="Times New Roman"/>
                <w:sz w:val="23"/>
                <w:szCs w:val="23"/>
                <w:color w:val="auto"/>
                <w:vertAlign w:val="superscript"/>
              </w:rPr>
              <w:t>(3)</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3"/>
                <w:szCs w:val="23"/>
                <w:color w:val="auto"/>
                <w:vertAlign w:val="superscript"/>
              </w:rPr>
              <w:t>(4)</w:t>
            </w:r>
          </w:p>
        </w:tc>
        <w:tc>
          <w:tcPr>
            <w:tcW w:w="4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95,000</w:t>
            </w:r>
          </w:p>
        </w:tc>
        <w:tc>
          <w:tcPr>
            <w:tcW w:w="2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265,475</w:t>
            </w:r>
          </w:p>
        </w:tc>
      </w:tr>
      <w:tr>
        <w:trPr>
          <w:trHeight w:val="27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Rachna Bhasin</w:t>
            </w:r>
            <w:r>
              <w:rPr>
                <w:rFonts w:ascii="Times New Roman" w:cs="Times New Roman" w:eastAsia="Times New Roman" w:hAnsi="Times New Roman"/>
                <w:sz w:val="23"/>
                <w:szCs w:val="23"/>
                <w:color w:val="auto"/>
                <w:vertAlign w:val="superscript"/>
              </w:rPr>
              <w:t>(5)</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3"/>
                <w:szCs w:val="23"/>
                <w:color w:val="auto"/>
                <w:vertAlign w:val="superscript"/>
              </w:rPr>
              <w:t>(6)</w:t>
            </w:r>
          </w:p>
        </w:tc>
        <w:tc>
          <w:tcPr>
            <w:tcW w:w="4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Jaime Teevan</w:t>
            </w:r>
            <w:r>
              <w:rPr>
                <w:rFonts w:ascii="Times New Roman" w:cs="Times New Roman" w:eastAsia="Times New Roman" w:hAnsi="Times New Roman"/>
                <w:sz w:val="23"/>
                <w:szCs w:val="23"/>
                <w:color w:val="auto"/>
                <w:vertAlign w:val="superscript"/>
              </w:rPr>
              <w:t>(7)</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25,000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146,213</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171,213</w:t>
            </w:r>
          </w:p>
        </w:tc>
      </w:tr>
    </w:tbl>
    <w:p>
      <w:pPr>
        <w:spacing w:after="0" w:line="200" w:lineRule="exact"/>
        <w:rPr>
          <w:sz w:val="20"/>
          <w:szCs w:val="20"/>
          <w:color w:val="auto"/>
        </w:rPr>
      </w:pPr>
    </w:p>
    <w:p>
      <w:pPr>
        <w:spacing w:after="0" w:line="232" w:lineRule="exact"/>
        <w:rPr>
          <w:sz w:val="20"/>
          <w:szCs w:val="20"/>
          <w:color w:val="auto"/>
        </w:rPr>
      </w:pPr>
    </w:p>
    <w:p>
      <w:pPr>
        <w:ind w:left="260" w:hanging="252"/>
        <w:spacing w:after="0" w:line="280" w:lineRule="auto"/>
        <w:tabs>
          <w:tab w:leader="none" w:pos="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fees earned or paid in cash for services as a director for the fiscal year ended December 31, 2024, including annual retainer fees, committee chair and membership fees, as applicable.</w:t>
      </w:r>
    </w:p>
    <w:p>
      <w:pPr>
        <w:spacing w:after="0" w:line="2" w:lineRule="exact"/>
        <w:rPr>
          <w:rFonts w:ascii="Times New Roman" w:cs="Times New Roman" w:eastAsia="Times New Roman" w:hAnsi="Times New Roman"/>
          <w:sz w:val="16"/>
          <w:szCs w:val="16"/>
          <w:color w:val="auto"/>
        </w:rPr>
      </w:pPr>
    </w:p>
    <w:p>
      <w:pPr>
        <w:jc w:val="both"/>
        <w:ind w:left="260" w:hanging="252"/>
        <w:spacing w:after="0" w:line="260" w:lineRule="auto"/>
        <w:tabs>
          <w:tab w:leader="none" w:pos="26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stock awards computed in accordance with Financial Accounting Board Accounting Standards Codification Topic 718, “Compensation - Stock Compensation.” Stock awards reflect a grant of RSUs with a value of approximately $175,000 on the date of the 2024 Annual Meeting of Stockholders, with the number of shares determined in accordance with our director compensation policy by dividing $175,000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$39.48 per share, which was the closing price of our Common Stock on June 6, 2024 and $35.08 per share for Dr. Teevan.</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Bigley had 4,318 unvested RSUs.</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Evans had 4,318 unvested RSUs and 23,321 vested RSUs, the settlement of which has been deferred.</w:t>
      </w:r>
    </w:p>
    <w:p>
      <w:pPr>
        <w:spacing w:after="0" w:line="7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Bhasin had 4,318 unvested RSUs and 3,539 vested RSUs, the settlement of which has been deferred.</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Upshaw had 4,318 unvested RSUs and 5,328 vested RSUs, the settlement of which has been deferred.</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Dr. Teevan had 4,168 unvested RSUs.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720"/>
        <w:spacing w:after="0"/>
        <w:rPr>
          <w:sz w:val="20"/>
          <w:szCs w:val="20"/>
          <w:color w:val="auto"/>
        </w:rPr>
      </w:pPr>
      <w:r>
        <w:rPr>
          <w:rFonts w:ascii="Arial" w:cs="Arial" w:eastAsia="Arial" w:hAnsi="Arial"/>
          <w:sz w:val="25"/>
          <w:szCs w:val="25"/>
          <w:b w:val="1"/>
          <w:bCs w:val="1"/>
          <w:color w:val="EF3A35"/>
        </w:rPr>
        <w:t>SECURITY OWNERSHIP OF CERTAIN BENEFICIAL OWNERS AND MANAGEMENT</w:t>
      </w:r>
    </w:p>
    <w:p>
      <w:pPr>
        <w:spacing w:after="0" w:line="123"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The following table sets forth information, as of November 1, 2025 or as of the dates referenced below, regarding the beneficial ownership of our Common Stock by:</w:t>
      </w:r>
    </w:p>
    <w:p>
      <w:pPr>
        <w:spacing w:after="0" w:line="99" w:lineRule="exact"/>
        <w:rPr>
          <w:sz w:val="20"/>
          <w:szCs w:val="20"/>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the outstanding shares of any class of our voting securities;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39"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As of November 1, 2025, we had 35,513,216 shares of Common Stock outstanding. We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December 31, 2025 in connection with stock options or vesting of RSUs (not taking into account the withholding of shares of Common Stock to cover applicable taxes). Unless otherwise noted below, the address of each beneficial owner listed in the table below is c/o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Shares Beneficially Owned</w:t>
            </w:r>
          </w:p>
        </w:tc>
      </w:tr>
      <w:tr>
        <w:trPr>
          <w:trHeight w:val="26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480" w:type="dxa"/>
            <w:vAlign w:val="bottom"/>
          </w:tcPr>
          <w:p>
            <w:pPr>
              <w:spacing w:after="0"/>
              <w:rPr>
                <w:sz w:val="22"/>
                <w:szCs w:val="22"/>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Percentage</w:t>
            </w:r>
          </w:p>
        </w:tc>
      </w:tr>
      <w:tr>
        <w:trPr>
          <w:trHeight w:val="255"/>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93"/>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Jonathan Oringer</w:t>
            </w:r>
            <w:r>
              <w:rPr>
                <w:rFonts w:ascii="Arial" w:cs="Arial" w:eastAsia="Arial" w:hAnsi="Arial"/>
                <w:sz w:val="23"/>
                <w:szCs w:val="23"/>
                <w:color w:val="auto"/>
                <w:vertAlign w:val="superscript"/>
              </w:rPr>
              <w:t>(1)</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9"/>
              </w:rPr>
              <w:t>11,095,597</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31.0%</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Paul J. Hennessy</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312,333</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9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(2)</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43,904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2"/>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(3)</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1,974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Rik Powell</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3,502</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Deirdre Bigley</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18,882</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Rachna Bhasin</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22,721</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301"/>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Thomas R. Evans</w:t>
            </w:r>
            <w:r>
              <w:rPr>
                <w:rFonts w:ascii="Arial" w:cs="Arial" w:eastAsia="Arial" w:hAnsi="Arial"/>
                <w:sz w:val="23"/>
                <w:szCs w:val="23"/>
                <w:color w:val="auto"/>
                <w:vertAlign w:val="superscript"/>
              </w:rPr>
              <w:t>(4)</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31,664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Jaime Teevan</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4,168</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9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Alfonse Upshaw</w:t>
            </w:r>
            <w:r>
              <w:rPr>
                <w:rFonts w:ascii="Arial" w:cs="Arial" w:eastAsia="Arial" w:hAnsi="Arial"/>
                <w:sz w:val="23"/>
                <w:szCs w:val="23"/>
                <w:color w:val="auto"/>
                <w:vertAlign w:val="superscript"/>
              </w:rPr>
              <w:t>(5)</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10,633</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4"/>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All executive officers and directors as a group (10 persons)</w:t>
            </w:r>
            <w:r>
              <w:rPr>
                <w:rFonts w:ascii="Arial" w:cs="Arial" w:eastAsia="Arial" w:hAnsi="Arial"/>
                <w:sz w:val="23"/>
                <w:szCs w:val="23"/>
                <w:b w:val="1"/>
                <w:bCs w:val="1"/>
                <w:i w:val="1"/>
                <w:iCs w:val="1"/>
                <w:color w:val="auto"/>
                <w:vertAlign w:val="superscript"/>
              </w:rPr>
              <w:t>(6)</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9"/>
              </w:rPr>
              <w:t>11,545,378</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32.3%</w:t>
            </w:r>
          </w:p>
        </w:tc>
      </w:tr>
      <w:tr>
        <w:trPr>
          <w:trHeight w:val="245"/>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Other 5% Stockholders:</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91"/>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(7)</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99"/>
              </w:rPr>
              <w:t>3,756,405</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10.6%</w:t>
            </w:r>
          </w:p>
        </w:tc>
      </w:tr>
      <w:tr>
        <w:trPr>
          <w:trHeight w:val="29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(8)</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99"/>
              </w:rPr>
              <w:t>2,346,459</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rPr>
              <w:t>6.6%</w:t>
            </w:r>
          </w:p>
        </w:tc>
      </w:tr>
    </w:tbl>
    <w:p>
      <w:pPr>
        <w:ind w:left="20"/>
        <w:spacing w:after="0"/>
        <w:rPr>
          <w:sz w:val="20"/>
          <w:szCs w:val="20"/>
          <w:color w:val="auto"/>
        </w:rPr>
      </w:pPr>
      <w:r>
        <w:rPr>
          <w:rFonts w:ascii="Arial" w:cs="Arial" w:eastAsia="Arial" w:hAnsi="Arial"/>
          <w:sz w:val="14"/>
          <w:szCs w:val="14"/>
          <w:color w:val="auto"/>
        </w:rPr>
        <w:t>* Represents beneficial ownership of less than 1%.</w:t>
      </w:r>
    </w:p>
    <w:p>
      <w:pPr>
        <w:spacing w:after="0" w:line="271" w:lineRule="exact"/>
        <w:rPr>
          <w:sz w:val="20"/>
          <w:szCs w:val="20"/>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10,831,855 shares of Common Stock and 263,742 shares issuable upon exercise of outstanding options exercisable at or within 60 days of November 1, 2025.</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Yahes resigned as Chief Financial Officer effective November 1, 2024. His information comes from his final Form 4 filing on May 28, 2024.</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Caine’s employment as Chief Product and Digital Officer ended effective August 23, 2024. His information comes from his final Form 4 filing on May 2, 2024.</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29,409 shares of Common Stock and 2,255 shares issuable upon the vesting of RSUs at or within 60 days of November 1, 2025.</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2,781 shares of Common Stock and 7,852 shares issuable upon the vesting of RSUs at or within 60 days of November 1, 2025.</w:t>
      </w:r>
    </w:p>
    <w:p>
      <w:pPr>
        <w:spacing w:after="0" w:line="122" w:lineRule="exact"/>
        <w:rPr>
          <w:rFonts w:ascii="Times New Roman" w:cs="Times New Roman" w:eastAsia="Times New Roman" w:hAnsi="Times New Roman"/>
          <w:sz w:val="14"/>
          <w:szCs w:val="14"/>
          <w:color w:val="auto"/>
        </w:rPr>
      </w:pPr>
    </w:p>
    <w:p>
      <w:pPr>
        <w:ind w:left="300" w:right="400" w:hanging="274"/>
        <w:spacing w:after="0" w:line="180" w:lineRule="auto"/>
        <w:tabs>
          <w:tab w:leader="none" w:pos="3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Includes 263,742 shares issuable upon exercise of outstanding options exercisable at or within 60 days of November 1, 2025 and 10,107 shares issuable upon the vesting of RSUs at or within 60 days of November 1, 2025.</w:t>
      </w:r>
    </w:p>
    <w:p>
      <w:pPr>
        <w:spacing w:after="0" w:line="96" w:lineRule="exact"/>
        <w:rPr>
          <w:rFonts w:ascii="Times New Roman" w:cs="Times New Roman" w:eastAsia="Times New Roman" w:hAnsi="Times New Roman"/>
          <w:sz w:val="28"/>
          <w:szCs w:val="28"/>
          <w:color w:val="auto"/>
          <w:vertAlign w:val="superscript"/>
        </w:rPr>
      </w:pPr>
    </w:p>
    <w:p>
      <w:pPr>
        <w:ind w:left="300" w:right="260" w:hanging="274"/>
        <w:spacing w:after="0" w:line="192" w:lineRule="auto"/>
        <w:tabs>
          <w:tab w:leader="none" w:pos="30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This information is based solely on a Schedule 13G/A filed by Blackrock, Inc. (“</w:t>
      </w:r>
      <w:r>
        <w:rPr>
          <w:rFonts w:ascii="Times New Roman" w:cs="Times New Roman" w:eastAsia="Times New Roman" w:hAnsi="Times New Roman"/>
          <w:sz w:val="14"/>
          <w:szCs w:val="14"/>
          <w:u w:val="single" w:color="auto"/>
          <w:color w:val="auto"/>
        </w:rPr>
        <w:t>Blackrock</w:t>
      </w:r>
      <w:r>
        <w:rPr>
          <w:rFonts w:ascii="Times New Roman" w:cs="Times New Roman" w:eastAsia="Times New Roman" w:hAnsi="Times New Roman"/>
          <w:sz w:val="14"/>
          <w:szCs w:val="14"/>
          <w:color w:val="auto"/>
        </w:rPr>
        <w:t>”) with the SEC on April 29, 2025, which reported ownership as of March 31, 2025. Of the 3,756,405 shares of our Common Stock deemed beneficially owned, Blackrock reported sole voting power as to 3,711,917 shares, shared voting power as to 0 shares and sole dispositive power as to all shares beneficially owned. The address of Blackrock is 50 Hudson Yards, New York, New York 10001.</w:t>
      </w:r>
    </w:p>
    <w:p>
      <w:pPr>
        <w:spacing w:after="0" w:line="96" w:lineRule="exact"/>
        <w:rPr>
          <w:rFonts w:ascii="Times New Roman" w:cs="Times New Roman" w:eastAsia="Times New Roman" w:hAnsi="Times New Roman"/>
          <w:sz w:val="29"/>
          <w:szCs w:val="29"/>
          <w:color w:val="auto"/>
          <w:vertAlign w:val="superscript"/>
        </w:rPr>
      </w:pPr>
    </w:p>
    <w:p>
      <w:pPr>
        <w:ind w:left="300" w:right="140" w:hanging="274"/>
        <w:spacing w:after="0" w:line="192" w:lineRule="auto"/>
        <w:tabs>
          <w:tab w:leader="none" w:pos="30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This information is based solely on a Schedule 13G/A filed by The Vanguard Group (“</w:t>
      </w:r>
      <w:r>
        <w:rPr>
          <w:rFonts w:ascii="Times New Roman" w:cs="Times New Roman" w:eastAsia="Times New Roman" w:hAnsi="Times New Roman"/>
          <w:sz w:val="14"/>
          <w:szCs w:val="14"/>
          <w:u w:val="single" w:color="auto"/>
          <w:color w:val="auto"/>
        </w:rPr>
        <w:t>Vanguard</w:t>
      </w:r>
      <w:r>
        <w:rPr>
          <w:rFonts w:ascii="Times New Roman" w:cs="Times New Roman" w:eastAsia="Times New Roman" w:hAnsi="Times New Roman"/>
          <w:sz w:val="14"/>
          <w:szCs w:val="14"/>
          <w:color w:val="auto"/>
        </w:rPr>
        <w:t>”) with the SEC on July 29, 2025, which reported ownership as of June 30, 2025. Of the 2,346,459 shares of our Common Stock deemed beneficially owned, Vanguard reported sole voting power as to 0 shares, shared voting power as to 15,364 shares, sole dispositive power as to 2,302,315 shares and shared dispositive power as to 44,144 shares. The address of Vanguard is 100 Vanguard Blvd., Malvern, Pennsylvania 19355.</w:t>
      </w: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25"/>
          <w:szCs w:val="25"/>
          <w:b w:val="1"/>
          <w:bCs w:val="1"/>
          <w:color w:val="EF3A35"/>
        </w:rPr>
        <w:t>PROPOSAL TWO:</w:t>
      </w:r>
    </w:p>
    <w:p>
      <w:pPr>
        <w:spacing w:after="0" w:line="36" w:lineRule="exact"/>
        <w:rPr>
          <w:sz w:val="20"/>
          <w:szCs w:val="20"/>
          <w:color w:val="auto"/>
        </w:rPr>
      </w:pPr>
    </w:p>
    <w:p>
      <w:pPr>
        <w:jc w:val="center"/>
        <w:ind w:left="340" w:right="600"/>
        <w:spacing w:after="0" w:line="288" w:lineRule="auto"/>
        <w:rPr>
          <w:sz w:val="20"/>
          <w:szCs w:val="20"/>
          <w:color w:val="auto"/>
        </w:rPr>
      </w:pPr>
      <w:r>
        <w:rPr>
          <w:rFonts w:ascii="Arial" w:cs="Arial" w:eastAsia="Arial" w:hAnsi="Arial"/>
          <w:sz w:val="25"/>
          <w:szCs w:val="25"/>
          <w:b w:val="1"/>
          <w:bCs w:val="1"/>
          <w:color w:val="EF3A35"/>
        </w:rPr>
        <w:t>ADVISORY VOTE TO APPROVE THE COMPENSATION OF OUR NAMED EXECUTIVE OFFICERS</w:t>
      </w:r>
    </w:p>
    <w:p>
      <w:pPr>
        <w:spacing w:after="0" w:line="5" w:lineRule="exact"/>
        <w:rPr>
          <w:sz w:val="20"/>
          <w:szCs w:val="20"/>
          <w:color w:val="auto"/>
        </w:rPr>
      </w:pPr>
    </w:p>
    <w:p>
      <w:pPr>
        <w:jc w:val="both"/>
        <w:ind w:right="560" w:firstLine="324"/>
        <w:spacing w:after="0" w:line="268" w:lineRule="auto"/>
        <w:rPr>
          <w:sz w:val="20"/>
          <w:szCs w:val="20"/>
          <w:color w:val="auto"/>
        </w:rPr>
      </w:pPr>
      <w:r>
        <w:rPr>
          <w:rFonts w:ascii="Arial" w:cs="Arial" w:eastAsia="Arial" w:hAnsi="Arial"/>
          <w:sz w:val="18"/>
          <w:szCs w:val="18"/>
          <w:color w:val="auto"/>
        </w:rPr>
        <w:t>As required pursuant to Section 14A of the Exchange Act, the Board is asking you to approve, on an advisory basis, the executive compensation programs and policies and the resulting compensation of the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listed in the Summary Compensation Table as described in this Proxy Statement.</w:t>
      </w:r>
    </w:p>
    <w:p>
      <w:pPr>
        <w:spacing w:after="0" w:line="6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Because the vote is advisory, the result will not be binding on the Compensation Committee or the Company and it will not affect, limit or augment any existing compensation or awards. The Compensation Committee will, however, take into account the outcome of the vote when considering future compensation arrangements.</w:t>
      </w:r>
    </w:p>
    <w:p>
      <w:pPr>
        <w:spacing w:after="0" w:line="63"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The affirmative “FOR” vote of a majority of the shares present and entitled to vote at the 2025 Annual Meeting, either represented by proxy or by attending the meeting, is required to approve, on an advisory basis, the compensation of our NEOs.</w:t>
      </w:r>
    </w:p>
    <w:p>
      <w:pPr>
        <w:spacing w:after="0" w:line="4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We believe you should read the Compensation Discussion and Analysis, compensation tables and accompanying narrative information and also consider the factors below in determining whether to approve this proposal.</w:t>
      </w:r>
    </w:p>
    <w:p>
      <w:pPr>
        <w:spacing w:after="0" w:line="4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We have determined to include a stockholder vote on the compensation of named executive officers (commonly known as a “say on pay” vote) in our proxy statement annually until the next required vote on the frequency of say on pay votes. The next say on pay vote accordingly will be held at the 2026 Annual Meeting of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Key Features of our Executive Compensation Program</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discretionary structure of our compensation program allows our Board and our Compensation Committee to determine pay based on a comprehensive view of the quantitative and qualitative factors they believe best reflect the results that will produce long-term business success. The Board and the Compensation Committee maintain a strong correlation between our financial results and Company objectives and NEO compensation actually awarded.</w:t>
      </w:r>
    </w:p>
    <w:p>
      <w:pPr>
        <w:spacing w:after="0" w:line="68"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We designed our compensation programs for NEOs to attract, motivate and retain the key executives who drive our success. Pay that reflects performance and alignment of that pay with the interests of our stockholders are the key principles that underlie our compensation program and decisions. In that regard, we: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weight compensation towards driving achievement of our long-term strategic and financial objectives and aligning our</w:t>
      </w:r>
    </w:p>
    <w:p>
      <w:pPr>
        <w:spacing w:after="0" w:line="27" w:lineRule="exact"/>
        <w:rPr>
          <w:sz w:val="20"/>
          <w:szCs w:val="20"/>
          <w:color w:val="auto"/>
        </w:rPr>
      </w:pPr>
    </w:p>
    <w:p>
      <w:pPr>
        <w:ind w:left="700" w:right="620" w:hanging="314"/>
        <w:spacing w:after="0" w:line="26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officers’ interest with the long-term interests of our stockholders by providing meaningful variable and equity-based compensation, including performance-based equity compensation;</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base salaries to our senior executives that are competitive based on our review of market data;</w:t>
      </w:r>
    </w:p>
    <w:p>
      <w:pPr>
        <w:spacing w:after="0" w:line="63" w:lineRule="exact"/>
        <w:rPr>
          <w:rFonts w:ascii="Arial" w:cs="Arial" w:eastAsia="Arial" w:hAnsi="Arial"/>
          <w:sz w:val="18"/>
          <w:szCs w:val="18"/>
          <w:color w:val="auto"/>
        </w:rPr>
      </w:pPr>
    </w:p>
    <w:p>
      <w:pPr>
        <w:ind w:left="700" w:right="1120" w:hanging="314"/>
        <w:spacing w:after="0" w:line="186" w:lineRule="auto"/>
        <w:tabs>
          <w:tab w:leader="none" w:pos="715"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consider peer group competitive pay and practices and comparative data derived from market research in establishing compensation;</w:t>
      </w:r>
    </w:p>
    <w:p>
      <w:pPr>
        <w:spacing w:after="0" w:line="31" w:lineRule="exact"/>
        <w:rPr>
          <w:rFonts w:ascii="Arial" w:cs="Arial" w:eastAsia="Arial" w:hAnsi="Arial"/>
          <w:sz w:val="34"/>
          <w:szCs w:val="34"/>
          <w:color w:val="auto"/>
          <w:vertAlign w:val="subscript"/>
        </w:rPr>
      </w:pPr>
    </w:p>
    <w:p>
      <w:pPr>
        <w:ind w:left="700" w:right="1360" w:hanging="314"/>
        <w:spacing w:after="0" w:line="186" w:lineRule="auto"/>
        <w:tabs>
          <w:tab w:leader="none" w:pos="715"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strive to enhance retention by conditioning a significant percentage of total compensation on multi-year vesting and performance-based vesting; and</w:t>
      </w:r>
    </w:p>
    <w:p>
      <w:pPr>
        <w:spacing w:after="0" w:line="31" w:lineRule="exact"/>
        <w:rPr>
          <w:rFonts w:ascii="Arial" w:cs="Arial" w:eastAsia="Arial" w:hAnsi="Arial"/>
          <w:sz w:val="34"/>
          <w:szCs w:val="34"/>
          <w:color w:val="auto"/>
          <w:vertAlign w:val="subscript"/>
        </w:rPr>
      </w:pPr>
    </w:p>
    <w:p>
      <w:pPr>
        <w:ind w:left="720" w:hanging="3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include “golden parachute” excise tax gross-ups.</w:t>
      </w:r>
    </w:p>
    <w:p>
      <w:pPr>
        <w:spacing w:after="0" w:line="23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Although the vote in this Proposal 2 is non-binding, the Board and the Compensation Committee value the opinions of the stockholders and will review the voting results and consider the outcome of the say-on-pay vote and stockholder concerns, along with other relevant factors, when making future compensation design decisions.</w:t>
      </w:r>
    </w:p>
    <w:p>
      <w:pPr>
        <w:spacing w:after="0" w:line="6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accordance with the wishes of our stockholders based on a vote in 2021 regarding the frequency of say-on-pay proposals, we currently hold our say-on-pay vote every year. Accordingly, we are asking our stockholders to indicate their support for our named executive officer compensation as described in this Proxy Statement by voting “FOR” the following resolution at the 2025 Annual Meeting:</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 in this Proxy Statement, including in the “Compensation Discussion and Analysis,” the compensation tables and the narrative discussion, is hereby approved.”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EF3A35"/>
        </w:rPr>
        <w:t>OUR BOARD UNANIMOUSLY RECOMMENDS A VOTE “FOR” THIS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23" w:name="page24"/>
    <w:bookmarkEnd w:id="23"/>
    <w:p>
      <w:pPr>
        <w:ind w:left="3860"/>
        <w:spacing w:after="0"/>
        <w:rPr>
          <w:sz w:val="20"/>
          <w:szCs w:val="20"/>
          <w:color w:val="auto"/>
        </w:rPr>
      </w:pPr>
      <w:r>
        <w:rPr>
          <w:rFonts w:ascii="Arial" w:cs="Arial" w:eastAsia="Arial" w:hAnsi="Arial"/>
          <w:sz w:val="25"/>
          <w:szCs w:val="25"/>
          <w:b w:val="1"/>
          <w:bCs w:val="1"/>
          <w:color w:val="EF3A35"/>
        </w:rPr>
        <w:t>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Compensation Discussion and Analysis</w:t>
      </w:r>
    </w:p>
    <w:p>
      <w:pPr>
        <w:spacing w:after="0" w:line="12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This Compensation Discussion and Analysis describes our executive compensation program and the decisions made in 2024 as they pertain to each individual who served as our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our Chief Financial Officer (“</w:t>
      </w:r>
      <w:r>
        <w:rPr>
          <w:rFonts w:ascii="Arial" w:cs="Arial" w:eastAsia="Arial" w:hAnsi="Arial"/>
          <w:sz w:val="18"/>
          <w:szCs w:val="18"/>
          <w:u w:val="single" w:color="auto"/>
          <w:color w:val="auto"/>
        </w:rPr>
        <w:t>CFO</w:t>
      </w:r>
      <w:r>
        <w:rPr>
          <w:rFonts w:ascii="Arial" w:cs="Arial" w:eastAsia="Arial" w:hAnsi="Arial"/>
          <w:sz w:val="18"/>
          <w:szCs w:val="18"/>
          <w:color w:val="auto"/>
        </w:rPr>
        <w:t>”), and our other executive officers during our fiscal year ended December 31, 2024. Throughout this document, these executives are collectively referred to as our “NEOs” or our “named executive officers.” During fiscal year 2024,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40290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Jonathan Oringer</w:t>
            </w:r>
          </w:p>
        </w:tc>
        <w:tc>
          <w:tcPr>
            <w:tcW w:w="3860" w:type="dxa"/>
            <w:vAlign w:val="bottom"/>
          </w:tcPr>
          <w:p>
            <w:pPr>
              <w:ind w:left="460"/>
              <w:spacing w:after="0"/>
              <w:rPr>
                <w:sz w:val="20"/>
                <w:szCs w:val="20"/>
                <w:color w:val="auto"/>
              </w:rPr>
            </w:pPr>
            <w:r>
              <w:rPr>
                <w:rFonts w:ascii="Arial" w:cs="Arial" w:eastAsia="Arial" w:hAnsi="Arial"/>
                <w:sz w:val="18"/>
                <w:szCs w:val="18"/>
                <w:color w:val="auto"/>
                <w:w w:val="99"/>
              </w:rPr>
              <w:t>Founder, Executive Chairman of the Board</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Paul Hennessy</w:t>
            </w:r>
          </w:p>
        </w:tc>
        <w:tc>
          <w:tcPr>
            <w:tcW w:w="386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r>
        <w:trPr>
          <w:trHeight w:val="299"/>
        </w:trPr>
        <w:tc>
          <w:tcPr>
            <w:tcW w:w="1860" w:type="dxa"/>
            <w:vAlign w:val="bottom"/>
          </w:tcPr>
          <w:p>
            <w:pPr>
              <w:spacing w:after="0"/>
              <w:rPr>
                <w:sz w:val="20"/>
                <w:szCs w:val="20"/>
                <w:color w:val="auto"/>
              </w:rPr>
            </w:pPr>
            <w:r>
              <w:rPr>
                <w:rFonts w:ascii="Arial" w:cs="Arial" w:eastAsia="Arial" w:hAnsi="Arial"/>
                <w:sz w:val="18"/>
                <w:szCs w:val="18"/>
                <w:color w:val="auto"/>
              </w:rPr>
              <w:t>Rik Powell</w:t>
            </w:r>
          </w:p>
        </w:tc>
        <w:tc>
          <w:tcPr>
            <w:tcW w:w="3860" w:type="dxa"/>
            <w:vAlign w:val="bottom"/>
          </w:tcPr>
          <w:p>
            <w:pPr>
              <w:ind w:left="46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3"/>
                <w:szCs w:val="23"/>
                <w:color w:val="auto"/>
                <w:vertAlign w:val="superscript"/>
              </w:rPr>
              <w:t>(1)</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Jarrod Yahes</w:t>
            </w:r>
          </w:p>
        </w:tc>
        <w:tc>
          <w:tcPr>
            <w:tcW w:w="3860" w:type="dxa"/>
            <w:vAlign w:val="bottom"/>
          </w:tcPr>
          <w:p>
            <w:pPr>
              <w:ind w:left="460"/>
              <w:spacing w:after="0"/>
              <w:rPr>
                <w:sz w:val="20"/>
                <w:szCs w:val="20"/>
                <w:color w:val="auto"/>
              </w:rPr>
            </w:pPr>
            <w:r>
              <w:rPr>
                <w:rFonts w:ascii="Arial" w:cs="Arial" w:eastAsia="Arial" w:hAnsi="Arial"/>
                <w:sz w:val="18"/>
                <w:szCs w:val="18"/>
                <w:color w:val="auto"/>
              </w:rPr>
              <w:t>Former Chief Financial Officer</w:t>
            </w:r>
            <w:r>
              <w:rPr>
                <w:rFonts w:ascii="Arial" w:cs="Arial" w:eastAsia="Arial" w:hAnsi="Arial"/>
                <w:sz w:val="23"/>
                <w:szCs w:val="23"/>
                <w:color w:val="auto"/>
                <w:vertAlign w:val="superscript"/>
              </w:rPr>
              <w:t>(2)</w:t>
            </w:r>
          </w:p>
        </w:tc>
      </w:tr>
      <w:tr>
        <w:trPr>
          <w:trHeight w:val="311"/>
        </w:trPr>
        <w:tc>
          <w:tcPr>
            <w:tcW w:w="1860" w:type="dxa"/>
            <w:vAlign w:val="bottom"/>
          </w:tcPr>
          <w:p>
            <w:pPr>
              <w:spacing w:after="0"/>
              <w:rPr>
                <w:sz w:val="20"/>
                <w:szCs w:val="20"/>
                <w:color w:val="auto"/>
              </w:rPr>
            </w:pPr>
            <w:r>
              <w:rPr>
                <w:rFonts w:ascii="Arial" w:cs="Arial" w:eastAsia="Arial" w:hAnsi="Arial"/>
                <w:sz w:val="18"/>
                <w:szCs w:val="18"/>
                <w:color w:val="auto"/>
              </w:rPr>
              <w:t>John Caine</w:t>
            </w:r>
          </w:p>
        </w:tc>
        <w:tc>
          <w:tcPr>
            <w:tcW w:w="3860" w:type="dxa"/>
            <w:vAlign w:val="bottom"/>
          </w:tcPr>
          <w:p>
            <w:pPr>
              <w:ind w:left="460"/>
              <w:spacing w:after="0"/>
              <w:rPr>
                <w:sz w:val="20"/>
                <w:szCs w:val="20"/>
                <w:color w:val="auto"/>
              </w:rPr>
            </w:pPr>
            <w:r>
              <w:rPr>
                <w:rFonts w:ascii="Arial" w:cs="Arial" w:eastAsia="Arial" w:hAnsi="Arial"/>
                <w:sz w:val="18"/>
                <w:szCs w:val="18"/>
                <w:color w:val="auto"/>
                <w:w w:val="99"/>
              </w:rPr>
              <w:t>Former Chief Product and Digital Officer</w:t>
            </w:r>
            <w:r>
              <w:rPr>
                <w:rFonts w:ascii="Arial" w:cs="Arial" w:eastAsia="Arial" w:hAnsi="Arial"/>
                <w:sz w:val="23"/>
                <w:szCs w:val="23"/>
                <w:color w:val="auto"/>
                <w:w w:val="99"/>
                <w:vertAlign w:val="superscript"/>
              </w:rPr>
              <w:t>(3)</w:t>
            </w:r>
          </w:p>
        </w:tc>
      </w:tr>
    </w:tbl>
    <w:p>
      <w:pPr>
        <w:spacing w:after="0" w:line="13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Powell was appointed as Chief Financial Officer of the Company effective November 1, 2024.</w:t>
      </w:r>
    </w:p>
    <w:p>
      <w:pPr>
        <w:spacing w:after="0" w:line="68"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Yahes resigned as Chief Financial Officer of the Company effective November 1, 2024.</w:t>
      </w:r>
    </w:p>
    <w:p>
      <w:pPr>
        <w:spacing w:after="0" w:line="68"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Caine’s employment as Chief Product and Digital Officer of the Company ended effective August 23, 2024.</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is organized into four sections:</w:t>
      </w:r>
    </w:p>
    <w:p>
      <w:pPr>
        <w:spacing w:after="0" w:line="171" w:lineRule="exact"/>
        <w:rPr>
          <w:sz w:val="20"/>
          <w:szCs w:val="20"/>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 – Executive Summary</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 – Establishing and Evaluating Executive Compensation</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3 – Elements of 2024 Compensation</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4 – Other Compensation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1 – Executive Summary</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success depends, in part, on our ability to attract, engage, motivate and retain highly talented individuals who are committed to our vision, strategy and values. One of the key objectives of our executive compensation program is to maintain a strong alignment between corporate performance and executive compensation by tying incentive compensation to the achievement of performance metrics that we believe increase the Company’s long-term value and align our executives’ interests with the interests of our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Business Highlights</w:t>
      </w:r>
      <w:r>
        <w:rPr>
          <w:rFonts w:ascii="Arial" w:cs="Arial" w:eastAsia="Arial" w:hAnsi="Arial"/>
          <w:sz w:val="23"/>
          <w:szCs w:val="23"/>
          <w:color w:val="auto"/>
          <w:vertAlign w:val="superscript"/>
        </w:rPr>
        <w:t>(1)</w:t>
      </w:r>
    </w:p>
    <w:p>
      <w:pPr>
        <w:spacing w:after="0" w:line="6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our brands during the year ended December 31, 2024.</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highlights of our 2024 performance versus 2023 performance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w:t>
      </w:r>
    </w:p>
    <w:p>
      <w:pPr>
        <w:spacing w:after="0" w:line="114" w:lineRule="exact"/>
        <w:rPr>
          <w:sz w:val="20"/>
          <w:szCs w:val="20"/>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increased 7% to $935.3 million</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operations was $68.7 million, essentially flat.</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decreased 67% to $35.9 million</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increased 3% to $247.1 million</w:t>
      </w:r>
      <w:r>
        <w:rPr>
          <w:rFonts w:ascii="Arial" w:cs="Arial" w:eastAsia="Arial" w:hAnsi="Arial"/>
          <w:sz w:val="23"/>
          <w:szCs w:val="23"/>
          <w:color w:val="auto"/>
          <w:vertAlign w:val="superscript"/>
        </w:rPr>
        <w:t>(2)</w:t>
      </w:r>
    </w:p>
    <w:p>
      <w:pPr>
        <w:spacing w:after="0" w:line="2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cash flows decreased $107.9 million to $32.6 million</w:t>
      </w:r>
      <w:r>
        <w:rPr>
          <w:rFonts w:ascii="Arial" w:cs="Arial" w:eastAsia="Arial" w:hAnsi="Arial"/>
          <w:sz w:val="23"/>
          <w:szCs w:val="23"/>
          <w:color w:val="auto"/>
          <w:vertAlign w:val="superscript"/>
        </w:rPr>
        <w:t>(2)</w:t>
      </w:r>
    </w:p>
    <w:p>
      <w:pPr>
        <w:spacing w:after="0" w:line="5"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free cash flow decreased $29.8 million to $108.7 million</w:t>
      </w:r>
      <w:r>
        <w:rPr>
          <w:rFonts w:ascii="Arial" w:cs="Arial" w:eastAsia="Arial" w:hAnsi="Arial"/>
          <w:sz w:val="23"/>
          <w:szCs w:val="23"/>
          <w:color w:val="auto"/>
          <w:vertAlign w:val="superscript"/>
        </w:rPr>
        <w:t>(2)</w:t>
      </w:r>
    </w:p>
    <w:p>
      <w:pPr>
        <w:spacing w:after="0" w:line="11" w:lineRule="exact"/>
        <w:rPr>
          <w:sz w:val="20"/>
          <w:szCs w:val="20"/>
          <w:color w:val="auto"/>
        </w:rPr>
      </w:pPr>
    </w:p>
    <w:p>
      <w:pPr>
        <w:ind w:left="720" w:right="200" w:hanging="370"/>
        <w:spacing w:after="0" w:line="269"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additional information regarding our financial results, please see our 2024 Annual Report,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our 2024 Annual Report.</w:t>
      </w:r>
    </w:p>
    <w:p>
      <w:pPr>
        <w:spacing w:after="0" w:line="6" w:lineRule="exact"/>
        <w:rPr>
          <w:rFonts w:ascii="Arial" w:cs="Arial" w:eastAsia="Arial" w:hAnsi="Arial"/>
          <w:sz w:val="14"/>
          <w:szCs w:val="14"/>
          <w:color w:val="auto"/>
        </w:rPr>
      </w:pPr>
    </w:p>
    <w:p>
      <w:pPr>
        <w:ind w:left="720" w:hanging="37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a discussion regarding, and reconciliation of, our non-GAAP to GAAP financial measures, please see Annex A.</w:t>
      </w:r>
    </w:p>
    <w:p>
      <w:pPr>
        <w:sectPr>
          <w:pgSz w:w="11900" w:h="16838" w:orient="portrait"/>
          <w:cols w:equalWidth="0" w:num="1">
            <w:col w:w="11060"/>
          </w:cols>
          <w:pgMar w:left="320" w:top="87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71" w:right="5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Shareholder Engagement</w:t>
      </w:r>
    </w:p>
    <w:p>
      <w:pPr>
        <w:spacing w:after="0" w:line="117"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At our 2024 Annual Meeting, approximately 94.8%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2 – Establishing and Evaluating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&amp; Objectives</w:t>
      </w:r>
    </w:p>
    <w:p>
      <w:pPr>
        <w:spacing w:after="0" w:line="117" w:lineRule="exact"/>
        <w:rPr>
          <w:sz w:val="20"/>
          <w:szCs w:val="20"/>
          <w:color w:val="auto"/>
        </w:rPr>
      </w:pPr>
    </w:p>
    <w:p>
      <w:pPr>
        <w:jc w:val="both"/>
        <w:ind w:right="100" w:firstLine="324"/>
        <w:spacing w:after="0" w:line="262" w:lineRule="auto"/>
        <w:rPr>
          <w:sz w:val="20"/>
          <w:szCs w:val="20"/>
          <w:color w:val="auto"/>
        </w:rPr>
      </w:pPr>
      <w:r>
        <w:rPr>
          <w:rFonts w:ascii="Arial" w:cs="Arial" w:eastAsia="Arial" w:hAnsi="Arial"/>
          <w:sz w:val="18"/>
          <w:szCs w:val="18"/>
          <w:color w:val="auto"/>
        </w:rPr>
        <w:t>Our philosophy with regard to the compensation of our named executive officers, is to attract and retain high performers, and motivate them to pursue our corporate and business objectives that are intended to create long-term value for our stockholders. We strive to provide compensation packages that are competitive, reward achievement of our business objectives, and align executive and stockholder interests through equity ownership.</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 is designed to:</w:t>
      </w:r>
    </w:p>
    <w:p>
      <w:pPr>
        <w:spacing w:after="0" w:line="171" w:lineRule="exact"/>
        <w:rPr>
          <w:sz w:val="20"/>
          <w:szCs w:val="20"/>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motivate and retain high-performing executives;</w:t>
      </w:r>
    </w:p>
    <w:p>
      <w:pPr>
        <w:spacing w:after="0" w:line="63" w:lineRule="exact"/>
        <w:rPr>
          <w:rFonts w:ascii="Arial" w:cs="Arial" w:eastAsia="Arial" w:hAnsi="Arial"/>
          <w:sz w:val="18"/>
          <w:szCs w:val="18"/>
          <w:color w:val="auto"/>
        </w:rPr>
      </w:pPr>
    </w:p>
    <w:p>
      <w:pPr>
        <w:ind w:left="700" w:right="580" w:hanging="314"/>
        <w:spacing w:after="0" w:line="28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compensation that is competitive with the market and tailored to account for the specific needs and responsibilities of the particular position, as well as the performance and unique qualifications of the individual executive;</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actual payouts are aligned with financial performance and strategic business goals that enhance stockholder value;</w:t>
      </w:r>
    </w:p>
    <w:p>
      <w:pPr>
        <w:spacing w:after="0" w:line="63" w:lineRule="exact"/>
        <w:rPr>
          <w:rFonts w:ascii="Arial" w:cs="Arial" w:eastAsia="Arial" w:hAnsi="Arial"/>
          <w:sz w:val="18"/>
          <w:szCs w:val="18"/>
          <w:color w:val="auto"/>
        </w:rPr>
      </w:pPr>
    </w:p>
    <w:p>
      <w:pPr>
        <w:ind w:left="700" w:right="680" w:hanging="314"/>
        <w:spacing w:after="0" w:line="28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 substantial portion of each executive’s total compensation is “at-risk” and varies based on Company and individual performance;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the executive compensation program with both short-term and long-term stockholder interests.</w:t>
      </w:r>
    </w:p>
    <w:p>
      <w:pPr>
        <w:spacing w:after="0" w:line="239" w:lineRule="exact"/>
        <w:rPr>
          <w:sz w:val="20"/>
          <w:szCs w:val="20"/>
          <w:color w:val="auto"/>
        </w:rPr>
      </w:pPr>
    </w:p>
    <w:p>
      <w:pPr>
        <w:ind w:right="680" w:firstLine="324"/>
        <w:spacing w:after="0" w:line="375" w:lineRule="auto"/>
        <w:rPr>
          <w:sz w:val="20"/>
          <w:szCs w:val="20"/>
          <w:color w:val="auto"/>
        </w:rPr>
      </w:pPr>
      <w:r>
        <w:rPr>
          <w:rFonts w:ascii="Arial" w:cs="Arial" w:eastAsia="Arial" w:hAnsi="Arial"/>
          <w:sz w:val="18"/>
          <w:szCs w:val="18"/>
          <w:color w:val="auto"/>
        </w:rPr>
        <w:t xml:space="preserve">As our needs evolve, we will reevaluate our philosophy and compensation programs from time to time as circumstances require. </w:t>
      </w:r>
      <w:r>
        <w:rPr>
          <w:rFonts w:ascii="Arial" w:cs="Arial" w:eastAsia="Arial" w:hAnsi="Arial"/>
          <w:sz w:val="18"/>
          <w:szCs w:val="18"/>
          <w:b w:val="1"/>
          <w:bCs w:val="1"/>
          <w:color w:val="auto"/>
        </w:rPr>
        <w:t>Setting our Compensation</w:t>
      </w:r>
    </w:p>
    <w:p>
      <w:pPr>
        <w:spacing w:after="0" w:line="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Compensation Committee is responsible for overseeing all aspects of our executive compensation programs, including executive salaries, annual cash incentive payouts, the size and structure of equity awards and any severance or change in control benefits. In carrying out its responsibilities, the Compensation Committee reviews, evaluates and approves the compensation arrangements, plans, policies, and practices for our executive officers. When discharging its responsibilities, the Compensation Committee relies on input from our management and our independent compensation consultant, whose roles are discussed below. Mr. Oringer, our Executive Chairman, also assists the Compensation Committee in determining our CEO’s compensation. Our management provides our Compensation Committee with its perspectives on certain aspects of our NEOs’ compensation, including the metrics and targets used in our performance-based compensation elements and the companies that constitute our compensation peers. Additionally, for each NEO except for himself, our CEO provides his review of the NEO’s individual performance to the committee and recommends an amount of compensation for the NEO, informed by that NEO’s individual performance and data regarding market levels of compensation for that NEO’s role and scope of responsibility. Our CEO and Executive Chairman do not participate in the Compensation Committee’s deliberations on their own compensation.</w:t>
      </w:r>
    </w:p>
    <w:p>
      <w:pPr>
        <w:spacing w:after="0" w:line="6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Potential changes to our executive officers’ compensation, such as increases in salary and annual incentive opportunities, are considered by the Compensation Committee annually. Any changes are typically set by the Compensation Committee at a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w:t>
      </w:r>
    </w:p>
    <w:p>
      <w:pPr>
        <w:spacing w:after="0" w:line="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determining compensation, our Compensation Committee has retained the services of Pearl Meyer as its independent compensation consultant to provide advice and recommendations on the amount and form of executive compensation. Pearl Meyer was selected by and reports to the Compensation Committee and did not provide any other services to the Company. Our Compensation Committee periodically has sought input from Pearl Meyer on a range of external market factors, including evolving compensation trends, appropriate peer companies and market survey data. Pearl Meyer has also provided general observations on the Company’s compensation programs, including the compensation of our Executive Chairman and the design of our PSUs, each as described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5" w:name="page26"/>
    <w:bookmarkEnd w:id="25"/>
    <w:p>
      <w:pPr>
        <w:ind w:right="40" w:firstLine="324"/>
        <w:spacing w:after="0" w:line="262" w:lineRule="auto"/>
        <w:rPr>
          <w:sz w:val="20"/>
          <w:szCs w:val="20"/>
          <w:color w:val="auto"/>
        </w:rPr>
      </w:pPr>
      <w:r>
        <w:rPr>
          <w:rFonts w:ascii="Arial" w:cs="Arial" w:eastAsia="Arial" w:hAnsi="Arial"/>
          <w:sz w:val="18"/>
          <w:szCs w:val="18"/>
          <w:color w:val="auto"/>
        </w:rPr>
        <w:t>Our Compensation Committee considered and assessed all factors relevant to Pearl Meyer’s independence, including factors specified in NYSE listing standards and Rule 10C-1(b) of the Exchange Act, as well as certain other factors that could give rise to a potential conflict of interest with respect to the work of Pearl Meyer. Based on this assessment, our Compensation Committee confirmed that no conflicts of interest were raised by the work performed by Pearl Meyer.</w:t>
      </w:r>
    </w:p>
    <w:p>
      <w:pPr>
        <w:spacing w:after="0" w:line="68"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Comparative Market Data</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in determining base salary, bonus targets, long-term equity awards and total compensation levels. The Compensation Committee and management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w:t>
      </w:r>
    </w:p>
    <w:p>
      <w:pPr>
        <w:spacing w:after="0" w:line="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Compensation Committee periodically reviews the composition of our peer group used in making compensation decisions to determine whether any changes are appropriate. In January 2024, the Compensation Committee, in consultation with Pearl Meyer, reviewed and approved the composition of our peer group consisting of technology and software services companies that are similar to us in industry code, revenue, market capitalization and sales growth. Our peer group, which was used in making compensation decisions for fiscal year 2024, includes the following companies: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r>
              <w:rPr>
                <w:rFonts w:ascii="Arial" w:cs="Arial" w:eastAsia="Arial" w:hAnsi="Arial"/>
                <w:sz w:val="18"/>
                <w:szCs w:val="18"/>
                <w:color w:val="auto"/>
              </w:rPr>
              <w:t>Alarm.com Holdings, Inc.</w:t>
            </w:r>
          </w:p>
        </w:tc>
        <w:tc>
          <w:tcPr>
            <w:tcW w:w="3020" w:type="dxa"/>
            <w:vAlign w:val="bottom"/>
          </w:tcPr>
          <w:p>
            <w:pPr>
              <w:ind w:left="400"/>
              <w:spacing w:after="0"/>
              <w:rPr>
                <w:sz w:val="20"/>
                <w:szCs w:val="20"/>
                <w:color w:val="auto"/>
              </w:rPr>
            </w:pPr>
            <w:r>
              <w:rPr>
                <w:rFonts w:ascii="Arial" w:cs="Arial" w:eastAsia="Arial" w:hAnsi="Arial"/>
                <w:sz w:val="18"/>
                <w:szCs w:val="18"/>
                <w:color w:val="auto"/>
              </w:rPr>
              <w:t>Envestnet, Inc.</w:t>
            </w:r>
          </w:p>
        </w:tc>
        <w:tc>
          <w:tcPr>
            <w:tcW w:w="2600" w:type="dxa"/>
            <w:vAlign w:val="bottom"/>
          </w:tcPr>
          <w:p>
            <w:pPr>
              <w:ind w:left="440"/>
              <w:spacing w:after="0"/>
              <w:rPr>
                <w:sz w:val="20"/>
                <w:szCs w:val="20"/>
                <w:color w:val="auto"/>
              </w:rPr>
            </w:pPr>
            <w:r>
              <w:rPr>
                <w:rFonts w:ascii="Arial" w:cs="Arial" w:eastAsia="Arial" w:hAnsi="Arial"/>
                <w:sz w:val="18"/>
                <w:szCs w:val="18"/>
                <w:color w:val="auto"/>
              </w:rPr>
              <w:t>Magnite, Inc.</w:t>
            </w:r>
          </w:p>
        </w:tc>
        <w:tc>
          <w:tcPr>
            <w:tcW w:w="2380" w:type="dxa"/>
            <w:vAlign w:val="bottom"/>
          </w:tcPr>
          <w:p>
            <w:pPr>
              <w:ind w:left="360"/>
              <w:spacing w:after="0"/>
              <w:rPr>
                <w:sz w:val="20"/>
                <w:szCs w:val="20"/>
                <w:color w:val="auto"/>
              </w:rPr>
            </w:pPr>
            <w:r>
              <w:rPr>
                <w:rFonts w:ascii="Arial" w:cs="Arial" w:eastAsia="Arial" w:hAnsi="Arial"/>
                <w:sz w:val="18"/>
                <w:szCs w:val="18"/>
                <w:color w:val="auto"/>
                <w:w w:val="97"/>
              </w:rPr>
              <w:t>Quotient Technology,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Box, Inc.</w:t>
            </w:r>
          </w:p>
        </w:tc>
        <w:tc>
          <w:tcPr>
            <w:tcW w:w="3020" w:type="dxa"/>
            <w:vAlign w:val="bottom"/>
          </w:tcPr>
          <w:p>
            <w:pPr>
              <w:ind w:left="400"/>
              <w:spacing w:after="0"/>
              <w:rPr>
                <w:sz w:val="20"/>
                <w:szCs w:val="20"/>
                <w:color w:val="auto"/>
              </w:rPr>
            </w:pPr>
            <w:r>
              <w:rPr>
                <w:rFonts w:ascii="Arial" w:cs="Arial" w:eastAsia="Arial" w:hAnsi="Arial"/>
                <w:sz w:val="18"/>
                <w:szCs w:val="18"/>
                <w:color w:val="auto"/>
              </w:rPr>
              <w:t>Etsy, Inc.</w:t>
            </w:r>
          </w:p>
        </w:tc>
        <w:tc>
          <w:tcPr>
            <w:tcW w:w="2600" w:type="dxa"/>
            <w:vAlign w:val="bottom"/>
          </w:tcPr>
          <w:p>
            <w:pPr>
              <w:ind w:left="440"/>
              <w:spacing w:after="0"/>
              <w:rPr>
                <w:sz w:val="20"/>
                <w:szCs w:val="20"/>
                <w:color w:val="auto"/>
              </w:rPr>
            </w:pPr>
            <w:r>
              <w:rPr>
                <w:rFonts w:ascii="Arial" w:cs="Arial" w:eastAsia="Arial" w:hAnsi="Arial"/>
                <w:sz w:val="18"/>
                <w:szCs w:val="18"/>
                <w:color w:val="auto"/>
              </w:rPr>
              <w:t>New Relic, Inc.</w:t>
            </w:r>
          </w:p>
        </w:tc>
        <w:tc>
          <w:tcPr>
            <w:tcW w:w="2380" w:type="dxa"/>
            <w:vAlign w:val="bottom"/>
          </w:tcPr>
          <w:p>
            <w:pPr>
              <w:ind w:left="360"/>
              <w:spacing w:after="0"/>
              <w:rPr>
                <w:sz w:val="20"/>
                <w:szCs w:val="20"/>
                <w:color w:val="auto"/>
              </w:rPr>
            </w:pPr>
            <w:r>
              <w:rPr>
                <w:rFonts w:ascii="Arial" w:cs="Arial" w:eastAsia="Arial" w:hAnsi="Arial"/>
                <w:sz w:val="18"/>
                <w:szCs w:val="18"/>
                <w:color w:val="auto"/>
              </w:rPr>
              <w:t>Stitch Fix,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Cars.com Inc.</w:t>
            </w:r>
          </w:p>
        </w:tc>
        <w:tc>
          <w:tcPr>
            <w:tcW w:w="3020" w:type="dxa"/>
            <w:vAlign w:val="bottom"/>
          </w:tcPr>
          <w:p>
            <w:pPr>
              <w:ind w:left="400"/>
              <w:spacing w:after="0"/>
              <w:rPr>
                <w:sz w:val="20"/>
                <w:szCs w:val="20"/>
                <w:color w:val="auto"/>
              </w:rPr>
            </w:pPr>
            <w:r>
              <w:rPr>
                <w:rFonts w:ascii="Arial" w:cs="Arial" w:eastAsia="Arial" w:hAnsi="Arial"/>
                <w:sz w:val="18"/>
                <w:szCs w:val="18"/>
                <w:color w:val="auto"/>
              </w:rPr>
              <w:t>Getty Images Holdings, Inc.</w:t>
            </w:r>
          </w:p>
        </w:tc>
        <w:tc>
          <w:tcPr>
            <w:tcW w:w="2600" w:type="dxa"/>
            <w:vAlign w:val="bottom"/>
          </w:tcPr>
          <w:p>
            <w:pPr>
              <w:ind w:left="440"/>
              <w:spacing w:after="0"/>
              <w:rPr>
                <w:sz w:val="20"/>
                <w:szCs w:val="20"/>
                <w:color w:val="auto"/>
              </w:rPr>
            </w:pPr>
            <w:r>
              <w:rPr>
                <w:rFonts w:ascii="Arial" w:cs="Arial" w:eastAsia="Arial" w:hAnsi="Arial"/>
                <w:sz w:val="18"/>
                <w:szCs w:val="18"/>
                <w:color w:val="auto"/>
              </w:rPr>
              <w:t>Paycom Software, Inc.</w:t>
            </w:r>
          </w:p>
        </w:tc>
        <w:tc>
          <w:tcPr>
            <w:tcW w:w="2380" w:type="dxa"/>
            <w:vAlign w:val="bottom"/>
          </w:tcPr>
          <w:p>
            <w:pPr>
              <w:ind w:left="360"/>
              <w:spacing w:after="0"/>
              <w:rPr>
                <w:sz w:val="20"/>
                <w:szCs w:val="20"/>
                <w:color w:val="auto"/>
              </w:rPr>
            </w:pPr>
            <w:r>
              <w:rPr>
                <w:rFonts w:ascii="Arial" w:cs="Arial" w:eastAsia="Arial" w:hAnsi="Arial"/>
                <w:sz w:val="18"/>
                <w:szCs w:val="18"/>
                <w:color w:val="auto"/>
              </w:rPr>
              <w:t>TrueCar,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Dropbox, Inc.</w:t>
            </w:r>
          </w:p>
        </w:tc>
        <w:tc>
          <w:tcPr>
            <w:tcW w:w="3020" w:type="dxa"/>
            <w:vAlign w:val="bottom"/>
          </w:tcPr>
          <w:p>
            <w:pPr>
              <w:ind w:left="400"/>
              <w:spacing w:after="0"/>
              <w:rPr>
                <w:sz w:val="20"/>
                <w:szCs w:val="20"/>
                <w:color w:val="auto"/>
              </w:rPr>
            </w:pPr>
            <w:r>
              <w:rPr>
                <w:rFonts w:ascii="Arial" w:cs="Arial" w:eastAsia="Arial" w:hAnsi="Arial"/>
                <w:sz w:val="18"/>
                <w:szCs w:val="18"/>
                <w:color w:val="auto"/>
              </w:rPr>
              <w:t>LivePerson, Inc.</w:t>
            </w:r>
          </w:p>
        </w:tc>
        <w:tc>
          <w:tcPr>
            <w:tcW w:w="2600" w:type="dxa"/>
            <w:vAlign w:val="bottom"/>
          </w:tcPr>
          <w:p>
            <w:pPr>
              <w:ind w:left="440"/>
              <w:spacing w:after="0"/>
              <w:rPr>
                <w:sz w:val="20"/>
                <w:szCs w:val="20"/>
                <w:color w:val="auto"/>
              </w:rPr>
            </w:pPr>
            <w:r>
              <w:rPr>
                <w:rFonts w:ascii="Arial" w:cs="Arial" w:eastAsia="Arial" w:hAnsi="Arial"/>
                <w:sz w:val="18"/>
                <w:szCs w:val="18"/>
                <w:color w:val="auto"/>
              </w:rPr>
              <w:t>Pinterest, Inc.</w:t>
            </w:r>
          </w:p>
        </w:tc>
        <w:tc>
          <w:tcPr>
            <w:tcW w:w="2380" w:type="dxa"/>
            <w:vAlign w:val="bottom"/>
          </w:tcPr>
          <w:p>
            <w:pPr>
              <w:ind w:left="360"/>
              <w:spacing w:after="0"/>
              <w:rPr>
                <w:sz w:val="20"/>
                <w:szCs w:val="20"/>
                <w:color w:val="auto"/>
              </w:rPr>
            </w:pPr>
            <w:r>
              <w:rPr>
                <w:rFonts w:ascii="Arial" w:cs="Arial" w:eastAsia="Arial" w:hAnsi="Arial"/>
                <w:sz w:val="18"/>
                <w:szCs w:val="18"/>
                <w:color w:val="auto"/>
              </w:rPr>
              <w:t>Vimeo, Inc.</w:t>
            </w:r>
          </w:p>
        </w:tc>
      </w:tr>
      <w:tr>
        <w:trPr>
          <w:trHeight w:val="270"/>
        </w:trPr>
        <w:tc>
          <w:tcPr>
            <w:tcW w:w="2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00" w:type="dxa"/>
            <w:vAlign w:val="bottom"/>
          </w:tcPr>
          <w:p>
            <w:pPr>
              <w:ind w:left="440"/>
              <w:spacing w:after="0"/>
              <w:rPr>
                <w:sz w:val="20"/>
                <w:szCs w:val="20"/>
                <w:color w:val="auto"/>
              </w:rPr>
            </w:pPr>
            <w:r>
              <w:rPr>
                <w:rFonts w:ascii="Arial" w:cs="Arial" w:eastAsia="Arial" w:hAnsi="Arial"/>
                <w:sz w:val="18"/>
                <w:szCs w:val="18"/>
                <w:color w:val="auto"/>
              </w:rPr>
              <w:t>QuinStreet, Inc.</w:t>
            </w:r>
          </w:p>
        </w:tc>
        <w:tc>
          <w:tcPr>
            <w:tcW w:w="2380" w:type="dxa"/>
            <w:vAlign w:val="bottom"/>
          </w:tcPr>
          <w:p>
            <w:pPr>
              <w:ind w:left="360"/>
              <w:spacing w:after="0"/>
              <w:rPr>
                <w:sz w:val="20"/>
                <w:szCs w:val="20"/>
                <w:color w:val="auto"/>
              </w:rPr>
            </w:pPr>
            <w:r>
              <w:rPr>
                <w:rFonts w:ascii="Arial" w:cs="Arial" w:eastAsia="Arial" w:hAnsi="Arial"/>
                <w:sz w:val="18"/>
                <w:szCs w:val="18"/>
                <w:color w:val="auto"/>
              </w:rPr>
              <w:t>Yelp Inc.</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Compensation</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Oringer, our founder, has served as our Executive Chairman since April 2020 and previously served as our interim CEO for several months during fiscal 2022 and as our CEO for 17 years from the time he founded the Company in 2003 until 2020. In developing compensation recommendations for Mr. Oringer, our Compensation Committee, in its business judgment, has sought to appropriately reward Mr. Oringer’s critical contributions to the Company’s ongoing success and the success of our brand and to create incentives for Mr. Oringer to continue to contribute significantly to successful results in the future.</w:t>
      </w:r>
    </w:p>
    <w:p>
      <w:pPr>
        <w:spacing w:after="0" w:line="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Since April 2014, Mr. Oringer’s annual base salary has been $1.00 (one dollar) and Mr. Oringer has remained ineligible to receive an annual cash bonus. In providing for a $1.00 (one dollar) salary, the Compensation Committee determined to instead tie Mr. Oringer’s compensation almost entirely to the Company’s long-term business objectives and long-term stock price performance. In each of April 2022, 2023 and 2024, the Compensation Committee approved an award of performance stock units (“PSUs”) for Mr. Oringer with a grant-date value of $5,500,000, $5,500,000 and $5,225,000, respectively, which in each case vest over a 3-year period based on achievement of revenue growth and adjusted EBITDA margin targets in accordance with the Company-set goals for management. The target number of PSUs for each award was determined by dividing (x) the cash value of the award by (y) the average of the Company’s closing price for a share of Common Stock on each trading day during the 30 trading days period ending on the date immediately prior to the applicable grant date, rounded down to the nearest whole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2024 NEO Departures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Fiscal 2024 was a year of transition for our executive team, as follows:</w:t>
      </w:r>
    </w:p>
    <w:p>
      <w:pPr>
        <w:spacing w:after="0" w:line="117" w:lineRule="exact"/>
        <w:rPr>
          <w:sz w:val="20"/>
          <w:szCs w:val="20"/>
          <w:color w:val="auto"/>
        </w:rPr>
      </w:pPr>
    </w:p>
    <w:p>
      <w:pPr>
        <w:ind w:left="660" w:right="2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w:t>
      </w:r>
    </w:p>
    <w:p>
      <w:pPr>
        <w:spacing w:after="0" w:line="71"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October 24, 2024, Jarrod Yahes notified the Company of his resignation as Chief Financial Officer, effective November 1, 2024. Mr. Yahes remained with the Company in an advisory role through December 31, 2024, during which time he continued to earn his annual base salary until December 31, 2024 and remained eligible to earn an annual cash bonus for the full 2024 fiscal year pursuant to his Transition Agreement dated October 31, 2024. Mr. Yahes’ outstanding unvested equity awards were forfeited as of November 1, 2024.</w:t>
      </w:r>
    </w:p>
    <w:p>
      <w:pPr>
        <w:spacing w:after="0" w:line="71"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October 28, 2024, the Board unanimously appointed Rik Powell, the Company’s Senior Vice President, Finance and Investor Relations since June 2024, as the Company’s Chief Financial Officer, effective November 1, 2024. Prior to joining the Company in June 2024, Mr. Powell was Senior Vice President, Finance and Investor Relations at Shake Shack Inc., a NYSE-traded quick services restaurant group, for two years. Mr. Powell also served as the Chief Financial Officer of Getty Images Holdings, Inc., a NYSE-traded global visual content creator and marketplace, from 2017 to 2020.</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3 – Elements of 2024 Compensation</w:t>
      </w:r>
    </w:p>
    <w:p>
      <w:pPr>
        <w:spacing w:after="0" w:line="10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The principal elements of our executive compensation program for our other NEOs are set forth in the following table and described in more detail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EF3A35"/>
              </w:rPr>
              <w:t>Compensation Element</w:t>
            </w:r>
          </w:p>
        </w:tc>
        <w:tc>
          <w:tcPr>
            <w:tcW w:w="4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EF3A35"/>
              </w:rPr>
              <w:t>Characteristics</w:t>
            </w:r>
          </w:p>
        </w:tc>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EF3A35"/>
              </w:rPr>
              <w:t>Objectives</w:t>
            </w: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Base Salary</w:t>
            </w:r>
          </w:p>
        </w:tc>
        <w:tc>
          <w:tcPr>
            <w:tcW w:w="4460" w:type="dxa"/>
            <w:vAlign w:val="bottom"/>
          </w:tcPr>
          <w:p>
            <w:pPr>
              <w:ind w:left="320"/>
              <w:spacing w:after="0"/>
              <w:rPr>
                <w:sz w:val="20"/>
                <w:szCs w:val="20"/>
                <w:color w:val="auto"/>
              </w:rPr>
            </w:pPr>
            <w:r>
              <w:rPr>
                <w:rFonts w:ascii="Arial" w:cs="Arial" w:eastAsia="Arial" w:hAnsi="Arial"/>
                <w:sz w:val="18"/>
                <w:szCs w:val="18"/>
                <w:color w:val="auto"/>
              </w:rPr>
              <w:t>Annual fixed cash compensation</w:t>
            </w:r>
          </w:p>
        </w:tc>
        <w:tc>
          <w:tcPr>
            <w:tcW w:w="3900" w:type="dxa"/>
            <w:vAlign w:val="bottom"/>
          </w:tcPr>
          <w:p>
            <w:pPr>
              <w:ind w:left="180"/>
              <w:spacing w:after="0"/>
              <w:rPr>
                <w:sz w:val="20"/>
                <w:szCs w:val="20"/>
                <w:color w:val="auto"/>
              </w:rPr>
            </w:pPr>
            <w:r>
              <w:rPr>
                <w:rFonts w:ascii="Arial" w:cs="Arial" w:eastAsia="Arial" w:hAnsi="Arial"/>
                <w:sz w:val="18"/>
                <w:szCs w:val="18"/>
                <w:color w:val="auto"/>
              </w:rPr>
              <w:t>Provide a fixed level of cash compensation to</w:t>
            </w:r>
          </w:p>
        </w:tc>
      </w:tr>
      <w:tr>
        <w:trPr>
          <w:trHeight w:val="216"/>
        </w:trPr>
        <w:tc>
          <w:tcPr>
            <w:tcW w:w="2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attract, retain and reward talented and skilled</w:t>
            </w:r>
          </w:p>
        </w:tc>
      </w:tr>
      <w:tr>
        <w:trPr>
          <w:trHeight w:val="216"/>
        </w:trPr>
        <w:tc>
          <w:tcPr>
            <w:tcW w:w="2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 that is competitive for</w:t>
            </w:r>
          </w:p>
        </w:tc>
      </w:tr>
      <w:tr>
        <w:trPr>
          <w:trHeight w:val="239"/>
        </w:trPr>
        <w:tc>
          <w:tcPr>
            <w:tcW w:w="2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 specific to our industry.</w:t>
            </w:r>
          </w:p>
        </w:tc>
      </w:tr>
      <w:tr>
        <w:trPr>
          <w:trHeight w:val="23"/>
        </w:trPr>
        <w:tc>
          <w:tcPr>
            <w:tcW w:w="23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Annual Bonuses</w:t>
            </w:r>
          </w:p>
        </w:tc>
        <w:tc>
          <w:tcPr>
            <w:tcW w:w="4460" w:type="dxa"/>
            <w:vAlign w:val="bottom"/>
          </w:tcPr>
          <w:p>
            <w:pPr>
              <w:ind w:left="320"/>
              <w:spacing w:after="0"/>
              <w:rPr>
                <w:sz w:val="20"/>
                <w:szCs w:val="20"/>
                <w:color w:val="auto"/>
              </w:rPr>
            </w:pPr>
            <w:r>
              <w:rPr>
                <w:rFonts w:ascii="Arial" w:cs="Arial" w:eastAsia="Arial" w:hAnsi="Arial"/>
                <w:sz w:val="18"/>
                <w:szCs w:val="18"/>
                <w:color w:val="auto"/>
              </w:rPr>
              <w:t>Annual variable, performance-based cash</w:t>
            </w:r>
          </w:p>
        </w:tc>
        <w:tc>
          <w:tcPr>
            <w:tcW w:w="3900" w:type="dxa"/>
            <w:vAlign w:val="bottom"/>
          </w:tcPr>
          <w:p>
            <w:pPr>
              <w:ind w:left="180"/>
              <w:spacing w:after="0"/>
              <w:rPr>
                <w:sz w:val="20"/>
                <w:szCs w:val="20"/>
                <w:color w:val="auto"/>
              </w:rPr>
            </w:pPr>
            <w:r>
              <w:rPr>
                <w:rFonts w:ascii="Arial" w:cs="Arial" w:eastAsia="Arial" w:hAnsi="Arial"/>
                <w:sz w:val="18"/>
                <w:szCs w:val="18"/>
                <w:color w:val="auto"/>
              </w:rPr>
              <w:t>Motivate and reward the achievement of</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compensation determined by achievement of pre-</w:t>
            </w:r>
          </w:p>
        </w:tc>
        <w:tc>
          <w:tcPr>
            <w:tcW w:w="3900" w:type="dxa"/>
            <w:vAlign w:val="bottom"/>
          </w:tcPr>
          <w:p>
            <w:pPr>
              <w:ind w:left="180"/>
              <w:spacing w:after="0"/>
              <w:rPr>
                <w:sz w:val="20"/>
                <w:szCs w:val="20"/>
                <w:color w:val="auto"/>
              </w:rPr>
            </w:pPr>
            <w:r>
              <w:rPr>
                <w:rFonts w:ascii="Arial" w:cs="Arial" w:eastAsia="Arial" w:hAnsi="Arial"/>
                <w:sz w:val="18"/>
                <w:szCs w:val="18"/>
                <w:color w:val="auto"/>
                <w:w w:val="99"/>
              </w:rPr>
              <w:t>annual financial and other operating objectives</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established annual corporate goals and individual</w:t>
            </w:r>
          </w:p>
        </w:tc>
        <w:tc>
          <w:tcPr>
            <w:tcW w:w="3900" w:type="dxa"/>
            <w:vAlign w:val="bottom"/>
          </w:tcPr>
          <w:p>
            <w:pPr>
              <w:ind w:left="180"/>
              <w:spacing w:after="0"/>
              <w:rPr>
                <w:sz w:val="20"/>
                <w:szCs w:val="20"/>
                <w:color w:val="auto"/>
              </w:rPr>
            </w:pPr>
            <w:r>
              <w:rPr>
                <w:rFonts w:ascii="Arial" w:cs="Arial" w:eastAsia="Arial" w:hAnsi="Arial"/>
                <w:sz w:val="18"/>
                <w:szCs w:val="18"/>
                <w:color w:val="auto"/>
              </w:rPr>
              <w:t>and individual performance to drive</w:t>
            </w:r>
          </w:p>
        </w:tc>
      </w:tr>
      <w:tr>
        <w:trPr>
          <w:trHeight w:val="239"/>
        </w:trPr>
        <w:tc>
          <w:tcPr>
            <w:tcW w:w="236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performance</w:t>
            </w:r>
          </w:p>
        </w:tc>
        <w:tc>
          <w:tcPr>
            <w:tcW w:w="3900" w:type="dxa"/>
            <w:vAlign w:val="bottom"/>
          </w:tcPr>
          <w:p>
            <w:pPr>
              <w:ind w:left="180"/>
              <w:spacing w:after="0"/>
              <w:rPr>
                <w:sz w:val="20"/>
                <w:szCs w:val="20"/>
                <w:color w:val="auto"/>
              </w:rPr>
            </w:pPr>
            <w:r>
              <w:rPr>
                <w:rFonts w:ascii="Arial" w:cs="Arial" w:eastAsia="Arial" w:hAnsi="Arial"/>
                <w:sz w:val="18"/>
                <w:szCs w:val="18"/>
                <w:color w:val="auto"/>
              </w:rPr>
              <w:t>stockholder value over time.</w:t>
            </w:r>
          </w:p>
        </w:tc>
      </w:tr>
      <w:tr>
        <w:trPr>
          <w:trHeight w:val="23"/>
        </w:trPr>
        <w:tc>
          <w:tcPr>
            <w:tcW w:w="23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Long-Term Incentive</w:t>
            </w:r>
          </w:p>
        </w:tc>
        <w:tc>
          <w:tcPr>
            <w:tcW w:w="4460" w:type="dxa"/>
            <w:vAlign w:val="bottom"/>
          </w:tcPr>
          <w:p>
            <w:pPr>
              <w:ind w:left="320"/>
              <w:spacing w:after="0"/>
              <w:rPr>
                <w:sz w:val="20"/>
                <w:szCs w:val="20"/>
                <w:color w:val="auto"/>
              </w:rPr>
            </w:pPr>
            <w:r>
              <w:rPr>
                <w:rFonts w:ascii="Arial" w:cs="Arial" w:eastAsia="Arial" w:hAnsi="Arial"/>
                <w:sz w:val="18"/>
                <w:szCs w:val="18"/>
                <w:color w:val="auto"/>
              </w:rPr>
              <w:t>Variable equity compensation in three forms: (a)</w:t>
            </w:r>
          </w:p>
        </w:tc>
        <w:tc>
          <w:tcPr>
            <w:tcW w:w="3900" w:type="dxa"/>
            <w:vAlign w:val="bottom"/>
          </w:tcPr>
          <w:p>
            <w:pPr>
              <w:ind w:left="180"/>
              <w:spacing w:after="0"/>
              <w:rPr>
                <w:sz w:val="20"/>
                <w:szCs w:val="20"/>
                <w:color w:val="auto"/>
              </w:rPr>
            </w:pPr>
            <w:r>
              <w:rPr>
                <w:rFonts w:ascii="Arial" w:cs="Arial" w:eastAsia="Arial" w:hAnsi="Arial"/>
                <w:sz w:val="18"/>
                <w:szCs w:val="18"/>
                <w:color w:val="auto"/>
              </w:rPr>
              <w:t>Align an executive’s interest with that of</w:t>
            </w: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Compensation</w:t>
            </w:r>
          </w:p>
        </w:tc>
        <w:tc>
          <w:tcPr>
            <w:tcW w:w="4460" w:type="dxa"/>
            <w:vAlign w:val="bottom"/>
          </w:tcPr>
          <w:p>
            <w:pPr>
              <w:ind w:left="320"/>
              <w:spacing w:after="0"/>
              <w:rPr>
                <w:sz w:val="20"/>
                <w:szCs w:val="20"/>
                <w:color w:val="auto"/>
              </w:rPr>
            </w:pPr>
            <w:r>
              <w:rPr>
                <w:rFonts w:ascii="Arial" w:cs="Arial" w:eastAsia="Arial" w:hAnsi="Arial"/>
                <w:sz w:val="18"/>
                <w:szCs w:val="18"/>
                <w:color w:val="auto"/>
              </w:rPr>
              <w:t>stock options, (b) restricted stock units, both of</w:t>
            </w:r>
          </w:p>
        </w:tc>
        <w:tc>
          <w:tcPr>
            <w:tcW w:w="3900" w:type="dxa"/>
            <w:vAlign w:val="bottom"/>
          </w:tcPr>
          <w:p>
            <w:pPr>
              <w:ind w:left="180"/>
              <w:spacing w:after="0"/>
              <w:rPr>
                <w:sz w:val="20"/>
                <w:szCs w:val="20"/>
                <w:color w:val="auto"/>
              </w:rPr>
            </w:pPr>
            <w:r>
              <w:rPr>
                <w:rFonts w:ascii="Arial" w:cs="Arial" w:eastAsia="Arial" w:hAnsi="Arial"/>
                <w:sz w:val="18"/>
                <w:szCs w:val="18"/>
                <w:color w:val="auto"/>
              </w:rPr>
              <w:t>stockholders and motivate and reward</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which vest in annual installments over a period of</w:t>
            </w:r>
          </w:p>
        </w:tc>
        <w:tc>
          <w:tcPr>
            <w:tcW w:w="3900" w:type="dxa"/>
            <w:vAlign w:val="bottom"/>
          </w:tcPr>
          <w:p>
            <w:pPr>
              <w:ind w:left="180"/>
              <w:spacing w:after="0"/>
              <w:rPr>
                <w:sz w:val="20"/>
                <w:szCs w:val="20"/>
                <w:color w:val="auto"/>
              </w:rPr>
            </w:pPr>
            <w:r>
              <w:rPr>
                <w:rFonts w:ascii="Arial" w:cs="Arial" w:eastAsia="Arial" w:hAnsi="Arial"/>
                <w:sz w:val="18"/>
                <w:szCs w:val="18"/>
                <w:color w:val="auto"/>
              </w:rPr>
              <w:t>profitable growth and increases in stock price</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years; and/or (c) performance stock units, which</w:t>
            </w:r>
          </w:p>
        </w:tc>
        <w:tc>
          <w:tcPr>
            <w:tcW w:w="3900" w:type="dxa"/>
            <w:vAlign w:val="bottom"/>
          </w:tcPr>
          <w:p>
            <w:pPr>
              <w:ind w:left="180"/>
              <w:spacing w:after="0"/>
              <w:rPr>
                <w:sz w:val="20"/>
                <w:szCs w:val="20"/>
                <w:color w:val="auto"/>
              </w:rPr>
            </w:pPr>
            <w:r>
              <w:rPr>
                <w:rFonts w:ascii="Arial" w:cs="Arial" w:eastAsia="Arial" w:hAnsi="Arial"/>
                <w:sz w:val="18"/>
                <w:szCs w:val="18"/>
                <w:color w:val="auto"/>
              </w:rPr>
              <w:t>over time. Aid in attraction and retention of</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vest based on achievement of company financial</w:t>
            </w: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w:t>
            </w:r>
          </w:p>
        </w:tc>
      </w:tr>
      <w:tr>
        <w:trPr>
          <w:trHeight w:val="239"/>
        </w:trPr>
        <w:tc>
          <w:tcPr>
            <w:tcW w:w="236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goals</w:t>
            </w: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065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p>
      <w:pPr>
        <w:spacing w:after="0" w:line="45"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b w:val="1"/>
          <w:bCs w:val="1"/>
          <w:color w:val="EF3A35"/>
        </w:rPr>
        <w:t>Other Compensation</w:t>
      </w:r>
      <w:r>
        <w:rPr>
          <w:sz w:val="20"/>
          <w:szCs w:val="20"/>
          <w:color w:val="auto"/>
        </w:rPr>
        <w:tab/>
      </w:r>
      <w:r>
        <w:rPr>
          <w:rFonts w:ascii="Arial" w:cs="Arial" w:eastAsia="Arial" w:hAnsi="Arial"/>
          <w:sz w:val="18"/>
          <w:szCs w:val="18"/>
          <w:color w:val="auto"/>
        </w:rPr>
        <w:t>Indirect compensation elements consisting of</w:t>
      </w:r>
    </w:p>
    <w:p>
      <w:pPr>
        <w:spacing w:after="0" w:line="27" w:lineRule="exact"/>
        <w:rPr>
          <w:sz w:val="20"/>
          <w:szCs w:val="20"/>
          <w:color w:val="auto"/>
        </w:rPr>
      </w:pPr>
    </w:p>
    <w:p>
      <w:pPr>
        <w:ind w:left="2680"/>
        <w:spacing w:after="0" w:line="254" w:lineRule="auto"/>
        <w:rPr>
          <w:sz w:val="20"/>
          <w:szCs w:val="20"/>
          <w:color w:val="auto"/>
        </w:rPr>
      </w:pPr>
      <w:r>
        <w:rPr>
          <w:rFonts w:ascii="Arial" w:cs="Arial" w:eastAsia="Arial" w:hAnsi="Arial"/>
          <w:sz w:val="18"/>
          <w:szCs w:val="18"/>
          <w:color w:val="auto"/>
        </w:rPr>
        <w:t>programs such as medical, dental and vision insurance, a 401(k) plan, life and disability insurance, flexible spending accounts and other plans and programs made available to eligible employees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color w:val="auto"/>
        </w:rPr>
        <w:t>Provide benefits that promote employee health and welfare, wellness and retirement income and learning and development opportunities, which assist in attracting and retaining our executive officers.</w:t>
      </w:r>
    </w:p>
    <w:p>
      <w:pPr>
        <w:spacing w:after="0" w:line="393" w:lineRule="exact"/>
        <w:rPr>
          <w:sz w:val="20"/>
          <w:szCs w:val="20"/>
          <w:color w:val="auto"/>
        </w:rPr>
      </w:pPr>
    </w:p>
    <w:p>
      <w:pPr>
        <w:sectPr>
          <w:pgSz w:w="11900" w:h="16838" w:orient="portrait"/>
          <w:cols w:equalWidth="0" w:num="2">
            <w:col w:w="6480" w:space="520"/>
            <w:col w:w="4140"/>
          </w:cols>
          <w:pgMar w:left="320" w:top="877" w:right="439" w:bottom="1440" w:gutter="0" w:footer="0" w:header="0"/>
          <w:type w:val="continuous"/>
        </w:sectPr>
      </w:pPr>
    </w:p>
    <w:p>
      <w:pPr>
        <w:ind w:firstLine="324"/>
        <w:spacing w:after="0" w:line="268" w:lineRule="auto"/>
        <w:rPr>
          <w:sz w:val="20"/>
          <w:szCs w:val="20"/>
          <w:color w:val="auto"/>
        </w:rPr>
      </w:pPr>
      <w:r>
        <w:rPr>
          <w:rFonts w:ascii="Arial" w:cs="Arial" w:eastAsia="Arial" w:hAnsi="Arial"/>
          <w:sz w:val="18"/>
          <w:szCs w:val="18"/>
          <w:color w:val="auto"/>
        </w:rPr>
        <w:t>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w:t>
      </w:r>
    </w:p>
    <w:p>
      <w:pPr>
        <w:spacing w:after="0" w:line="63"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In determining compensation for our NEOs, our Compensation Committee, with recommendations from our management, considers many variables, including each executive’s respective experience. While not formulaic or exhaustive, the variables considered in the past include:</w:t>
      </w:r>
    </w:p>
    <w:p>
      <w:pPr>
        <w:sectPr>
          <w:pgSz w:w="11900" w:h="16838" w:orient="portrait"/>
          <w:cols w:equalWidth="0" w:num="1">
            <w:col w:w="11140"/>
          </w:cols>
          <w:pgMar w:left="320" w:top="87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type w:val="continuous"/>
        </w:sectPr>
      </w:pPr>
    </w:p>
    <w:bookmarkStart w:id="27" w:name="page28"/>
    <w:bookmarkEnd w:id="27"/>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experience, knowledge, and performance of the executive officer in question;</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 market for similar executive talent;</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critical the retention of any particular executive is to achieving the Company’s strategic goals;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the Company against internal performance targets;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well an executive works across business teams to promote overall corporate goals;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potential contributions of the executive;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pre-existing employment agreements between the Company and an executive officer.</w:t>
      </w:r>
    </w:p>
    <w:p>
      <w:pPr>
        <w:spacing w:after="0" w:line="23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Based on this analysis, the Compensation Committee makes determinations as to each element of the compensation package, weighing each component in its discretion based on the facts and circumstances surrounding each NEO’s employment agreement or annual review.</w:t>
      </w:r>
    </w:p>
    <w:p>
      <w:pPr>
        <w:spacing w:after="0" w:line="45"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We believe that our compensation mix supports our objective of focusing on at-risk compensation having significant financial upside based on company and individual performance.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base salaries for our named executive officers during fiscal year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Named Executive Officer</w:t>
            </w:r>
          </w:p>
        </w:tc>
        <w:tc>
          <w:tcPr>
            <w:tcW w:w="642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Fiscal 2024 Base Salary</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Jonathan Oringer</w:t>
            </w:r>
          </w:p>
        </w:tc>
        <w:tc>
          <w:tcPr>
            <w:tcW w:w="6420" w:type="dxa"/>
            <w:vAlign w:val="bottom"/>
          </w:tcPr>
          <w:p>
            <w:pPr>
              <w:jc w:val="center"/>
              <w:ind w:left="810"/>
              <w:spacing w:after="0"/>
              <w:rPr>
                <w:sz w:val="20"/>
                <w:szCs w:val="20"/>
                <w:color w:val="auto"/>
              </w:rPr>
            </w:pPr>
            <w:r>
              <w:rPr>
                <w:rFonts w:ascii="Arial" w:cs="Arial" w:eastAsia="Arial" w:hAnsi="Arial"/>
                <w:sz w:val="18"/>
                <w:szCs w:val="18"/>
                <w:color w:val="auto"/>
                <w:w w:val="99"/>
              </w:rPr>
              <w:t>$1</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$700,000</w:t>
            </w:r>
          </w:p>
        </w:tc>
      </w:tr>
      <w:tr>
        <w:trPr>
          <w:trHeight w:val="299"/>
        </w:trPr>
        <w:tc>
          <w:tcPr>
            <w:tcW w:w="4820" w:type="dxa"/>
            <w:vAlign w:val="bottom"/>
          </w:tcPr>
          <w:p>
            <w:pPr>
              <w:ind w:left="20"/>
              <w:spacing w:after="0"/>
              <w:rPr>
                <w:sz w:val="20"/>
                <w:szCs w:val="20"/>
                <w:color w:val="auto"/>
              </w:rPr>
            </w:pPr>
            <w:r>
              <w:rPr>
                <w:rFonts w:ascii="Arial" w:cs="Arial" w:eastAsia="Arial" w:hAnsi="Arial"/>
                <w:sz w:val="18"/>
                <w:szCs w:val="18"/>
                <w:color w:val="auto"/>
              </w:rPr>
              <w:t>Rik Powell</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$450,000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$550,000</w:t>
            </w:r>
          </w:p>
        </w:tc>
      </w:tr>
      <w:tr>
        <w:trPr>
          <w:trHeight w:val="311"/>
        </w:trPr>
        <w:tc>
          <w:tcPr>
            <w:tcW w:w="4820" w:type="dxa"/>
            <w:vAlign w:val="bottom"/>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$500,000</w:t>
            </w:r>
          </w:p>
        </w:tc>
      </w:tr>
    </w:tbl>
    <w:p>
      <w:pPr>
        <w:spacing w:after="0" w:line="66" w:lineRule="exact"/>
        <w:rPr>
          <w:sz w:val="20"/>
          <w:szCs w:val="20"/>
          <w:color w:val="auto"/>
        </w:rPr>
      </w:pPr>
    </w:p>
    <w:p>
      <w:pPr>
        <w:ind w:left="440" w:right="300" w:hanging="414"/>
        <w:spacing w:after="0" w:line="264"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Each of Mr. Powell and Mr. Caine received a prorated portion of this base salary reflecting their respective terms of service during fiscal 2024. Mr. Yahes continued to earn his annual base salary following his resignation pursuant to his Transition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Incentives</w:t>
      </w:r>
    </w:p>
    <w:p>
      <w:pPr>
        <w:spacing w:after="0" w:line="11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general, annual cash bonuses for our NEOs, other than Mr. Oringer, and other key employees are determined by our Compensation Committee on an annual basis. The annual cash incentive is an “at risk” bonus compensation program designed to foster a performance-oriented culture, where individual performance is aligned with the Company’s financial and business objectives.</w:t>
      </w:r>
    </w:p>
    <w:p>
      <w:pPr>
        <w:spacing w:after="0" w:line="63"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The Compensation Committee set the target incentive compensation for fiscal 2024 for each of our NEOs, other than Mr. Oringer, as a percentage of the NEO’s base salary as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43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 of Base Salary Fiscal 2024</w:t>
            </w:r>
          </w:p>
        </w:tc>
        <w:tc>
          <w:tcPr>
            <w:tcW w:w="44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Target Incentive Compensation</w:t>
            </w:r>
          </w:p>
        </w:tc>
      </w:tr>
      <w:tr>
        <w:trPr>
          <w:trHeight w:val="247"/>
        </w:trPr>
        <w:tc>
          <w:tcPr>
            <w:tcW w:w="246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$700,000</w:t>
            </w:r>
          </w:p>
        </w:tc>
      </w:tr>
      <w:tr>
        <w:trPr>
          <w:trHeight w:val="299"/>
        </w:trPr>
        <w:tc>
          <w:tcPr>
            <w:tcW w:w="2460" w:type="dxa"/>
            <w:vAlign w:val="bottom"/>
          </w:tcPr>
          <w:p>
            <w:pPr>
              <w:ind w:left="20"/>
              <w:spacing w:after="0"/>
              <w:rPr>
                <w:sz w:val="20"/>
                <w:szCs w:val="20"/>
                <w:color w:val="auto"/>
              </w:rPr>
            </w:pPr>
            <w:r>
              <w:rPr>
                <w:rFonts w:ascii="Arial" w:cs="Arial" w:eastAsia="Arial" w:hAnsi="Arial"/>
                <w:sz w:val="18"/>
                <w:szCs w:val="18"/>
                <w:color w:val="auto"/>
              </w:rPr>
              <w:t>Rik Powell</w:t>
            </w:r>
            <w:r>
              <w:rPr>
                <w:rFonts w:ascii="Arial" w:cs="Arial" w:eastAsia="Arial" w:hAnsi="Arial"/>
                <w:sz w:val="23"/>
                <w:szCs w:val="23"/>
                <w:color w:val="auto"/>
                <w:vertAlign w:val="superscript"/>
              </w:rPr>
              <w:t>(1)</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$270,000</w:t>
            </w:r>
            <w:r>
              <w:rPr>
                <w:rFonts w:ascii="Arial" w:cs="Arial" w:eastAsia="Arial" w:hAnsi="Arial"/>
                <w:sz w:val="23"/>
                <w:szCs w:val="23"/>
                <w:color w:val="auto"/>
                <w:w w:val="95"/>
                <w:vertAlign w:val="superscript"/>
              </w:rPr>
              <w:t>(1)</w:t>
            </w:r>
          </w:p>
        </w:tc>
      </w:tr>
      <w:tr>
        <w:trPr>
          <w:trHeight w:val="270"/>
        </w:trPr>
        <w:tc>
          <w:tcPr>
            <w:tcW w:w="2460" w:type="dxa"/>
            <w:vAlign w:val="bottom"/>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(2)</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$440,000</w:t>
            </w:r>
          </w:p>
        </w:tc>
      </w:tr>
      <w:tr>
        <w:trPr>
          <w:trHeight w:val="311"/>
        </w:trPr>
        <w:tc>
          <w:tcPr>
            <w:tcW w:w="2460" w:type="dxa"/>
            <w:vAlign w:val="bottom"/>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(3)</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$300,000</w:t>
            </w:r>
          </w:p>
        </w:tc>
      </w:tr>
    </w:tbl>
    <w:p>
      <w:pPr>
        <w:spacing w:after="0" w:line="30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Powell’s prorated target for his service during 2024 was $156,393.</w:t>
      </w:r>
    </w:p>
    <w:p>
      <w:pPr>
        <w:spacing w:after="0" w:line="55" w:lineRule="exact"/>
        <w:rPr>
          <w:rFonts w:ascii="Arial" w:cs="Arial" w:eastAsia="Arial" w:hAnsi="Arial"/>
          <w:sz w:val="14"/>
          <w:szCs w:val="14"/>
          <w:color w:val="auto"/>
        </w:rPr>
      </w:pPr>
    </w:p>
    <w:p>
      <w:pPr>
        <w:ind w:left="260" w:right="40" w:hanging="252"/>
        <w:spacing w:after="0" w:line="301" w:lineRule="auto"/>
        <w:tabs>
          <w:tab w:leader="none" w:pos="3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described above, Jarrod Yahes resigned as CFO of the Company, effective November 1, 2024. Pursuant to the Transition Agreement entered into on October 31, 2024, Mr. Yahes remained eligible to earn an annual cash bonus for the full 2024 fiscal year.</w:t>
      </w:r>
    </w:p>
    <w:p>
      <w:pPr>
        <w:spacing w:after="0" w:line="1" w:lineRule="exact"/>
        <w:rPr>
          <w:rFonts w:ascii="Arial" w:cs="Arial" w:eastAsia="Arial" w:hAnsi="Arial"/>
          <w:sz w:val="14"/>
          <w:szCs w:val="14"/>
          <w:color w:val="auto"/>
        </w:rPr>
      </w:pPr>
    </w:p>
    <w:p>
      <w:pPr>
        <w:ind w:left="260" w:right="520" w:hanging="252"/>
        <w:spacing w:after="0" w:line="305" w:lineRule="auto"/>
        <w:tabs>
          <w:tab w:leader="none" w:pos="3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described above, John Caine’s employment ended August 23, 2024. Pursuant to Section 7(a) of the Employment Agreement dated January 12, 2023, Mr. Caine received a pro-rated annual bonus for the portion of fiscal 2024 that he served in his role.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11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annual cash incentive is designed to reward our executive officers based on achievement of pre-established Company performance goals and the individual contribution of each executive to that performance. Specifically, in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8" w:name="page29"/>
    <w:bookmarkEnd w:id="28"/>
    <w:p>
      <w:pPr>
        <w:ind w:right="60"/>
        <w:spacing w:after="0" w:line="268" w:lineRule="auto"/>
        <w:rPr>
          <w:sz w:val="20"/>
          <w:szCs w:val="20"/>
          <w:color w:val="auto"/>
        </w:rPr>
      </w:pPr>
      <w:r>
        <w:rPr>
          <w:rFonts w:ascii="Arial" w:cs="Arial" w:eastAsia="Arial" w:hAnsi="Arial"/>
          <w:sz w:val="18"/>
          <w:szCs w:val="18"/>
          <w:color w:val="auto"/>
        </w:rPr>
        <w:t>the Company performance metrics were based on achievement of (i) revenue and (ii) adjusted EBITDA, with a relative weighting of 50% and 50% for each metric. In addition, the Compensation Committee has discretion to increase or decrease the bonuses that otherwise would be paid as annual cash incentive based on an individual executive officer’s actual performance versus the Company’s specified goals.</w:t>
      </w:r>
    </w:p>
    <w:p>
      <w:pPr>
        <w:spacing w:after="0" w:line="6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chose the revenue and adjusted EBITDA measures with the belief that they motivate our executives to drive Company growth and profitability. To reflect performance above or below targets, achievement of the revenue and adjusted EBITDA goals are measured against sliding scales that provide for annual incentive bonus payouts greater than the target bonus if results are greater than target or less than the target bonus if results are lower than the target. For 2024, our specific financial targets are shown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80" w:type="dxa"/>
            <w:vAlign w:val="bottom"/>
            <w:tcBorders>
              <w:bottom w:val="single" w:sz="8" w:color="auto"/>
            </w:tcBorders>
          </w:tcPr>
          <w:p>
            <w:pPr>
              <w:spacing w:after="0"/>
              <w:rPr>
                <w:sz w:val="22"/>
                <w:szCs w:val="22"/>
                <w:color w:val="auto"/>
              </w:rPr>
            </w:pPr>
          </w:p>
        </w:tc>
        <w:tc>
          <w:tcPr>
            <w:tcW w:w="89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Financial Targets for 2024 Annual Incentive Bonus Payouts</w:t>
            </w:r>
          </w:p>
        </w:tc>
      </w:tr>
      <w:tr>
        <w:trPr>
          <w:trHeight w:val="247"/>
        </w:trPr>
        <w:tc>
          <w:tcPr>
            <w:tcW w:w="2280" w:type="dxa"/>
            <w:vAlign w:val="bottom"/>
          </w:tcPr>
          <w:p>
            <w:pPr>
              <w:ind w:left="60"/>
              <w:spacing w:after="0"/>
              <w:rPr>
                <w:sz w:val="20"/>
                <w:szCs w:val="20"/>
                <w:color w:val="auto"/>
              </w:rPr>
            </w:pPr>
            <w:r>
              <w:rPr>
                <w:rFonts w:ascii="Arial" w:cs="Arial" w:eastAsia="Arial" w:hAnsi="Arial"/>
                <w:sz w:val="18"/>
                <w:szCs w:val="18"/>
                <w:color w:val="auto"/>
              </w:rPr>
              <w:t>Revenue</w:t>
            </w:r>
          </w:p>
        </w:tc>
        <w:tc>
          <w:tcPr>
            <w:tcW w:w="8960" w:type="dxa"/>
            <w:vAlign w:val="bottom"/>
          </w:tcPr>
          <w:p>
            <w:pPr>
              <w:ind w:left="3380"/>
              <w:spacing w:after="0"/>
              <w:rPr>
                <w:sz w:val="20"/>
                <w:szCs w:val="20"/>
                <w:color w:val="auto"/>
              </w:rPr>
            </w:pPr>
            <w:r>
              <w:rPr>
                <w:rFonts w:ascii="Arial" w:cs="Arial" w:eastAsia="Arial" w:hAnsi="Arial"/>
                <w:sz w:val="18"/>
                <w:szCs w:val="18"/>
                <w:color w:val="auto"/>
              </w:rPr>
              <w:t>$904.6 million</w:t>
            </w:r>
          </w:p>
        </w:tc>
      </w:tr>
      <w:tr>
        <w:trPr>
          <w:trHeight w:val="270"/>
        </w:trPr>
        <w:tc>
          <w:tcPr>
            <w:tcW w:w="2280" w:type="dxa"/>
            <w:vAlign w:val="bottom"/>
          </w:tcPr>
          <w:p>
            <w:pPr>
              <w:ind w:left="60"/>
              <w:spacing w:after="0"/>
              <w:rPr>
                <w:sz w:val="20"/>
                <w:szCs w:val="20"/>
                <w:color w:val="auto"/>
              </w:rPr>
            </w:pPr>
            <w:r>
              <w:rPr>
                <w:rFonts w:ascii="Arial" w:cs="Arial" w:eastAsia="Arial" w:hAnsi="Arial"/>
                <w:sz w:val="18"/>
                <w:szCs w:val="18"/>
                <w:color w:val="auto"/>
              </w:rPr>
              <w:t>Adjusted EBITDA</w:t>
            </w:r>
          </w:p>
        </w:tc>
        <w:tc>
          <w:tcPr>
            <w:tcW w:w="8960" w:type="dxa"/>
            <w:vAlign w:val="bottom"/>
          </w:tcPr>
          <w:p>
            <w:pPr>
              <w:ind w:left="3380"/>
              <w:spacing w:after="0"/>
              <w:rPr>
                <w:sz w:val="20"/>
                <w:szCs w:val="20"/>
                <w:color w:val="auto"/>
              </w:rPr>
            </w:pPr>
            <w:r>
              <w:rPr>
                <w:rFonts w:ascii="Arial" w:cs="Arial" w:eastAsia="Arial" w:hAnsi="Arial"/>
                <w:sz w:val="18"/>
                <w:szCs w:val="18"/>
                <w:color w:val="auto"/>
              </w:rPr>
              <w:t>$247.1 million</w:t>
            </w:r>
          </w:p>
        </w:tc>
      </w:tr>
    </w:tbl>
    <w:p>
      <w:pPr>
        <w:spacing w:after="0" w:line="20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Payout percentages resulting from achievement of revenue relative to the established target range from no payout for achievement under 93% of the established target to 140% payout for achievement at 110% or more of the target level, with 100% payout occurring at achievement at 100% of target. Similarly, the payout percentages resulting from achievement of Adjusted EBITDA relative to the established target range from no payout for achievement under 88% of the established target to 120% for achievement at 110% or more of the target level, with 100% payout occurring at achievement of 100% of target.</w:t>
      </w:r>
    </w:p>
    <w:p>
      <w:pPr>
        <w:spacing w:after="0" w:line="71"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In January 2025, the Compensation Committee reviewed actual results for 2024 with respect to revenue and adjusted EBITDA, which may be adjusted for extraordinary and/or non-recurring circumstances as deemed necessary by the Compensation Committee for payout percentage purposes, and the Compensation Committee determined that the Company achieved the following financial results and payout percentages: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9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Target (millions)</w:t>
            </w:r>
          </w:p>
        </w:tc>
        <w:tc>
          <w:tcPr>
            <w:tcW w:w="23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vMerge w:val="continue"/>
          </w:tcPr>
          <w:p>
            <w:pPr>
              <w:spacing w:after="0"/>
              <w:rPr>
                <w:sz w:val="20"/>
                <w:szCs w:val="20"/>
                <w:color w:val="auto"/>
              </w:rPr>
            </w:pP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$904.6</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2024 Results (millions)</w:t>
            </w:r>
            <w:r>
              <w:rPr>
                <w:rFonts w:ascii="Times New Roman" w:cs="Times New Roman" w:eastAsia="Times New Roman" w:hAnsi="Times New Roman"/>
                <w:sz w:val="11"/>
                <w:szCs w:val="11"/>
                <w:color w:val="auto"/>
              </w:rPr>
              <w:t>(1)</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$846.9</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Target Achieved</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93.6%</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96.2%</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Percentage</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74.5%</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92.3%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right="280" w:hanging="414"/>
        <w:spacing w:after="0" w:line="264"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Annex A for a reconciliation of our non-GAAP to GAAP financial measures. As shown on Annex A, these results for purposes of our annual cash incentive award calculation were adjusted to remove the impact of acquisition activity and are presented on a constant currency basis.</w:t>
      </w:r>
    </w:p>
    <w:p>
      <w:pPr>
        <w:spacing w:after="0" w:line="16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Individual bonus payments are based on a formula determined by taking each person’s base annual compensation, multiplied by the individual’s target bonus percentage, multiplied by the Company achievement score expressed as a percentage. Bonus amounts paid can then be increased or decreased, regardless of that person’s target bonus or specific corporate performance metrics, based on individual performance or other considerations, in the discretion of the Compensation Committee. Based on the level of performance achievement described above, the payout percentage was 83.4%.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Payout based on Company</w:t>
            </w:r>
          </w:p>
        </w:tc>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860" w:type="dxa"/>
            <w:vAlign w:val="bottom"/>
          </w:tcPr>
          <w:p>
            <w:pPr>
              <w:ind w:left="240"/>
              <w:spacing w:after="0"/>
              <w:rPr>
                <w:sz w:val="20"/>
                <w:szCs w:val="20"/>
                <w:color w:val="auto"/>
              </w:rPr>
            </w:pPr>
            <w:r>
              <w:rPr>
                <w:rFonts w:ascii="Arial" w:cs="Arial" w:eastAsia="Arial" w:hAnsi="Arial"/>
                <w:sz w:val="18"/>
                <w:szCs w:val="18"/>
                <w:b w:val="1"/>
                <w:bCs w:val="1"/>
                <w:color w:val="auto"/>
              </w:rPr>
              <w:t>Named Executive</w:t>
            </w:r>
          </w:p>
        </w:tc>
        <w:tc>
          <w:tcPr>
            <w:tcW w:w="1620" w:type="dxa"/>
            <w:vAlign w:val="bottom"/>
          </w:tcPr>
          <w:p>
            <w:pPr>
              <w:ind w:left="120"/>
              <w:spacing w:after="0"/>
              <w:rPr>
                <w:sz w:val="20"/>
                <w:szCs w:val="20"/>
                <w:color w:val="auto"/>
              </w:rPr>
            </w:pPr>
            <w:r>
              <w:rPr>
                <w:rFonts w:ascii="Arial" w:cs="Arial" w:eastAsia="Arial" w:hAnsi="Arial"/>
                <w:sz w:val="18"/>
                <w:szCs w:val="18"/>
                <w:b w:val="1"/>
                <w:bCs w:val="1"/>
                <w:color w:val="auto"/>
              </w:rPr>
              <w:t>Target Payout</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Achievement Score</w:t>
            </w:r>
          </w:p>
        </w:tc>
        <w:tc>
          <w:tcPr>
            <w:tcW w:w="4860" w:type="dxa"/>
            <w:vAlign w:val="bottom"/>
            <w:gridSpan w:val="2"/>
          </w:tcPr>
          <w:p>
            <w:pPr>
              <w:ind w:left="260"/>
              <w:spacing w:after="0"/>
              <w:rPr>
                <w:sz w:val="20"/>
                <w:szCs w:val="20"/>
                <w:color w:val="auto"/>
              </w:rPr>
            </w:pPr>
            <w:r>
              <w:rPr>
                <w:rFonts w:ascii="Arial" w:cs="Arial" w:eastAsia="Arial" w:hAnsi="Arial"/>
                <w:sz w:val="18"/>
                <w:szCs w:val="18"/>
                <w:b w:val="1"/>
                <w:bCs w:val="1"/>
                <w:color w:val="auto"/>
              </w:rPr>
              <w:t>Discretionary % Increase/ (Decrease)in Actual Payout</w:t>
            </w:r>
          </w:p>
        </w:tc>
      </w:tr>
      <w:tr>
        <w:trPr>
          <w:trHeight w:val="255"/>
        </w:trPr>
        <w:tc>
          <w:tcPr>
            <w:tcW w:w="18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Officer</w:t>
            </w: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9"/>
              </w:rPr>
              <w:t>Payout</w:t>
            </w:r>
          </w:p>
        </w:tc>
        <w:tc>
          <w:tcPr>
            <w:tcW w:w="18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w:t>
            </w:r>
          </w:p>
        </w:tc>
      </w:tr>
      <w:tr>
        <w:trPr>
          <w:trHeight w:val="247"/>
        </w:trPr>
        <w:tc>
          <w:tcPr>
            <w:tcW w:w="186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700,000</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583,800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rPr>
              <w:t>583,800</w:t>
            </w:r>
          </w:p>
        </w:tc>
      </w:tr>
      <w:tr>
        <w:trPr>
          <w:trHeight w:val="299"/>
        </w:trPr>
        <w:tc>
          <w:tcPr>
            <w:tcW w:w="186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5"/>
              </w:rPr>
              <w:t>156,393</w:t>
            </w:r>
            <w:r>
              <w:rPr>
                <w:rFonts w:ascii="Arial" w:cs="Arial" w:eastAsia="Arial" w:hAnsi="Arial"/>
                <w:sz w:val="23"/>
                <w:szCs w:val="23"/>
                <w:color w:val="auto"/>
                <w:w w:val="95"/>
                <w:vertAlign w:val="superscript"/>
              </w:rPr>
              <w:t>(1)</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130,450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rPr>
              <w:t>130,450</w:t>
            </w:r>
          </w:p>
        </w:tc>
      </w:tr>
      <w:tr>
        <w:trPr>
          <w:trHeight w:val="270"/>
        </w:trPr>
        <w:tc>
          <w:tcPr>
            <w:tcW w:w="1860" w:type="dxa"/>
            <w:vAlign w:val="bottom"/>
          </w:tcPr>
          <w:p>
            <w:pPr>
              <w:ind w:left="20"/>
              <w:spacing w:after="0"/>
              <w:rPr>
                <w:sz w:val="20"/>
                <w:szCs w:val="20"/>
                <w:color w:val="auto"/>
              </w:rPr>
            </w:pPr>
            <w:r>
              <w:rPr>
                <w:rFonts w:ascii="Arial" w:cs="Arial" w:eastAsia="Arial" w:hAnsi="Arial"/>
                <w:sz w:val="18"/>
                <w:szCs w:val="18"/>
                <w:color w:val="auto"/>
              </w:rPr>
              <w:t>Jarrod Yahes</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440,000</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366,950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w w:val="93"/>
              </w:rPr>
              <w:t>366,950</w:t>
            </w:r>
            <w:r>
              <w:rPr>
                <w:rFonts w:ascii="Arial" w:cs="Arial" w:eastAsia="Arial" w:hAnsi="Arial"/>
                <w:sz w:val="23"/>
                <w:szCs w:val="23"/>
                <w:color w:val="auto"/>
                <w:w w:val="93"/>
                <w:vertAlign w:val="superscript"/>
              </w:rPr>
              <w:t>(2)</w:t>
            </w:r>
          </w:p>
        </w:tc>
      </w:tr>
      <w:tr>
        <w:trPr>
          <w:trHeight w:val="311"/>
        </w:trPr>
        <w:tc>
          <w:tcPr>
            <w:tcW w:w="1860" w:type="dxa"/>
            <w:vAlign w:val="bottom"/>
          </w:tcPr>
          <w:p>
            <w:pPr>
              <w:ind w:left="20"/>
              <w:spacing w:after="0"/>
              <w:rPr>
                <w:sz w:val="20"/>
                <w:szCs w:val="20"/>
                <w:color w:val="auto"/>
              </w:rPr>
            </w:pPr>
            <w:r>
              <w:rPr>
                <w:rFonts w:ascii="Arial" w:cs="Arial" w:eastAsia="Arial" w:hAnsi="Arial"/>
                <w:sz w:val="18"/>
                <w:szCs w:val="18"/>
                <w:color w:val="auto"/>
              </w:rPr>
              <w:t>John Caine</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193,443</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161,350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w w:val="93"/>
              </w:rPr>
              <w:t>161,350</w:t>
            </w:r>
            <w:r>
              <w:rPr>
                <w:rFonts w:ascii="Arial" w:cs="Arial" w:eastAsia="Arial" w:hAnsi="Arial"/>
                <w:sz w:val="23"/>
                <w:szCs w:val="23"/>
                <w:color w:val="auto"/>
                <w:w w:val="93"/>
                <w:vertAlign w:val="superscript"/>
              </w:rPr>
              <w:t>(3)</w:t>
            </w:r>
          </w:p>
        </w:tc>
      </w:tr>
    </w:tbl>
    <w:p>
      <w:pPr>
        <w:spacing w:after="0" w:line="14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 pro-rated target for the period he served in 2024.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amount of annual bonus earned for the full 2024 fiscal year pursuant to the Transition Agreement.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pro-rated annual bonus earned pursuant to Section 7(a) of his Employment Agreement following his departure from the Company.</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Long-term incentives represent the primary component of compensation at the Company and are designed to reward participants the way stockholders are rewarded, through growth in the value of our Common Stock. Our NEOs receive either stock options, RSUs or PSUs, or a combination of any of the three. Regardless of the form of award, the overarching purpose of our long-term incentive grants is to align executives’ interests with those of our stockholders, reward employees for enhancing stockholder value and attract and retain our executive officers.</w:t>
      </w:r>
    </w:p>
    <w:p>
      <w:pPr>
        <w:spacing w:after="0" w:line="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determining the size of equity-based awards for existing executive officers, the Compensation Committee, upon recommendations of management,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management also considers the executive officer’s historic total compensation, including prior equity grants and exercise history, as well as the number and value of shares owned by the executive officer or which continue to be subject to vesting under outstanding equity grants previously made to such executive officer.</w:t>
      </w:r>
    </w:p>
    <w:p>
      <w:pPr>
        <w:spacing w:after="0" w:line="7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determining the size of equity-based awards for new hires, the Compensation Committee and, in certain instances the Chief Executive Officer, consider a variety of factors, including the compensation of similarly situated executive officers at the Company, the executive officer’s expected level of responsibility and expected contributions to the Company’s future success, and the compensation of similarly situated executive officers at selected peer companies. As the purpose of equity awards is to tie total compensation to long-term stockholder value, executive officers receive sizeable stock-based awards at the time of hire to align their interests to reward long-term performance.</w:t>
      </w:r>
    </w:p>
    <w:p>
      <w:pPr>
        <w:spacing w:after="0" w:line="71"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management develops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 account the executive officer’s cash compensation and the estimated value of pre-existing stock-based compensation vesting in subsequent years, if 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Compensation Target</w:t>
      </w:r>
    </w:p>
    <w:p>
      <w:pPr>
        <w:spacing w:after="0" w:line="115"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In this process, we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 For fiscal 2024, the total compensation target for each of the NEOs, other than Mr. Oringer, was: Paul Hennessy - $6,400,000, Rik Powell - $1,420,000, Jarrod Yahes - $4,240,000 and John Caine - $1,800,000.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Stock options are granted under the Shutterstock, Inc. 2022 Omnibus Equity Incentive Plan, as amended and restated (the “Amended and Restated 2022 Plan”) at an exercise price equal to the closing price of our Common Stock on the grant date. The number of options granted to an executive is determined based upon the Black-Scholes valuation on the grant date. We do not issue stock options with accelerated vesting features, except as specified in certain employment agreements.</w:t>
      </w:r>
    </w:p>
    <w:p>
      <w:pPr>
        <w:spacing w:after="0" w:line="6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7"/>
          <w:szCs w:val="17"/>
          <w:color w:val="auto"/>
        </w:rPr>
        <w:t>Although we are required to recognize a charge for the value of an option when granted that might be disproportionate to the value received by the recipient upon exercise, we believe the granting of options is performance-based compensation and aligns the interests of recipients with those of stockholders because the recipient only realizes value if our Common Stock appreciates above the grant date price.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Amended and Restated 2022 Plan, and for certain grants made in 2024 and in prior years under the Shutterstock, Inc. 2012 Omnibus Equity Incentive Plan (the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30 trading days period ending on the date immediately prior to the grant date. RSUs are granted to executive officers, including our NEOs, to serve primarily as a retention mechanism and to reward individual performance.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ind w:right="20" w:firstLine="324"/>
        <w:spacing w:after="0" w:line="268" w:lineRule="auto"/>
        <w:rPr>
          <w:sz w:val="20"/>
          <w:szCs w:val="20"/>
          <w:color w:val="auto"/>
        </w:rPr>
      </w:pPr>
      <w:r>
        <w:rPr>
          <w:rFonts w:ascii="Arial" w:cs="Arial" w:eastAsia="Arial" w:hAnsi="Arial"/>
          <w:sz w:val="18"/>
          <w:szCs w:val="18"/>
          <w:color w:val="auto"/>
        </w:rPr>
        <w:t>Stock option and RSU grants to our executive officers, including our NEOs, are currently structured to vest in equal installments over three years to balance the objective of retaining and incentivizing our executive officers, achieving key short-term deliverables with respect to our financial performance, and the long-term stability of the organization.</w:t>
      </w:r>
    </w:p>
    <w:p>
      <w:pPr>
        <w:spacing w:after="0" w:line="6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2024 we granted Mr. Yahes 16,199 RSUs and Mr. Caine 4,964 RSUs, which vest in approximately equal increments on the first, second and third anniversaries of the grant date subject to continued employment through the applicable vesting date. In connection with Mr. Yahes’s resignation, such RSUs were forfeited as of November 1, 2024, and in connection with Mr. Caine’s termination, two-thirds of such RSUs were forfeited and one-third of such RSUs accelerated and vested as September 11th, 2024, at the expiration of the revocation period of his separation agreement.</w:t>
      </w:r>
    </w:p>
    <w:p>
      <w:pPr>
        <w:spacing w:after="0" w:line="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2024, Mr. Powell was granted 8,924 RSUs, which vest over 4 years, 25% vesting annually on the first and second anniversary of the grant date, and 6.25% vesting quarterly after the second anniversary of the grant date, in each case subject to continued employment through the applicable vesting date. Mr. Powell was also granted 10,906 RSUs upon designation as Chief Financial Officer, and those shares vest over a three-year period in approximately equal one-third increments on each anniversary of the grant date, subject to continued service with the Company through each vesting date.</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Mr. Hennessy was also granted 54,181 RSUs that will vest in full on July 1, 2026, subject to his continued service through the vesting date. The Compensation Committee and Board determined to approve Mr. Hennessy’s award in fiscal 2024 in order to incentivize Mr. Hennessy’s continued service and performance for the Company and to promote his retention for an additional period of service through July 1, 2026, following the July 1, 2025 vesting date of his other outstanding equity awards. Mr. Hennessy’s award in fiscal 2024 was also designed to recognize his significant contributions to the Company and the importance of his continued service for the Company, while aligning his pay with Company performance and stockholder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During fiscal 2024, the Compensation Committee determined it was in the best interest of the Company, as part of the overall long-term incentive compensation program, to grant our executive officers PSUs designed to focus our executive officers on achieving important long-term financial objectives over a three-year period.</w:t>
      </w:r>
    </w:p>
    <w:p>
      <w:pPr>
        <w:spacing w:after="0" w:line="6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a result of his resignation, the PSUs granted in 2024 to Mr. Yahes were forfeited. With respect to Mr. Caine, his PSUs earned and pro-rated based on 2024 performance vested in early 2025, but his PSUs vesting based on future performance (after fiscal 2024) were forfeited. The PSUs granted in 2024 to Mr. Oringer and Mr. Hennessy vested or remain outstanding, as further described below.</w:t>
      </w:r>
    </w:p>
    <w:p>
      <w:pPr>
        <w:spacing w:after="0" w:line="6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With respect to the PSUs granted to Mr. Oringer, a portion of the PSUs remain eligible to vest annually, contingent on continued service and the achievement of the specified performance goals in the specific years. The annual targets for each of the PSU grants are set by the Compensation Committee over a three-year period based on the Company’s strategic objectives and goals. The Compensation Committee seeks to make target goals ambitious, requiring meaningful growth over the three-year performance period, while threshold goals are expected to be achievable. Information about the performance targets and payout results as a percentage of target as well as the resulting payout for the applicable fiscal year PSUs are described below. For each tranche of the PSU award, PSUs are earned based on the achievement of at least a threshold level of the performance goal with respect to the fiscal year prior to the year in which the vesting date occurs, under the following schedule:</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55"/>
        </w:trPr>
        <w:tc>
          <w:tcPr>
            <w:tcW w:w="2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Achievement Level</w:t>
            </w:r>
          </w:p>
        </w:tc>
        <w:tc>
          <w:tcPr>
            <w:tcW w:w="2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Percentage Vesting</w:t>
            </w:r>
          </w:p>
        </w:tc>
      </w:tr>
      <w:tr>
        <w:trPr>
          <w:trHeight w:val="224"/>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20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75%</w:t>
            </w:r>
          </w:p>
        </w:tc>
      </w:tr>
    </w:tbl>
    <w:p>
      <w:pPr>
        <w:spacing w:after="0" w:line="18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PSU goals and payout opportunity are intended to reflect the same key metrics we use to manage our business and drive stockholder returns over time, including adjusted EBITDA margins and revenue growth. In February 2024, the Compensation Committee approved a grant of PSUs (the “2024 PSUs”) with vesting based on the achievement of revenue and adjusted EBITDA goals established in advance by the Compensation Committee for three annual tranches over the full performance period. In each case, the PSUs in each tranche are eligible to vest annually based upon achievement of the prior year performance goals. Similarly, in February 2023 and March 2022, the Compensation Committee had approved two grants of PSUs (the “2023 PSUs” and “2022 PSUs”, respectively) and at the time of such grants, had established revenue and adjusted EBITDA margin targets for the three annual tranches of each award over the full performance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goals established at the time of each grant with respect to fiscal 2024 performance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7"/>
        </w:trPr>
        <w:tc>
          <w:tcPr>
            <w:tcW w:w="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900" w:type="dxa"/>
            <w:vAlign w:val="bottom"/>
          </w:tcPr>
          <w:p>
            <w:pPr>
              <w:jc w:val="center"/>
              <w:ind w:left="35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r>
      <w:tr>
        <w:trPr>
          <w:trHeight w:val="279"/>
        </w:trPr>
        <w:tc>
          <w:tcPr>
            <w:tcW w:w="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Margin</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Growth</w:t>
            </w:r>
          </w:p>
        </w:tc>
      </w:tr>
      <w:tr>
        <w:trPr>
          <w:trHeight w:val="247"/>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2022</w:t>
            </w:r>
          </w:p>
        </w:tc>
        <w:tc>
          <w:tcPr>
            <w:tcW w:w="2920" w:type="dxa"/>
            <w:vAlign w:val="bottom"/>
          </w:tcPr>
          <w:p>
            <w:pPr>
              <w:ind w:left="20"/>
              <w:spacing w:after="0"/>
              <w:rPr>
                <w:sz w:val="20"/>
                <w:szCs w:val="20"/>
                <w:color w:val="auto"/>
              </w:rPr>
            </w:pPr>
            <w:r>
              <w:rPr>
                <w:rFonts w:ascii="Arial" w:cs="Arial" w:eastAsia="Arial" w:hAnsi="Arial"/>
                <w:sz w:val="18"/>
                <w:szCs w:val="18"/>
                <w:color w:val="auto"/>
              </w:rPr>
              <w:t>PSUs (Third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25.9%</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9.0%</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2022</w:t>
            </w:r>
          </w:p>
        </w:tc>
        <w:tc>
          <w:tcPr>
            <w:tcW w:w="2920" w:type="dxa"/>
            <w:vAlign w:val="bottom"/>
          </w:tcPr>
          <w:p>
            <w:pPr>
              <w:ind w:left="20"/>
              <w:spacing w:after="0"/>
              <w:rPr>
                <w:sz w:val="20"/>
                <w:szCs w:val="20"/>
                <w:color w:val="auto"/>
              </w:rPr>
            </w:pPr>
            <w:r>
              <w:rPr>
                <w:rFonts w:ascii="Arial" w:cs="Arial" w:eastAsia="Arial" w:hAnsi="Arial"/>
                <w:sz w:val="18"/>
                <w:szCs w:val="18"/>
                <w:color w:val="auto"/>
              </w:rPr>
              <w:t>PSUs (Third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Achievement</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30.0%</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2023</w:t>
            </w:r>
          </w:p>
        </w:tc>
        <w:tc>
          <w:tcPr>
            <w:tcW w:w="2920" w:type="dxa"/>
            <w:vAlign w:val="bottom"/>
          </w:tcPr>
          <w:p>
            <w:pPr>
              <w:ind w:left="20"/>
              <w:spacing w:after="0"/>
              <w:rPr>
                <w:sz w:val="20"/>
                <w:szCs w:val="20"/>
                <w:color w:val="auto"/>
              </w:rPr>
            </w:pPr>
            <w:r>
              <w:rPr>
                <w:rFonts w:ascii="Arial" w:cs="Arial" w:eastAsia="Arial" w:hAnsi="Arial"/>
                <w:sz w:val="18"/>
                <w:szCs w:val="18"/>
                <w:color w:val="auto"/>
              </w:rPr>
              <w:t>PSUs (Second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27.0%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5.0%</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2023</w:t>
            </w:r>
          </w:p>
        </w:tc>
        <w:tc>
          <w:tcPr>
            <w:tcW w:w="2920" w:type="dxa"/>
            <w:vAlign w:val="bottom"/>
          </w:tcPr>
          <w:p>
            <w:pPr>
              <w:ind w:left="20"/>
              <w:spacing w:after="0"/>
              <w:rPr>
                <w:sz w:val="20"/>
                <w:szCs w:val="20"/>
                <w:color w:val="auto"/>
              </w:rPr>
            </w:pPr>
            <w:r>
              <w:rPr>
                <w:rFonts w:ascii="Arial" w:cs="Arial" w:eastAsia="Arial" w:hAnsi="Arial"/>
                <w:sz w:val="18"/>
                <w:szCs w:val="18"/>
                <w:color w:val="auto"/>
              </w:rPr>
              <w:t>PSUs (Second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Achievement</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30.0%</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rPr>
                <w:sz w:val="20"/>
                <w:szCs w:val="20"/>
                <w:color w:val="auto"/>
              </w:rPr>
            </w:pPr>
            <w:r>
              <w:rPr>
                <w:rFonts w:ascii="Arial" w:cs="Arial" w:eastAsia="Arial" w:hAnsi="Arial"/>
                <w:sz w:val="18"/>
                <w:szCs w:val="18"/>
                <w:color w:val="auto"/>
              </w:rPr>
              <w:t>PSUs (First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27.3%</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1.4%</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rPr>
                <w:sz w:val="20"/>
                <w:szCs w:val="20"/>
                <w:color w:val="auto"/>
              </w:rPr>
            </w:pPr>
            <w:r>
              <w:rPr>
                <w:rFonts w:ascii="Arial" w:cs="Arial" w:eastAsia="Arial" w:hAnsi="Arial"/>
                <w:sz w:val="18"/>
                <w:szCs w:val="18"/>
                <w:color w:val="auto"/>
              </w:rPr>
              <w:t>PSUs (First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Actual</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26.4%</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6.9%</w:t>
            </w:r>
          </w:p>
        </w:tc>
      </w:tr>
    </w:tbl>
    <w:p>
      <w:pPr>
        <w:spacing w:after="0" w:line="20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January 2025, the Compensation Committee certified the fiscal 2024 adjusted EBITDA margin of 30% and organic revenue growth of 3% (each of which was adjusted to remove the impact of 2022 and 2023 acquisition activity as shown in Annex A). The 2024 financials resulted in a payout at 75% of target under the third annual tranche of the 2022 PSUs, a payout at 75% of target under the second annual tranche of the 2023 PSUs, and a payout at 121.67% of target under the first annual tranche of the 2024 PSUs.</w:t>
      </w:r>
    </w:p>
    <w:p>
      <w:pPr>
        <w:spacing w:after="0" w:line="6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With respect to Mr. Hennessy, he was previously awarded 262,789 PSUs ($15 million value) in fiscal 2022 pursuant to the terms of his employment agreement. The performance targets for Mr. Hennessy’s award in fiscal 2022 were set at the start of each annual period (2022, 2023 and 2024, respectively) in accordance with the targets set forth above, and all three tranches are scheduled to vest in full at the end of the three-year period on July 1, 2025.</w:t>
      </w:r>
    </w:p>
    <w:p>
      <w:pPr>
        <w:spacing w:after="0" w:line="6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2024 the Compensation Committee also determined to award Mr. Hennessy additional PSUs ($6.375 million value) pursuant to the terms of his employment agreement in order to incentivize Mr. Hennessy’s continued service and performance for the Company and to promote his retention for an additional period of service through July 1, 2026, following the July 1, 2025 vesting date of his other outstanding equity awards. Mr. Hennessy’s additional PSU award was designed to recognize his significant contributions to the Company and the importance of his continued service for the Company, while aligning his pay with Company performance and stockholder value. Pursuant to the Merger Agreement, which requires the Company to award RSUs in lieu of PSUs on going forward basis, the Compensation Committee determined in fiscal 2025 to grant Mr. Hennessy RSUs vesting in full on July 1, 2026, in lieu of granting and setting the performance targets for such additional PSUs.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2024 Long-Term Incentive Grants to NEOs</w:t>
      </w:r>
    </w:p>
    <w:p>
      <w:pPr>
        <w:spacing w:after="0" w:line="11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believe that equity awards align the interests of our named executive officers with the long-term interests of our stockholders and provide incentives to our named executive officers to enhance stockholder value and to attract and retain our executives. The table below summarizes the long-term incentive grants made to our NEOs in 2024. As noted above, all of the 2024 RSU grants and the 2024 PSU grants to Mr. Yahes were forfeited in connection with his resignation. In addition, for Mr. Caine, two-thirds of his 2024 RSU grants were forfeited (while one-third of his 2024 RSU grants accelerated and vested as of September 11, 2024), and the portion of the 2024 PSU grants earned based on future performance (beyond fiscal 2024) were forfeited (while a pro rata portion of the PSUs earned based on 2024 performance vested as of April 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2024 RSU Grants</w:t>
            </w:r>
          </w:p>
        </w:tc>
        <w:tc>
          <w:tcPr>
            <w:tcW w:w="33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2024 PSU Grants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2024 PSU</w:t>
            </w:r>
          </w:p>
        </w:tc>
      </w:tr>
      <w:tr>
        <w:trPr>
          <w:trHeight w:val="25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 Value)</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2024 RSU Grants (Number of Shares)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(Target $ Value)</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(Target Number of Shares)</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Jon Oringer</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5,225,000</w:t>
            </w:r>
          </w:p>
        </w:tc>
        <w:tc>
          <w:tcPr>
            <w:tcW w:w="2420" w:type="dxa"/>
            <w:vAlign w:val="bottom"/>
          </w:tcPr>
          <w:p>
            <w:pPr>
              <w:jc w:val="center"/>
              <w:spacing w:after="0"/>
              <w:rPr>
                <w:sz w:val="20"/>
                <w:szCs w:val="20"/>
                <w:color w:val="auto"/>
              </w:rPr>
            </w:pPr>
            <w:r>
              <w:rPr>
                <w:rFonts w:ascii="Arial" w:cs="Arial" w:eastAsia="Arial" w:hAnsi="Arial"/>
                <w:sz w:val="18"/>
                <w:szCs w:val="18"/>
                <w:color w:val="auto"/>
              </w:rPr>
              <w:t>109,218</w:t>
            </w: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2,125,000</w:t>
            </w: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54,181</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700,000</w:t>
            </w: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19,830</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99"/>
        </w:trPr>
        <w:tc>
          <w:tcPr>
            <w:tcW w:w="2240" w:type="dxa"/>
            <w:vAlign w:val="bottom"/>
          </w:tcPr>
          <w:p>
            <w:pPr>
              <w:ind w:left="20"/>
              <w:spacing w:after="0"/>
              <w:rPr>
                <w:sz w:val="20"/>
                <w:szCs w:val="20"/>
                <w:color w:val="auto"/>
              </w:rPr>
            </w:pPr>
            <w:r>
              <w:rPr>
                <w:rFonts w:ascii="Arial" w:cs="Arial" w:eastAsia="Arial" w:hAnsi="Arial"/>
                <w:sz w:val="18"/>
                <w:szCs w:val="18"/>
                <w:color w:val="auto"/>
              </w:rPr>
              <w:t>Jarrod Yahes</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775,000</w:t>
            </w:r>
            <w:r>
              <w:rPr>
                <w:rFonts w:ascii="Arial" w:cs="Arial" w:eastAsia="Arial" w:hAnsi="Arial"/>
                <w:sz w:val="23"/>
                <w:szCs w:val="23"/>
                <w:color w:val="auto"/>
                <w:w w:val="95"/>
                <w:vertAlign w:val="superscript"/>
              </w:rPr>
              <w:t>(1)</w:t>
            </w: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16,199</w:t>
            </w:r>
            <w:r>
              <w:rPr>
                <w:rFonts w:ascii="Arial" w:cs="Arial" w:eastAsia="Arial" w:hAnsi="Arial"/>
                <w:sz w:val="23"/>
                <w:szCs w:val="23"/>
                <w:color w:val="auto"/>
                <w:w w:val="94"/>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2,325,000</w:t>
            </w:r>
            <w:r>
              <w:rPr>
                <w:rFonts w:ascii="Arial" w:cs="Arial" w:eastAsia="Arial" w:hAnsi="Arial"/>
                <w:sz w:val="23"/>
                <w:szCs w:val="23"/>
                <w:color w:val="auto"/>
                <w:w w:val="95"/>
                <w:vertAlign w:val="superscript"/>
              </w:rPr>
              <w:t>(1)</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48,599</w:t>
            </w:r>
            <w:r>
              <w:rPr>
                <w:rFonts w:ascii="Arial" w:cs="Arial" w:eastAsia="Arial" w:hAnsi="Arial"/>
                <w:sz w:val="23"/>
                <w:szCs w:val="23"/>
                <w:color w:val="auto"/>
                <w:w w:val="94"/>
                <w:vertAlign w:val="superscript"/>
              </w:rPr>
              <w:t>(1)</w:t>
            </w:r>
          </w:p>
        </w:tc>
      </w:tr>
      <w:tr>
        <w:trPr>
          <w:trHeight w:val="311"/>
        </w:trPr>
        <w:tc>
          <w:tcPr>
            <w:tcW w:w="2240" w:type="dxa"/>
            <w:vAlign w:val="bottom"/>
          </w:tcPr>
          <w:p>
            <w:pPr>
              <w:ind w:left="20"/>
              <w:spacing w:after="0"/>
              <w:rPr>
                <w:sz w:val="20"/>
                <w:szCs w:val="20"/>
                <w:color w:val="auto"/>
              </w:rPr>
            </w:pPr>
            <w:r>
              <w:rPr>
                <w:rFonts w:ascii="Arial" w:cs="Arial" w:eastAsia="Arial" w:hAnsi="Arial"/>
                <w:sz w:val="18"/>
                <w:szCs w:val="18"/>
                <w:color w:val="auto"/>
              </w:rPr>
              <w:t>John Caine</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237,500</w:t>
            </w:r>
            <w:r>
              <w:rPr>
                <w:rFonts w:ascii="Arial" w:cs="Arial" w:eastAsia="Arial" w:hAnsi="Arial"/>
                <w:sz w:val="23"/>
                <w:szCs w:val="23"/>
                <w:color w:val="auto"/>
                <w:w w:val="95"/>
                <w:vertAlign w:val="superscript"/>
              </w:rPr>
              <w:t>(2)</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4,964</w:t>
            </w:r>
            <w:r>
              <w:rPr>
                <w:rFonts w:ascii="Arial" w:cs="Arial" w:eastAsia="Arial" w:hAnsi="Arial"/>
                <w:sz w:val="23"/>
                <w:szCs w:val="23"/>
                <w:color w:val="auto"/>
                <w:w w:val="90"/>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712,500</w:t>
            </w:r>
            <w:r>
              <w:rPr>
                <w:rFonts w:ascii="Arial" w:cs="Arial" w:eastAsia="Arial" w:hAnsi="Arial"/>
                <w:sz w:val="23"/>
                <w:szCs w:val="23"/>
                <w:color w:val="auto"/>
                <w:w w:val="93"/>
                <w:vertAlign w:val="superscript"/>
              </w:rPr>
              <w:t>(2)</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14,893</w:t>
            </w:r>
            <w:r>
              <w:rPr>
                <w:rFonts w:ascii="Arial" w:cs="Arial" w:eastAsia="Arial" w:hAnsi="Arial"/>
                <w:sz w:val="23"/>
                <w:szCs w:val="23"/>
                <w:color w:val="auto"/>
                <w:w w:val="94"/>
                <w:vertAlign w:val="superscript"/>
              </w:rPr>
              <w:t>(2)</w:t>
            </w:r>
          </w:p>
        </w:tc>
      </w:tr>
    </w:tbl>
    <w:p>
      <w:pPr>
        <w:spacing w:after="0" w:line="134"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Forfeited in connection with his resignation.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such awards were forfeited, except for one-third of his 2024 RSUs which accelerated and vested as of September 11, 2024.</w:t>
      </w:r>
    </w:p>
    <w:p>
      <w:pPr>
        <w:spacing w:after="0" w:line="11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For more information, see “Compensation, Discussion &amp; Analysis-Separation Agreements” and “Narrative Supplement to Summary Compensation Table-Employment Agreements and Compensatory Arrangements” below.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named executive officers are eligible to participate in the same group insurance and employee benefit plans generally available to our other salaried employees in the United States. We provide employee benefits to all eligible employees in the United States, including our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50% of eligible payroll contributions including catch-up contributions, life and disability insurance, business travel insurance, flexible spending accounts, wellness reimbursements, learning and development opportunities and other plans and programs. Employee benefits and perquisites are reviewed from time to time to ensure that benefit levels remain competitive for the Company as a whole, including for our named executive officers.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4 – Other Compensation Information</w:t>
      </w:r>
    </w:p>
    <w:p>
      <w:pPr>
        <w:spacing w:after="0" w:line="108"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The prior three sections of this CD&amp;A describe how we think about compensation and how that affects our pay practices. Other compensation related details that may be important to our investors are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Arrangements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line with our objective to retain our executive officers and incentivize them to continue to focus and remain dedicated to their responsibilities and to maximize stockholder value, we have entered into employment agreements with our executive officers that provide for certain severance payments in connection with certain termination events. Further, consistent with best practices, none of our NEOs are entitled to excise tax gross-up payments. For further information about separation agreements and other arrangements with our NEOs, these arrangements are described below under “Narrative Supplement to Summary Compensation Table-Employment Agreements and Compensatory Arrangements” and “Potential Payments Upon Termination or Change in Control.”</w:t>
      </w:r>
    </w:p>
    <w:p>
      <w:pPr>
        <w:spacing w:after="0" w:line="74"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have also adopted a Severance Plan (the “Severance Plan”), that provides for certain cash payments in the event of an involuntary termination; however, to the extent the severance payments and benefits that are provided by the NEO’s employment agreement are more generous, as is currently the case under each NEO’s employment agreements, the NEO will not be eligible to receive any benefits under the Severance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Clawback Policy</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October 2023, our Compensation Committee recommended, and our Board approved, a clawback policy (the “</w:t>
      </w:r>
      <w:r>
        <w:rPr>
          <w:rFonts w:ascii="Arial" w:cs="Arial" w:eastAsia="Arial" w:hAnsi="Arial"/>
          <w:sz w:val="18"/>
          <w:szCs w:val="18"/>
          <w:u w:val="single" w:color="auto"/>
          <w:color w:val="auto"/>
        </w:rPr>
        <w:t>Clawback Policy</w:t>
      </w:r>
      <w:r>
        <w:rPr>
          <w:rFonts w:ascii="Arial" w:cs="Arial" w:eastAsia="Arial" w:hAnsi="Arial"/>
          <w:sz w:val="18"/>
          <w:szCs w:val="18"/>
          <w:color w:val="auto"/>
        </w:rPr>
        <w:t>”) designed to comply with Section 10D of the Exchange Act as well as the listing standards of the NYSE. The Clawback Policy provides that, in the event the Company is required to prepare an accounting restatement, the Company will reasonably promptly recover any erroneously awarded incentive-based compensation that was received by an executive officer during the three completed fiscal years preceding the restatement, in accordance with the provisions of the policy and applicable law.</w:t>
      </w:r>
    </w:p>
    <w:p>
      <w:pPr>
        <w:spacing w:after="0" w:line="71" w:lineRule="exact"/>
        <w:rPr>
          <w:sz w:val="20"/>
          <w:szCs w:val="20"/>
          <w:color w:val="auto"/>
        </w:rPr>
      </w:pPr>
    </w:p>
    <w:p>
      <w:pPr>
        <w:jc w:val="both"/>
        <w:ind w:right="260" w:firstLine="324"/>
        <w:spacing w:after="0" w:line="318" w:lineRule="auto"/>
        <w:rPr>
          <w:sz w:val="20"/>
          <w:szCs w:val="20"/>
          <w:color w:val="auto"/>
        </w:rPr>
      </w:pPr>
      <w:r>
        <w:rPr>
          <w:rFonts w:ascii="Arial" w:cs="Arial" w:eastAsia="Arial" w:hAnsi="Arial"/>
          <w:sz w:val="17"/>
          <w:szCs w:val="17"/>
          <w:color w:val="auto"/>
        </w:rPr>
        <w:t>Additionally, our Amended and Restated 2022 Plan and Amended and Restated 2012 Plan and related award agreements provide for the recoupment of performance-based annual incentives and long-term incentives consistent with applicable law and the Clawback Policy.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Procedures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Compensation Committee approves equity awards for our NEOs on or before the date of grant, and it has been the Compensation Committee’s general practice to approve annual equity awards by the first of April each year. The number of equity awards is generally determined by dividing the value of the grant by the average of the Company’s closing price for a share of Common Stock on each trading day during the 30 trading days period ending on the date immediately prior to the grant date. The Company does not permit the timed 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i w:val="1"/>
          <w:iCs w:val="1"/>
          <w:color w:val="auto"/>
        </w:rPr>
        <w:t>Policies and practices related to the grant of certain equity awards close in time to the release of material nonpublic information</w:t>
      </w:r>
    </w:p>
    <w:p>
      <w:pPr>
        <w:spacing w:after="0" w:line="1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does not have formal policies and practices on the timing of awards of options in relation to the disclosure of material nonpublic information by the Company. Equity award grants generally are made to executive officers on an annual basis according to a predetermined schedule. When determining the timing and terms of any such award, the Compensation Committee takes material nonpublic information in account and generally avoids granting any such awards close in time to the release of material nonpublic information. During fiscal 2024, the Company did not time the disclosure of material nonpublic information for the purpose of affecting the value of executive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Treatment of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Executive Compensation</w:t>
      </w:r>
    </w:p>
    <w:p>
      <w:pPr>
        <w:spacing w:after="0" w:line="11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over the period in which service is rendered to the Company.</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Compensation Committee Report</w:t>
      </w:r>
    </w:p>
    <w:p>
      <w:pPr>
        <w:spacing w:after="0" w:line="10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Proxy Statement.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Deirdre Bigley </w:t>
      </w:r>
      <w:r>
        <w:rPr>
          <w:rFonts w:ascii="Arial" w:cs="Arial" w:eastAsia="Arial" w:hAnsi="Arial"/>
          <w:sz w:val="18"/>
          <w:szCs w:val="18"/>
          <w:i w:val="1"/>
          <w:iCs w:val="1"/>
          <w:color w:val="auto"/>
        </w:rPr>
        <w:t>(Chairwoman)</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Rachna Bhasin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Thomas R. Evans</w:t>
      </w:r>
    </w:p>
    <w:p>
      <w:pPr>
        <w:spacing w:after="0" w:line="9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Summary Compensation Table</w:t>
      </w:r>
    </w:p>
    <w:p>
      <w:pPr>
        <w:spacing w:after="0" w:line="10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table sets forth information regarding the compensation awarded to, earned by, or paid to each of our named executive officers during the fiscal years ended December 31, 2024, December 31, 2023 and December 31, 2022, as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Salary</w:t>
            </w:r>
          </w:p>
        </w:tc>
        <w:tc>
          <w:tcPr>
            <w:tcW w:w="9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Bonus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106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Incentive Plan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Year</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1"/>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Jonathan Oringer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4,937,746</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rPr>
              <w:t>4,937,746</w:t>
            </w:r>
          </w:p>
        </w:tc>
        <w:tc>
          <w:tcPr>
            <w:tcW w:w="0" w:type="dxa"/>
            <w:vAlign w:val="bottom"/>
          </w:tcPr>
          <w:p>
            <w:pPr>
              <w:spacing w:after="0"/>
              <w:rPr>
                <w:sz w:val="1"/>
                <w:szCs w:val="1"/>
                <w:color w:val="auto"/>
              </w:rPr>
            </w:pPr>
          </w:p>
        </w:tc>
      </w:tr>
      <w:tr>
        <w:trPr>
          <w:trHeight w:val="123"/>
        </w:trPr>
        <w:tc>
          <w:tcPr>
            <w:tcW w:w="2620" w:type="dxa"/>
            <w:vAlign w:val="bottom"/>
            <w:vMerge w:val="continue"/>
          </w:tcPr>
          <w:p>
            <w:pPr>
              <w:spacing w:after="0"/>
              <w:rPr>
                <w:sz w:val="10"/>
                <w:szCs w:val="10"/>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5,496,949</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5,496,949</w:t>
            </w:r>
          </w:p>
        </w:tc>
        <w:tc>
          <w:tcPr>
            <w:tcW w:w="0" w:type="dxa"/>
            <w:vAlign w:val="bottom"/>
          </w:tcPr>
          <w:p>
            <w:pPr>
              <w:spacing w:after="0"/>
              <w:rPr>
                <w:sz w:val="1"/>
                <w:szCs w:val="1"/>
                <w:color w:val="auto"/>
              </w:rPr>
            </w:pPr>
          </w:p>
        </w:tc>
      </w:tr>
      <w:tr>
        <w:trPr>
          <w:trHeight w:val="120"/>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Executive Chairman</w:t>
            </w: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5,636,920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5,636,921</w:t>
            </w:r>
          </w:p>
        </w:tc>
        <w:tc>
          <w:tcPr>
            <w:tcW w:w="0" w:type="dxa"/>
            <w:vAlign w:val="bottom"/>
          </w:tcPr>
          <w:p>
            <w:pPr>
              <w:spacing w:after="0"/>
              <w:rPr>
                <w:sz w:val="1"/>
                <w:szCs w:val="1"/>
                <w:color w:val="auto"/>
              </w:rPr>
            </w:pPr>
          </w:p>
        </w:tc>
      </w:tr>
      <w:tr>
        <w:trPr>
          <w:trHeight w:val="158"/>
        </w:trPr>
        <w:tc>
          <w:tcPr>
            <w:tcW w:w="2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Paul Hennessy</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700,000</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5,871,670</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583,800</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20,998</w:t>
            </w:r>
            <w:r>
              <w:rPr>
                <w:rFonts w:ascii="Arial" w:cs="Arial" w:eastAsia="Arial" w:hAnsi="Arial"/>
                <w:sz w:val="21"/>
                <w:szCs w:val="21"/>
                <w:color w:val="auto"/>
                <w:w w:val="93"/>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7,176,468</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700,000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6,644,157</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750,400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3"/>
              </w:rPr>
              <w:t>18,954</w:t>
            </w:r>
            <w:r>
              <w:rPr>
                <w:rFonts w:ascii="Arial" w:cs="Arial" w:eastAsia="Arial" w:hAnsi="Arial"/>
                <w:sz w:val="21"/>
                <w:szCs w:val="21"/>
                <w:color w:val="auto"/>
                <w:w w:val="93"/>
                <w:vertAlign w:val="superscript"/>
              </w:rPr>
              <w:t>(3)</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8,113,511</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Executive Officer</w:t>
            </w: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2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325,769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19,912,380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581,000</w:t>
            </w:r>
          </w:p>
        </w:tc>
        <w:tc>
          <w:tcPr>
            <w:tcW w:w="1460" w:type="dxa"/>
            <w:vAlign w:val="bottom"/>
            <w:vMerge w:val="restart"/>
          </w:tcPr>
          <w:p>
            <w:pPr>
              <w:jc w:val="center"/>
              <w:spacing w:after="0" w:line="230" w:lineRule="exact"/>
              <w:rPr>
                <w:sz w:val="20"/>
                <w:szCs w:val="20"/>
                <w:color w:val="auto"/>
              </w:rPr>
            </w:pPr>
            <w:r>
              <w:rPr>
                <w:rFonts w:ascii="Arial" w:cs="Arial" w:eastAsia="Arial" w:hAnsi="Arial"/>
                <w:sz w:val="16"/>
                <w:szCs w:val="16"/>
                <w:color w:val="auto"/>
                <w:w w:val="90"/>
              </w:rPr>
              <w:t>64,111</w:t>
            </w:r>
            <w:r>
              <w:rPr>
                <w:rFonts w:ascii="Arial" w:cs="Arial" w:eastAsia="Arial" w:hAnsi="Arial"/>
                <w:sz w:val="21"/>
                <w:szCs w:val="21"/>
                <w:color w:val="auto"/>
                <w:w w:val="90"/>
                <w:vertAlign w:val="superscript"/>
              </w:rPr>
              <w:t>(4)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20,883,260</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Jarrod Yahes Former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2,929,518</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366,950</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13,630</w:t>
            </w:r>
            <w:r>
              <w:rPr>
                <w:rFonts w:ascii="Arial" w:cs="Arial" w:eastAsia="Arial" w:hAnsi="Arial"/>
                <w:sz w:val="21"/>
                <w:szCs w:val="21"/>
                <w:color w:val="auto"/>
                <w:w w:val="93"/>
                <w:vertAlign w:val="superscript"/>
              </w:rPr>
              <w:t>(5)</w:t>
            </w:r>
          </w:p>
        </w:tc>
        <w:tc>
          <w:tcPr>
            <w:tcW w:w="1060" w:type="dxa"/>
            <w:vAlign w:val="bottom"/>
          </w:tcPr>
          <w:p>
            <w:pPr>
              <w:jc w:val="center"/>
              <w:spacing w:after="0"/>
              <w:rPr>
                <w:sz w:val="20"/>
                <w:szCs w:val="20"/>
                <w:color w:val="auto"/>
              </w:rPr>
            </w:pPr>
            <w:r>
              <w:rPr>
                <w:rFonts w:ascii="Arial" w:cs="Arial" w:eastAsia="Arial" w:hAnsi="Arial"/>
                <w:sz w:val="16"/>
                <w:szCs w:val="16"/>
                <w:color w:val="auto"/>
              </w:rPr>
              <w:t>3,860,098</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3,897,837</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471,700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3"/>
              </w:rPr>
              <w:t>12,750</w:t>
            </w:r>
            <w:r>
              <w:rPr>
                <w:rFonts w:ascii="Arial" w:cs="Arial" w:eastAsia="Arial" w:hAnsi="Arial"/>
                <w:sz w:val="21"/>
                <w:szCs w:val="21"/>
                <w:color w:val="auto"/>
                <w:w w:val="93"/>
                <w:vertAlign w:val="superscript"/>
              </w:rPr>
              <w:t>(6)</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4,932,287</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2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3,074,684</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365,200</w:t>
            </w:r>
          </w:p>
        </w:tc>
        <w:tc>
          <w:tcPr>
            <w:tcW w:w="1460" w:type="dxa"/>
            <w:vAlign w:val="bottom"/>
            <w:vMerge w:val="restart"/>
          </w:tcPr>
          <w:p>
            <w:pPr>
              <w:jc w:val="center"/>
              <w:spacing w:after="0" w:line="230" w:lineRule="exact"/>
              <w:rPr>
                <w:sz w:val="20"/>
                <w:szCs w:val="20"/>
                <w:color w:val="auto"/>
              </w:rPr>
            </w:pPr>
            <w:r>
              <w:rPr>
                <w:rFonts w:ascii="Arial" w:cs="Arial" w:eastAsia="Arial" w:hAnsi="Arial"/>
                <w:sz w:val="16"/>
                <w:szCs w:val="16"/>
                <w:color w:val="auto"/>
                <w:w w:val="93"/>
              </w:rPr>
              <w:t>11,750</w:t>
            </w:r>
            <w:r>
              <w:rPr>
                <w:rFonts w:ascii="Arial" w:cs="Arial" w:eastAsia="Arial" w:hAnsi="Arial"/>
                <w:sz w:val="21"/>
                <w:szCs w:val="21"/>
                <w:color w:val="auto"/>
                <w:w w:val="93"/>
                <w:vertAlign w:val="superscript"/>
              </w:rPr>
              <w:t>(7)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4,001,634</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6"/>
                <w:szCs w:val="16"/>
                <w:color w:val="auto"/>
              </w:rPr>
              <w:t>John Caine Former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346,154</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897,735</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161,350</w:t>
            </w:r>
          </w:p>
        </w:tc>
        <w:tc>
          <w:tcPr>
            <w:tcW w:w="1460" w:type="dxa"/>
            <w:vAlign w:val="bottom"/>
          </w:tcPr>
          <w:p>
            <w:pPr>
              <w:jc w:val="center"/>
              <w:spacing w:after="0" w:line="223" w:lineRule="exact"/>
              <w:rPr>
                <w:sz w:val="20"/>
                <w:szCs w:val="20"/>
                <w:color w:val="auto"/>
              </w:rPr>
            </w:pPr>
            <w:r>
              <w:rPr>
                <w:rFonts w:ascii="Arial" w:cs="Arial" w:eastAsia="Arial" w:hAnsi="Arial"/>
                <w:sz w:val="16"/>
                <w:szCs w:val="16"/>
                <w:color w:val="auto"/>
                <w:w w:val="93"/>
              </w:rPr>
              <w:t>532,689</w:t>
            </w:r>
            <w:r>
              <w:rPr>
                <w:rFonts w:ascii="Arial" w:cs="Arial" w:eastAsia="Arial" w:hAnsi="Arial"/>
                <w:sz w:val="21"/>
                <w:szCs w:val="21"/>
                <w:color w:val="auto"/>
                <w:w w:val="93"/>
                <w:vertAlign w:val="superscript"/>
              </w:rPr>
              <w:t>(8)</w:t>
            </w:r>
          </w:p>
        </w:tc>
        <w:tc>
          <w:tcPr>
            <w:tcW w:w="1060" w:type="dxa"/>
            <w:vAlign w:val="bottom"/>
          </w:tcPr>
          <w:p>
            <w:pPr>
              <w:jc w:val="center"/>
              <w:spacing w:after="0"/>
              <w:rPr>
                <w:sz w:val="20"/>
                <w:szCs w:val="20"/>
                <w:color w:val="auto"/>
              </w:rPr>
            </w:pPr>
            <w:r>
              <w:rPr>
                <w:rFonts w:ascii="Arial" w:cs="Arial" w:eastAsia="Arial" w:hAnsi="Arial"/>
                <w:sz w:val="16"/>
                <w:szCs w:val="16"/>
                <w:color w:val="auto"/>
              </w:rPr>
              <w:t>1,937,927</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Product and Digital Officer</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442,308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150,000</w:t>
            </w:r>
            <w:r>
              <w:rPr>
                <w:rFonts w:ascii="Arial" w:cs="Arial" w:eastAsia="Arial" w:hAnsi="Arial"/>
                <w:sz w:val="21"/>
                <w:szCs w:val="21"/>
                <w:color w:val="auto"/>
                <w:w w:val="93"/>
                <w:vertAlign w:val="superscript"/>
              </w:rPr>
              <w:t>(9)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7,236,871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321,600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5,328</w:t>
            </w:r>
            <w:r>
              <w:rPr>
                <w:rFonts w:ascii="Arial" w:cs="Arial" w:eastAsia="Arial" w:hAnsi="Arial"/>
                <w:sz w:val="21"/>
                <w:szCs w:val="21"/>
                <w:color w:val="auto"/>
                <w:w w:val="89"/>
                <w:vertAlign w:val="superscript"/>
              </w:rPr>
              <w:t>(10)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8,156,107</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Rik Powell</w:t>
            </w: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2024</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210,866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683,989</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130,450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89"/>
              </w:rPr>
              <w:t>16,409</w:t>
            </w:r>
            <w:r>
              <w:rPr>
                <w:rFonts w:ascii="Arial" w:cs="Arial" w:eastAsia="Arial" w:hAnsi="Arial"/>
                <w:sz w:val="21"/>
                <w:szCs w:val="21"/>
                <w:color w:val="auto"/>
                <w:w w:val="89"/>
                <w:vertAlign w:val="superscript"/>
              </w:rPr>
              <w:t>(11)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1,041,714</w:t>
            </w:r>
          </w:p>
        </w:tc>
        <w:tc>
          <w:tcPr>
            <w:tcW w:w="0" w:type="dxa"/>
            <w:vAlign w:val="bottom"/>
          </w:tcPr>
          <w:p>
            <w:pPr>
              <w:spacing w:after="0"/>
              <w:rPr>
                <w:sz w:val="1"/>
                <w:szCs w:val="1"/>
                <w:color w:val="auto"/>
              </w:rPr>
            </w:pPr>
          </w:p>
        </w:tc>
      </w:tr>
      <w:tr>
        <w:trPr>
          <w:trHeight w:val="163"/>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34" w:name="page35"/>
    <w:bookmarkEnd w:id="34"/>
    <w:p>
      <w:pPr>
        <w:ind w:left="340" w:hanging="332"/>
        <w:spacing w:after="0" w:line="260" w:lineRule="auto"/>
        <w:tabs>
          <w:tab w:leader="none" w:pos="3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computed in accordance with ASC Topic 718 for RSUs and PSUs granted to the NEOs. In connection with Mr. Yahes’s resignation, RSUs granted in 2024 were forfeited as of November 1, 2024, and in connection with Mr. Caine’s termination, two-thirds of the RSUs granted in 2024 were forfeited and one-third vested as of September 11, 2024. For Mr. Oringer, Mr. Yahes and Mr. Caine, the Stock Awards column includes the grant date fair value of PSUs granted in 2024 for three annual tranches because the performance targets are set at the start of the three-year performance period. In connection with his departure, the PSUs granted in 2024 to Mr. Yahes were forfeited as of November 1, 2024. With respect to Mr. Caine, his PSUs earned based on 2024 performance vested, but his PSUs vesting based on future performance were forfeited as of September 11, 2024. For the PSUs awarded to Mr. Hennessy in 2022, each annual performance target is set at the start of each respective single-year performance period, and therefore, only one annual tranche of the PSUs is considered granted in each applicable year (2022, 2023, and 2024) under FASB Topic 718 and included in the Stock Awards Column for each year reported. A discussion of the assumptions used in determining grant date fair value may be found in Note 1 to our audited consolidated financial statements included in our Annual Report on Form 10-K for the year ended December 31, 2024. Please also refer to the Grants of Plan-Based Awards in 2024 table for information on stock award grants made in 2024. These amounts do not necessarily represent the actual value that may be realized by the NEOs. Of the amounts shown in 2024 for each NEO, PSUs are based on target performance for 2024 and represent: all of the Stock Awards for Mr. Oringer, $3,846,384 for Mr. Hennessy, $2,197,161 for Mr. Yahes, $673,313 for Mr. Caine, and $0 for Mr. Powell. For the PSUs granted in 2024, assuming the maximum performance level is achieved, the amounts that would be received with respect to the 2024 PSUs are as follows: Mr. Oringer, $7,406,619, Mr. Hennessy, $5,769,554, Mr. Yahes, $3,295,719, and Mr. Caine, $1,009,946.</w:t>
      </w:r>
    </w:p>
    <w:p>
      <w:pPr>
        <w:spacing w:after="0" w:line="28" w:lineRule="exact"/>
        <w:rPr>
          <w:rFonts w:ascii="Arial" w:cs="Arial" w:eastAsia="Arial" w:hAnsi="Arial"/>
          <w:sz w:val="14"/>
          <w:szCs w:val="14"/>
          <w:color w:val="auto"/>
        </w:rPr>
      </w:pPr>
    </w:p>
    <w:p>
      <w:pPr>
        <w:ind w:left="340" w:right="40" w:hanging="332"/>
        <w:spacing w:after="0" w:line="276" w:lineRule="auto"/>
        <w:tabs>
          <w:tab w:leader="none" w:pos="3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the non-equity incentive plan compensation column for 2024 represent performance-based bonuses but actually paid in 2025. For Mr. Yahes, the amount for 2024 represents a bonus earned for the full fiscal year in accordance with the Transition Agreement entered into on October 31, 2024. For Mr. Caine, the amount included for 2024 represents a pro-rated annual bonus earned pursuant to Section 7(a) of the Employment Agreement dated January 12, 2023 following the end of his employment as Chief Product and Digital Officer effective August 23, 2024.</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$15,250 payment for 401(k) matching contributions by the Company, the value of Company-provided group term life insurance premium and mobile phone allowance.</w:t>
      </w:r>
    </w:p>
    <w:p>
      <w:pPr>
        <w:spacing w:after="0" w:line="1" w:lineRule="exact"/>
        <w:rPr>
          <w:rFonts w:ascii="Arial" w:cs="Arial" w:eastAsia="Arial" w:hAnsi="Arial"/>
          <w:sz w:val="14"/>
          <w:szCs w:val="14"/>
          <w:color w:val="auto"/>
        </w:rPr>
      </w:pPr>
    </w:p>
    <w:p>
      <w:pPr>
        <w:ind w:left="340" w:right="140" w:hanging="332"/>
        <w:spacing w:after="0" w:line="28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$13,500 payment for 401(k) matching contributions by the Company, the value of Company-provided group term life insurance premium and mobile phone allowance. Also consists of fees for Mr. Hennessy’s service as a non-employee director prior to his appointment as our CEO in May 2022. For more information regarding these fees, see the “Director Compensation” section of this Proxy Statement.</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$11,500 payment for 401(k) matching contributions by the Company, the value of Company-provided group term life insurance premium and mobile phone allowance and fitness expense reimbursement.</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$11,250 payment for 401(k) matching contributions by the Company, the value of Company-provided group term life insurance premium and mobile phone allowance and fitness expense reimbursement.</w:t>
      </w:r>
    </w:p>
    <w:p>
      <w:pPr>
        <w:spacing w:after="0" w:line="1" w:lineRule="exact"/>
        <w:rPr>
          <w:rFonts w:ascii="Arial" w:cs="Arial" w:eastAsia="Arial" w:hAnsi="Arial"/>
          <w:sz w:val="14"/>
          <w:szCs w:val="14"/>
          <w:color w:val="auto"/>
        </w:rPr>
      </w:pPr>
    </w:p>
    <w:p>
      <w:pPr>
        <w:ind w:left="340" w:right="220" w:hanging="332"/>
        <w:spacing w:after="0" w:line="285"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$10,250 payment for 401(k) matching contributions by the Company, the value of Company-provided group term life insurance premium and mobile phone allowance.</w:t>
      </w:r>
    </w:p>
    <w:p>
      <w:pPr>
        <w:spacing w:after="0" w:line="9" w:lineRule="exact"/>
        <w:rPr>
          <w:rFonts w:ascii="Arial" w:cs="Arial" w:eastAsia="Arial" w:hAnsi="Arial"/>
          <w:sz w:val="14"/>
          <w:szCs w:val="14"/>
          <w:color w:val="auto"/>
        </w:rPr>
      </w:pPr>
    </w:p>
    <w:p>
      <w:pPr>
        <w:ind w:left="340" w:right="24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$500,000 severance payment, $17,303 in COBRA payments, $13,846 payment for 401(k) matching contributions by the Company, the value of Company-provided group term life insurance premium and mobile phone allowance.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 represents one-time sign on bonus.</w:t>
      </w:r>
    </w:p>
    <w:p>
      <w:pPr>
        <w:spacing w:after="0" w:line="68" w:lineRule="exact"/>
        <w:rPr>
          <w:rFonts w:ascii="Arial" w:cs="Arial" w:eastAsia="Arial" w:hAnsi="Arial"/>
          <w:sz w:val="14"/>
          <w:szCs w:val="14"/>
          <w:color w:val="auto"/>
        </w:rPr>
      </w:pPr>
    </w:p>
    <w:p>
      <w:pPr>
        <w:ind w:left="340" w:right="220" w:hanging="332"/>
        <w:spacing w:after="0" w:line="285" w:lineRule="auto"/>
        <w:tabs>
          <w:tab w:leader="none" w:pos="4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$3,462 payment for 401(k) matching contributions by the Company, the value of Company-provided group term life insurance premium and mobile phone allowance.</w:t>
      </w:r>
    </w:p>
    <w:p>
      <w:pPr>
        <w:spacing w:after="0" w:line="9" w:lineRule="exact"/>
        <w:rPr>
          <w:rFonts w:ascii="Arial" w:cs="Arial" w:eastAsia="Arial" w:hAnsi="Arial"/>
          <w:sz w:val="14"/>
          <w:szCs w:val="14"/>
          <w:color w:val="auto"/>
        </w:rPr>
      </w:pPr>
    </w:p>
    <w:p>
      <w:pPr>
        <w:ind w:left="340" w:right="380" w:hanging="332"/>
        <w:spacing w:after="0" w:line="305" w:lineRule="auto"/>
        <w:tabs>
          <w:tab w:leader="none" w:pos="421"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$15,250 payment for 401(k) matching contributions by the Company, the value of Company-provided group term life insurance premium, mobile phone allowance and fitness expense reimbursement.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Supplement to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Employment Agreements and Compensatory Arrangements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the employment agreements and compensatory arrangements with our NEOs are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Jonathan Oringer</w:t>
      </w:r>
    </w:p>
    <w:p>
      <w:pPr>
        <w:spacing w:after="0" w:line="11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Mr. Oringer is employed as Executive Chairman, and served as our Chief Executive Officer until April 1, 2020, pursuant to an employment agreement dated September 24, 2012. Mr. Oringer’s employment agreement was amended in 2020 in connection with his appointment as Executive Chairman to reflect his new role. Mr. Oringer’s employment agreement generally provides for the following key terms:</w:t>
      </w:r>
    </w:p>
    <w:p>
      <w:pPr>
        <w:spacing w:after="0" w:line="122" w:lineRule="exact"/>
        <w:rPr>
          <w:sz w:val="20"/>
          <w:szCs w:val="20"/>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at-will employment;</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 of $250,000, which was reduced to $1 by the Compensation Committee effective as of April 24, 2014;</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ineligibility for an annual cash incentive;</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3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Mr. Oringer also entered into a Severance and Change in Control Agreement, dated September 24, 2012, which was amended in 2020 in connection with his appointment as Executive Chairman to reflect his new role. Pursuant to the Severance and Change in Control Agreement (the “Severance and CiC Agreement”), if the Company terminates</w:t>
      </w:r>
    </w:p>
    <w:p>
      <w:pPr>
        <w:sectPr>
          <w:pgSz w:w="11900" w:h="16838" w:orient="portrait"/>
          <w:cols w:equalWidth="0" w:num="1">
            <w:col w:w="11240"/>
          </w:cols>
          <w:pgMar w:left="320" w:top="8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Mr. Oringer’s employment without “cause” (as defined in the Severance and CiC Agreement), other than due to his death or “disability” (as defined in the Severance and CiC Agreement) at any time other than during the 24-month period immediately following a “change in control” (as defined in the Severance and CiC Agreement), Mr. Oringer will receive all accrued but unpaid vacation, expense reimbursements, wages and other benefits due to Mr. Oringer under Company-provided plans, policies and arrangements and, subject to his execution of a satisfactory release and compliance with the covenants described below, the following severance benefits from the Company:</w:t>
      </w:r>
    </w:p>
    <w:p>
      <w:pPr>
        <w:spacing w:after="0" w:line="125" w:lineRule="exact"/>
        <w:rPr>
          <w:sz w:val="20"/>
          <w:szCs w:val="20"/>
          <w:color w:val="auto"/>
        </w:rPr>
      </w:pPr>
    </w:p>
    <w:p>
      <w:pPr>
        <w:ind w:left="700" w:right="460" w:hanging="314"/>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severance in an amount equal to 12 months of his then-current base salary, which will be paid in three equal installments on each of the following dates: (x) his termination of employment, (y) the six-month anniversary of his termination and (z) the one-year anniversary of his termination of employment;</w:t>
      </w:r>
    </w:p>
    <w:p>
      <w:pPr>
        <w:spacing w:after="0" w:line="8" w:lineRule="exact"/>
        <w:rPr>
          <w:rFonts w:ascii="Arial" w:cs="Arial" w:eastAsia="Arial" w:hAnsi="Arial"/>
          <w:sz w:val="18"/>
          <w:szCs w:val="18"/>
          <w:color w:val="auto"/>
        </w:rPr>
      </w:pPr>
    </w:p>
    <w:p>
      <w:pPr>
        <w:ind w:left="700" w:right="82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of a pro rata annual bonus at 100% of the then-current target for the year in which the termination of employment occurs based on the number of days worked relative to 365 days;</w:t>
      </w:r>
    </w:p>
    <w:p>
      <w:pPr>
        <w:spacing w:after="0" w:line="1" w:lineRule="exact"/>
        <w:rPr>
          <w:rFonts w:ascii="Arial" w:cs="Arial" w:eastAsia="Arial" w:hAnsi="Arial"/>
          <w:sz w:val="18"/>
          <w:szCs w:val="18"/>
          <w:color w:val="auto"/>
        </w:rPr>
      </w:pPr>
    </w:p>
    <w:p>
      <w:pPr>
        <w:ind w:left="700" w:right="58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the Consolidated Omnibus Budget Reconciliation Act of 1985, as amended (“COBRA”), for Mr. Oringer and his eligible dependents for up to 12 months;</w:t>
      </w:r>
    </w:p>
    <w:p>
      <w:pPr>
        <w:spacing w:after="0" w:line="1" w:lineRule="exact"/>
        <w:rPr>
          <w:rFonts w:ascii="Arial" w:cs="Arial" w:eastAsia="Arial" w:hAnsi="Arial"/>
          <w:sz w:val="18"/>
          <w:szCs w:val="18"/>
          <w:color w:val="auto"/>
        </w:rPr>
      </w:pPr>
    </w:p>
    <w:p>
      <w:pPr>
        <w:ind w:left="700" w:right="100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accelerated vesting of the then-unvested portion of all of Mr. Oringer’s outstanding equity awards as if he had remained employed for 12 months following his termination of employment;</w:t>
      </w:r>
    </w:p>
    <w:p>
      <w:pPr>
        <w:spacing w:after="0" w:line="1" w:lineRule="exact"/>
        <w:rPr>
          <w:rFonts w:ascii="Arial" w:cs="Arial" w:eastAsia="Arial" w:hAnsi="Arial"/>
          <w:sz w:val="18"/>
          <w:szCs w:val="18"/>
          <w:color w:val="auto"/>
        </w:rPr>
      </w:pPr>
    </w:p>
    <w:p>
      <w:pPr>
        <w:ind w:left="700" w:right="48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post-termination exercise period for the outstanding vested options will be extended to 18 months following his termination of employment;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outplacement benefits for six months following termination of employment, up to a maximum of $5,000.</w:t>
      </w:r>
    </w:p>
    <w:p>
      <w:pPr>
        <w:spacing w:after="0" w:line="23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if we terminate Mr. Oringer’s employment with the Company without “cause,” other than due to Mr. Oringer’s death or “disability” or Mr. Oringer resigning for “good reason” (as defined in the Severance and CiC Agreement), in either case at any time during the twenty-four month period immediately following a “change of control,” Mr. Oringer will receive the “accrued benefits,” (as defined in the Severance and CiC Agreement) and, subject to his execution of a satisfactory release and compliance with the covenants described below, Mr. Oringer will also receive severance payments and benefits set forth above, except as follows:</w:t>
      </w:r>
    </w:p>
    <w:p>
      <w:pPr>
        <w:spacing w:after="0" w:line="125" w:lineRule="exact"/>
        <w:rPr>
          <w:sz w:val="20"/>
          <w:szCs w:val="20"/>
          <w:color w:val="auto"/>
        </w:rPr>
      </w:pPr>
    </w:p>
    <w:p>
      <w:pPr>
        <w:ind w:left="700" w:hanging="31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severance in an amount equal to 12 months of his then current base salary, in a single lump sum payment;</w:t>
      </w:r>
    </w:p>
    <w:p>
      <w:pPr>
        <w:spacing w:after="0" w:line="63" w:lineRule="exact"/>
        <w:rPr>
          <w:rFonts w:ascii="Arial" w:cs="Arial" w:eastAsia="Arial" w:hAnsi="Arial"/>
          <w:sz w:val="18"/>
          <w:szCs w:val="18"/>
          <w:color w:val="auto"/>
        </w:rPr>
      </w:pPr>
    </w:p>
    <w:p>
      <w:pPr>
        <w:ind w:left="700" w:right="540" w:hanging="314"/>
        <w:spacing w:after="0" w:line="281"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lump sum payment equal to 100% of his full target bonus for the fiscal year in effect at the date of termination of employment;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accelerated vesting of 100% of the then-unvested portion of all of Mr. Oringer’s outstanding equity awards.</w:t>
      </w:r>
    </w:p>
    <w:p>
      <w:pPr>
        <w:spacing w:after="0" w:line="22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Mr. Oringer’s Severance and CiC Agreement contains customary confidentiality, non-competition, non-solicitation of employees or customers and non-disparagement provisions. Under the agreement, Mr. Oringer cannot compete with the Company for a 12-month period after termination. The non-solicitation and non-disparagement covenant also extends for 12 months after termination.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Paul Hennessy</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Hennessy was appointed Chief Executive Officer effective July 1, 2022 and has served as a member of our Board of Directors since April 2015. Mr. Hennessy’s employment agreement was amended on June 28, 2024 in order to incentivize Mr. Hennessy’s continued service and performance for the Company and to promote his retention for an additional period of service through July 1, 2026. Mr. Hennessy’s employment agreement generally provides for the following key terms:</w:t>
      </w:r>
    </w:p>
    <w:p>
      <w:pPr>
        <w:spacing w:after="0" w:line="122" w:lineRule="exact"/>
        <w:rPr>
          <w:sz w:val="20"/>
          <w:szCs w:val="20"/>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at-will employment, which commenced effective July 1, 2022;</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 of $700,000;</w:t>
      </w:r>
    </w:p>
    <w:p>
      <w:pPr>
        <w:spacing w:after="0" w:line="63" w:lineRule="exact"/>
        <w:rPr>
          <w:rFonts w:ascii="Arial" w:cs="Arial" w:eastAsia="Arial" w:hAnsi="Arial"/>
          <w:sz w:val="18"/>
          <w:szCs w:val="18"/>
          <w:color w:val="auto"/>
        </w:rPr>
      </w:pPr>
    </w:p>
    <w:p>
      <w:pPr>
        <w:ind w:left="700" w:right="1120" w:hanging="314"/>
        <w:spacing w:after="0" w:line="281"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cash bonus opportunity, with a target award equal to 100% of his base salary, based on the achievement of individual and company performance-based objectives established by our Compensation Committee;</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3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the event that the Company terminates Mr. Hennessy’s employment without cause on or after July 1, 2026, he will only receive a pro-rated annual bonus for the year of termination, subject to the execution of a release, without any additional severance benefits. In the event that the Company terminates Mr. Hennessy’s employment prior to July 1, 2026, he will continue to be eligible to receive payments and benefits in accordance with the terms of the employment agreement, including: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6" w:name="page37"/>
    <w:bookmarkEnd w:id="36"/>
    <w:p>
      <w:pPr>
        <w:ind w:left="700" w:right="620" w:hanging="314"/>
        <w:spacing w:after="0" w:line="26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termination without cause that does not occur within 12 months following a change in control: (i) continued payment of his salary for eighteen months, (ii) reimbursement for certain medical insurance premiums for up to eighteen months, (ii) the immediate vesting of all unvested restricted stock units and a prorated portion of unvested performance stock units based on actual performance, and (iv) a prorated annual bonus based on actual performance.</w:t>
      </w:r>
    </w:p>
    <w:p>
      <w:pPr>
        <w:spacing w:after="0" w:line="14" w:lineRule="exact"/>
        <w:rPr>
          <w:rFonts w:ascii="Arial" w:cs="Arial" w:eastAsia="Arial" w:hAnsi="Arial"/>
          <w:sz w:val="18"/>
          <w:szCs w:val="18"/>
          <w:color w:val="auto"/>
        </w:rPr>
      </w:pPr>
    </w:p>
    <w:p>
      <w:pPr>
        <w:ind w:left="700" w:right="440" w:hanging="314"/>
        <w:spacing w:after="0" w:line="26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termination without cause or for good reason within 12 months following a change in control: (i) a lump sum payment equal to eighteen months of his base salary, (ii) reimbursement for certain medical insurance premiums for up to twelve months, (iii) the immediate vesting of all unvested equity awards, and (iv) a lump sum payment equal to his target bonus amount for the year of termination.</w:t>
      </w:r>
    </w:p>
    <w:p>
      <w:pPr>
        <w:spacing w:after="0" w:line="19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Mr. Hennessy is not entitled to any severance benefits under the employment agreement in connection with a voluntary resignation. In addition, Mr. Hennessy is not entitled to severance benefits under the Company’s Severance Plan under the terms of the employment agreement.</w:t>
      </w:r>
    </w:p>
    <w:p>
      <w:pPr>
        <w:spacing w:after="0" w:line="6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Mr. Hennessy is also subject to the Company’s Confidentiality, Non-Disclosure, Inventions, Non-Solicitation and Non-Competition Agreement, which contains customary confidentiality, non-competition, and non-solicitation of employees or customers provision. Under the agreement, Mr. Hennessy cannot compete with the Company for a 12 month period after termination. The non-solicitation covenant also extends for 12 months after termination.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Rik Powell</w:t>
      </w:r>
    </w:p>
    <w:p>
      <w:pPr>
        <w:spacing w:after="0" w:line="11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Mr. Powell is employed as our Chief Financial Officer pursuant to an employment agreement dated October 30, 2024. Mr. Powell’s employment agreement generally provides for the following key terms:</w:t>
      </w:r>
    </w:p>
    <w:p>
      <w:pPr>
        <w:spacing w:after="0" w:line="4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at-will employment, which commenced effective November 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 of $450,000;</w:t>
      </w:r>
    </w:p>
    <w:p>
      <w:pPr>
        <w:spacing w:after="0" w:line="117" w:lineRule="exact"/>
        <w:rPr>
          <w:rFonts w:ascii="Arial" w:cs="Arial" w:eastAsia="Arial" w:hAnsi="Arial"/>
          <w:sz w:val="18"/>
          <w:szCs w:val="18"/>
          <w:color w:val="auto"/>
        </w:rPr>
      </w:pPr>
    </w:p>
    <w:p>
      <w:pPr>
        <w:ind w:left="660" w:right="180" w:hanging="328"/>
        <w:spacing w:after="0" w:line="31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cash bonus opportunity, with a target award equal to 60% of his base salary, based on the achievement of individual and company performance-based objectives established by our Compensation Committee and pro-rated for his initial year of service;</w:t>
      </w:r>
    </w:p>
    <w:p>
      <w:pPr>
        <w:spacing w:after="0" w:line="21"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117"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employment agreement provides for the following severance benefits, subject to the execution of a release and compliance with certain restrictive covenants:</w:t>
      </w:r>
    </w:p>
    <w:p>
      <w:pPr>
        <w:spacing w:after="0" w:line="45" w:lineRule="exact"/>
        <w:rPr>
          <w:sz w:val="20"/>
          <w:szCs w:val="20"/>
          <w:color w:val="auto"/>
        </w:rPr>
      </w:pPr>
    </w:p>
    <w:p>
      <w:pPr>
        <w:ind w:left="660" w:right="20" w:hanging="247"/>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p>
      <w:pPr>
        <w:spacing w:after="0" w:line="71" w:lineRule="exact"/>
        <w:rPr>
          <w:rFonts w:ascii="Arial" w:cs="Arial" w:eastAsia="Arial" w:hAnsi="Arial"/>
          <w:sz w:val="18"/>
          <w:szCs w:val="18"/>
          <w:color w:val="auto"/>
        </w:rPr>
      </w:pPr>
    </w:p>
    <w:p>
      <w:pPr>
        <w:ind w:left="660" w:right="100" w:hanging="247"/>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p>
      <w:pPr>
        <w:spacing w:after="0" w:line="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Powell is also subject to the Company’s Confidentiality, Non-Disclosure, Inventions, Non-Solicitation and Non-Competition Agreement, which contains customary confidentiality, non-competition, and non-solicitation of employees or customers provision. Under the agreement, Mr. Powell cannot compete with the Company for a 12-month period after termination. The non-solicitation covenant also extends for 12 months after termination.</w:t>
      </w:r>
    </w:p>
    <w:p>
      <w:pPr>
        <w:spacing w:after="0" w:line="6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On January 27, 2025, the Compensation Committee approved the following changes to Mr. Powell’s compensation to align with his role as Chief Financial Officer:</w:t>
      </w:r>
    </w:p>
    <w:p>
      <w:pPr>
        <w:spacing w:after="0" w:line="4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 of $550,000; and</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cash bonus opportunity, with a target award equal to 70% of his base salary, based on the achievement of individual and company performance-based objectives established by our Compensation Committee.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1"/>
          <w:szCs w:val="21"/>
          <w:b w:val="1"/>
          <w:bCs w:val="1"/>
          <w:color w:val="EF3A35"/>
        </w:rPr>
        <w:t>Grants of Plan-Based Awards in 2024</w:t>
      </w: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 Under Non-Equity</w:t>
            </w:r>
          </w:p>
        </w:tc>
        <w:tc>
          <w:tcPr>
            <w:tcW w:w="2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 Under Equity</w:t>
            </w: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1040" w:type="dxa"/>
            <w:vAlign w:val="bottom"/>
            <w:vMerge w:val="restart"/>
          </w:tcPr>
          <w:p>
            <w:pPr>
              <w:jc w:val="center"/>
              <w:ind w:left="197"/>
              <w:spacing w:after="0"/>
              <w:rPr>
                <w:sz w:val="20"/>
                <w:szCs w:val="20"/>
                <w:color w:val="auto"/>
              </w:rPr>
            </w:pPr>
            <w:r>
              <w:rPr>
                <w:rFonts w:ascii="Arial" w:cs="Arial" w:eastAsia="Arial" w:hAnsi="Arial"/>
                <w:sz w:val="13"/>
                <w:szCs w:val="13"/>
                <w:b w:val="1"/>
                <w:bCs w:val="1"/>
                <w:color w:val="auto"/>
                <w:w w:val="97"/>
              </w:rPr>
              <w:t>Grant</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Incentive Plan Awards</w:t>
            </w:r>
            <w:r>
              <w:rPr>
                <w:rFonts w:ascii="Arial" w:cs="Arial" w:eastAsia="Arial" w:hAnsi="Arial"/>
                <w:sz w:val="16"/>
                <w:szCs w:val="16"/>
                <w:b w:val="1"/>
                <w:bCs w:val="1"/>
                <w:color w:val="auto"/>
                <w:w w:val="93"/>
                <w:vertAlign w:val="superscript"/>
              </w:rPr>
              <w:t>(1)(2)</w:t>
            </w:r>
          </w:p>
        </w:tc>
        <w:tc>
          <w:tcPr>
            <w:tcW w:w="0" w:type="dxa"/>
            <w:vAlign w:val="bottom"/>
          </w:tcPr>
          <w:p>
            <w:pPr>
              <w:spacing w:after="0"/>
              <w:rPr>
                <w:sz w:val="1"/>
                <w:szCs w:val="1"/>
                <w:color w:val="auto"/>
              </w:rPr>
            </w:pPr>
          </w:p>
        </w:tc>
      </w:tr>
      <w:tr>
        <w:trPr>
          <w:trHeight w:val="57"/>
        </w:trPr>
        <w:tc>
          <w:tcPr>
            <w:tcW w:w="8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center"/>
              <w:ind w:left="177"/>
              <w:spacing w:after="0"/>
              <w:rPr>
                <w:sz w:val="20"/>
                <w:szCs w:val="20"/>
                <w:color w:val="auto"/>
              </w:rPr>
            </w:pPr>
            <w:r>
              <w:rPr>
                <w:rFonts w:ascii="Arial" w:cs="Arial" w:eastAsia="Arial" w:hAnsi="Arial"/>
                <w:sz w:val="13"/>
                <w:szCs w:val="13"/>
                <w:b w:val="1"/>
                <w:bCs w:val="1"/>
                <w:color w:val="auto"/>
                <w:w w:val="99"/>
              </w:rPr>
              <w:t>Date</w:t>
            </w:r>
          </w:p>
        </w:tc>
        <w:tc>
          <w:tcPr>
            <w:tcW w:w="1100" w:type="dxa"/>
            <w:vAlign w:val="bottom"/>
          </w:tcPr>
          <w:p>
            <w:pPr>
              <w:ind w:left="120"/>
              <w:spacing w:after="0"/>
              <w:rPr>
                <w:sz w:val="20"/>
                <w:szCs w:val="20"/>
                <w:color w:val="auto"/>
              </w:rPr>
            </w:pPr>
            <w:r>
              <w:rPr>
                <w:rFonts w:ascii="Arial" w:cs="Arial" w:eastAsia="Arial" w:hAnsi="Arial"/>
                <w:sz w:val="13"/>
                <w:szCs w:val="13"/>
                <w:b w:val="1"/>
                <w:bCs w:val="1"/>
                <w:color w:val="auto"/>
              </w:rPr>
              <w:t>Threshold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Target ($)</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Maximum ($)</w:t>
            </w:r>
          </w:p>
        </w:tc>
        <w:tc>
          <w:tcPr>
            <w:tcW w:w="1100" w:type="dxa"/>
            <w:vAlign w:val="bottom"/>
          </w:tcPr>
          <w:p>
            <w:pPr>
              <w:ind w:left="160"/>
              <w:spacing w:after="0"/>
              <w:rPr>
                <w:sz w:val="20"/>
                <w:szCs w:val="20"/>
                <w:color w:val="auto"/>
              </w:rPr>
            </w:pPr>
            <w:r>
              <w:rPr>
                <w:rFonts w:ascii="Arial" w:cs="Arial" w:eastAsia="Arial" w:hAnsi="Arial"/>
                <w:sz w:val="13"/>
                <w:szCs w:val="13"/>
                <w:b w:val="1"/>
                <w:bCs w:val="1"/>
                <w:color w:val="auto"/>
              </w:rPr>
              <w:t>Threshold (#)</w:t>
            </w: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Target (#)</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23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40" w:firstLine="78"/>
        <w:spacing w:after="0" w:line="268" w:lineRule="auto"/>
        <w:rPr>
          <w:sz w:val="20"/>
          <w:szCs w:val="20"/>
          <w:color w:val="auto"/>
        </w:rPr>
      </w:pPr>
      <w:r>
        <w:rPr>
          <w:rFonts w:ascii="Arial" w:cs="Arial" w:eastAsia="Arial" w:hAnsi="Arial"/>
          <w:sz w:val="12"/>
          <w:szCs w:val="12"/>
          <w:b w:val="1"/>
          <w:bCs w:val="1"/>
          <w:color w:val="auto"/>
        </w:rPr>
        <w:t>All Other Stock Awards: Grant Date Fair Value of Number of Shares or Units Stock and Option Awards</w:t>
      </w:r>
    </w:p>
    <w:p>
      <w:pPr>
        <w:ind w:left="660"/>
        <w:spacing w:after="0" w:line="181" w:lineRule="auto"/>
        <w:tabs>
          <w:tab w:leader="none" w:pos="2280" w:val="left"/>
        </w:tabs>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r>
        <w:rPr>
          <w:sz w:val="20"/>
          <w:szCs w:val="20"/>
          <w:color w:val="auto"/>
        </w:rPr>
        <w:tab/>
      </w: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(4)</w:t>
      </w:r>
    </w:p>
    <w:p>
      <w:pPr>
        <w:spacing w:after="0" w:line="44" w:lineRule="exact"/>
        <w:rPr>
          <w:sz w:val="20"/>
          <w:szCs w:val="20"/>
          <w:color w:val="auto"/>
        </w:rPr>
      </w:pPr>
    </w:p>
    <w:p>
      <w:pPr>
        <w:sectPr>
          <w:pgSz w:w="11900" w:h="16838" w:orient="portrait"/>
          <w:cols w:equalWidth="0" w:num="2">
            <w:col w:w="7960" w:space="20"/>
            <w:col w:w="3240"/>
          </w:cols>
          <w:pgMar w:left="320" w:top="881" w:right="359"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Jonathan</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Oringer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___</w:t>
            </w:r>
          </w:p>
        </w:tc>
        <w:tc>
          <w:tcPr>
            <w:tcW w:w="1100" w:type="dxa"/>
            <w:vAlign w:val="bottom"/>
          </w:tcPr>
          <w:p>
            <w:pPr>
              <w:jc w:val="center"/>
              <w:spacing w:after="0"/>
              <w:rPr>
                <w:sz w:val="20"/>
                <w:szCs w:val="20"/>
                <w:color w:val="auto"/>
              </w:rPr>
            </w:pPr>
            <w:r>
              <w:rPr>
                <w:rFonts w:ascii="Arial" w:cs="Arial" w:eastAsia="Arial" w:hAnsi="Arial"/>
                <w:sz w:val="13"/>
                <w:szCs w:val="13"/>
                <w:color w:val="auto"/>
              </w:rPr>
              <w:t>___</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2"/>
              </w:rPr>
              <w:t>___</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81,913</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109,218</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7"/>
              </w:rPr>
              <w:t>163,827</w:t>
            </w:r>
          </w:p>
        </w:tc>
        <w:tc>
          <w:tcPr>
            <w:tcW w:w="14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4,937,746</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Paul Hennessy</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$462,000</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$700,000</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$910,000</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ind w:left="260"/>
              <w:spacing w:after="0"/>
              <w:rPr>
                <w:sz w:val="20"/>
                <w:szCs w:val="20"/>
                <w:color w:val="auto"/>
              </w:rPr>
            </w:pPr>
            <w:r>
              <w:rPr>
                <w:rFonts w:ascii="Arial" w:cs="Arial" w:eastAsia="Arial" w:hAnsi="Arial"/>
                <w:sz w:val="13"/>
                <w:szCs w:val="13"/>
                <w:color w:val="auto"/>
              </w:rPr>
              <w:t>N/A</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57"/>
              <w:spacing w:after="0"/>
              <w:rPr>
                <w:sz w:val="20"/>
                <w:szCs w:val="20"/>
                <w:color w:val="auto"/>
              </w:rPr>
            </w:pPr>
            <w:r>
              <w:rPr>
                <w:rFonts w:ascii="Arial" w:cs="Arial" w:eastAsia="Arial" w:hAnsi="Arial"/>
                <w:sz w:val="13"/>
                <w:szCs w:val="13"/>
                <w:color w:val="auto"/>
                <w:w w:val="96"/>
              </w:rPr>
              <w:t>2/21/2024</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65,697</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7"/>
              </w:rPr>
              <w:t>131,395</w:t>
            </w:r>
          </w:p>
        </w:tc>
        <w:tc>
          <w:tcPr>
            <w:tcW w:w="1420" w:type="dxa"/>
            <w:vAlign w:val="bottom"/>
          </w:tcPr>
          <w:p>
            <w:pPr>
              <w:jc w:val="center"/>
              <w:ind w:right="57"/>
              <w:spacing w:after="0"/>
              <w:rPr>
                <w:sz w:val="20"/>
                <w:szCs w:val="20"/>
                <w:color w:val="auto"/>
              </w:rPr>
            </w:pPr>
            <w:r>
              <w:rPr>
                <w:rFonts w:ascii="Arial" w:cs="Arial" w:eastAsia="Arial" w:hAnsi="Arial"/>
                <w:sz w:val="13"/>
                <w:szCs w:val="13"/>
                <w:color w:val="auto"/>
                <w:w w:val="95"/>
              </w:rPr>
              <w:t>54,181</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6,225,471</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Jarrod Yahes</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$290,400</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$440,000</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$572,000</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36,449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48,599</w:t>
            </w: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auto"/>
                <w:w w:val="95"/>
              </w:rPr>
              <w:t>72,898</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5"/>
              </w:rPr>
              <w:t>16,199</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2,929,517</w:t>
            </w:r>
          </w:p>
        </w:tc>
        <w:tc>
          <w:tcPr>
            <w:tcW w:w="0" w:type="dxa"/>
            <w:vAlign w:val="bottom"/>
          </w:tcPr>
          <w:p>
            <w:pPr>
              <w:spacing w:after="0"/>
              <w:rPr>
                <w:sz w:val="1"/>
                <w:szCs w:val="1"/>
                <w:color w:val="auto"/>
              </w:rPr>
            </w:pPr>
          </w:p>
        </w:tc>
      </w:tr>
      <w:tr>
        <w:trPr>
          <w:trHeight w:val="171"/>
        </w:trPr>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John Caine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$127,672</w:t>
            </w: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$193,443</w:t>
            </w:r>
            <w:r>
              <w:rPr>
                <w:rFonts w:ascii="Arial" w:cs="Arial" w:eastAsia="Arial" w:hAnsi="Arial"/>
                <w:sz w:val="16"/>
                <w:szCs w:val="16"/>
                <w:color w:val="auto"/>
                <w:w w:val="92"/>
                <w:vertAlign w:val="superscript"/>
              </w:rPr>
              <w:t>(5)</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$251,476</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11,169</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14,893</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5"/>
              </w:rPr>
              <w:t>22,339</w:t>
            </w:r>
          </w:p>
        </w:tc>
        <w:tc>
          <w:tcPr>
            <w:tcW w:w="1420" w:type="dxa"/>
            <w:vAlign w:val="bottom"/>
          </w:tcPr>
          <w:p>
            <w:pPr>
              <w:jc w:val="center"/>
              <w:ind w:right="37"/>
              <w:spacing w:after="0"/>
              <w:rPr>
                <w:sz w:val="20"/>
                <w:szCs w:val="20"/>
                <w:color w:val="auto"/>
              </w:rPr>
            </w:pPr>
            <w:r>
              <w:rPr>
                <w:rFonts w:ascii="Arial" w:cs="Arial" w:eastAsia="Arial" w:hAnsi="Arial"/>
                <w:sz w:val="13"/>
                <w:szCs w:val="13"/>
                <w:color w:val="auto"/>
                <w:w w:val="98"/>
              </w:rPr>
              <w:t>4,964</w:t>
            </w:r>
          </w:p>
        </w:tc>
        <w:tc>
          <w:tcPr>
            <w:tcW w:w="1680" w:type="dxa"/>
            <w:vAlign w:val="bottom"/>
          </w:tcPr>
          <w:p>
            <w:pPr>
              <w:jc w:val="center"/>
              <w:spacing w:after="0"/>
              <w:rPr>
                <w:sz w:val="20"/>
                <w:szCs w:val="20"/>
                <w:color w:val="auto"/>
              </w:rPr>
            </w:pPr>
            <w:r>
              <w:rPr>
                <w:rFonts w:ascii="Arial" w:cs="Arial" w:eastAsia="Arial" w:hAnsi="Arial"/>
                <w:sz w:val="13"/>
                <w:szCs w:val="13"/>
                <w:color w:val="auto"/>
                <w:w w:val="97"/>
              </w:rPr>
              <w:t>897,735</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Rik Powell</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$103,220</w:t>
            </w: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$156,595</w:t>
            </w:r>
            <w:r>
              <w:rPr>
                <w:rFonts w:ascii="Arial" w:cs="Arial" w:eastAsia="Arial" w:hAnsi="Arial"/>
                <w:sz w:val="16"/>
                <w:szCs w:val="16"/>
                <w:color w:val="auto"/>
                <w:w w:val="92"/>
                <w:vertAlign w:val="superscript"/>
              </w:rPr>
              <w:t>(5)</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$203,311</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2024 RSU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7/1/2024</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center"/>
              <w:ind w:right="37"/>
              <w:spacing w:after="0"/>
              <w:rPr>
                <w:sz w:val="20"/>
                <w:szCs w:val="20"/>
                <w:color w:val="auto"/>
              </w:rPr>
            </w:pPr>
            <w:r>
              <w:rPr>
                <w:rFonts w:ascii="Arial" w:cs="Arial" w:eastAsia="Arial" w:hAnsi="Arial"/>
                <w:sz w:val="13"/>
                <w:szCs w:val="13"/>
                <w:color w:val="auto"/>
                <w:w w:val="98"/>
              </w:rPr>
              <w:t>8,924</w:t>
            </w:r>
          </w:p>
        </w:tc>
        <w:tc>
          <w:tcPr>
            <w:tcW w:w="1680" w:type="dxa"/>
            <w:vAlign w:val="bottom"/>
          </w:tcPr>
          <w:p>
            <w:pPr>
              <w:jc w:val="center"/>
              <w:spacing w:after="0"/>
              <w:rPr>
                <w:sz w:val="20"/>
                <w:szCs w:val="20"/>
                <w:color w:val="auto"/>
              </w:rPr>
            </w:pPr>
            <w:r>
              <w:rPr>
                <w:rFonts w:ascii="Arial" w:cs="Arial" w:eastAsia="Arial" w:hAnsi="Arial"/>
                <w:sz w:val="13"/>
                <w:szCs w:val="13"/>
                <w:color w:val="auto"/>
                <w:w w:val="97"/>
              </w:rPr>
              <w:t>333,579</w:t>
            </w:r>
          </w:p>
        </w:tc>
        <w:tc>
          <w:tcPr>
            <w:tcW w:w="0" w:type="dxa"/>
            <w:vAlign w:val="bottom"/>
          </w:tcPr>
          <w:p>
            <w:pPr>
              <w:spacing w:after="0"/>
              <w:rPr>
                <w:sz w:val="1"/>
                <w:szCs w:val="1"/>
                <w:color w:val="auto"/>
              </w:rPr>
            </w:pPr>
          </w:p>
        </w:tc>
      </w:tr>
      <w:tr>
        <w:trPr>
          <w:trHeight w:val="95"/>
        </w:trPr>
        <w:tc>
          <w:tcPr>
            <w:tcW w:w="1120" w:type="dxa"/>
            <w:vAlign w:val="bottom"/>
            <w:gridSpan w:val="2"/>
            <w:vMerge w:val="continue"/>
          </w:tcPr>
          <w:p>
            <w:pPr>
              <w:spacing w:after="0"/>
              <w:rPr>
                <w:sz w:val="8"/>
                <w:szCs w:val="8"/>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3"/>
                <w:szCs w:val="13"/>
                <w:color w:val="auto"/>
                <w:w w:val="93"/>
              </w:rPr>
              <w:t>11/1/2024</w:t>
            </w: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vMerge w:val="restart"/>
          </w:tcPr>
          <w:p>
            <w:pPr>
              <w:jc w:val="center"/>
              <w:ind w:right="57"/>
              <w:spacing w:after="0"/>
              <w:rPr>
                <w:sz w:val="20"/>
                <w:szCs w:val="20"/>
                <w:color w:val="auto"/>
              </w:rPr>
            </w:pPr>
            <w:r>
              <w:rPr>
                <w:rFonts w:ascii="Arial" w:cs="Arial" w:eastAsia="Arial" w:hAnsi="Arial"/>
                <w:sz w:val="13"/>
                <w:szCs w:val="13"/>
                <w:color w:val="auto"/>
                <w:w w:val="95"/>
              </w:rPr>
              <w:t>10,906</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7"/>
              </w:rPr>
              <w:t>350,410</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2024 PSU Grants</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right="20" w:hanging="414"/>
        <w:spacing w:after="0" w:line="262"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figures represent threshold, target and maximum potential future payouts under the PSUs granted to each of our named executive officers in fiscal 2024. The PSUs are eligible to vest based on the achievement of certain performance targets. Vesting of the PSU award is contingent upon the Company’s achievement of Adjusted EBITDA margin and revenue growth targets for fiscal 2023, as well as the NEO’s continued employment with the Company at the time of vesting. Each PSU will be settled in shares of the Company’s stock. NEOs do not have voting or dividend rights with respect to unvested PSUs. See “Compensation Discussion and Analysis - Section 3 - Elements of 2024 Compensation - Long Term Incentive Compensation” for further information regarding the PSUs. For Mr. Oringer, Mr. Yahes and Mr. Caine, the “2024 PSU Grant” reflects three annual tranches, as the performance targets for these three tranches are set at the start of the three-year performance period. For the PSUs granted to Mr. Hennessy in 2024, the performance target is set for the 2025 performance period, and therefore, only one annual tranche of the PSUs is considered granted in 2024 under FASB Topic 718 and included in this table.</w:t>
      </w:r>
    </w:p>
    <w:p>
      <w:pPr>
        <w:spacing w:after="0" w:line="24" w:lineRule="exact"/>
        <w:rPr>
          <w:rFonts w:ascii="Arial" w:cs="Arial" w:eastAsia="Arial" w:hAnsi="Arial"/>
          <w:sz w:val="14"/>
          <w:szCs w:val="14"/>
          <w:color w:val="auto"/>
        </w:rPr>
      </w:pPr>
    </w:p>
    <w:p>
      <w:pPr>
        <w:ind w:left="440" w:right="200" w:hanging="414"/>
        <w:spacing w:after="0" w:line="30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his departure, the PSUs granted in 2024 to Mr. Yahes were forfeited as of November 1, 2024. With respect to Mr. Caine, his PSUs earned based on 2024 performance vested, but his PSUs vesting based on future performance were forfeited as of September 11, 2024.</w:t>
      </w:r>
    </w:p>
    <w:p>
      <w:pPr>
        <w:spacing w:after="0" w:line="1" w:lineRule="exact"/>
        <w:rPr>
          <w:rFonts w:ascii="Arial" w:cs="Arial" w:eastAsia="Arial" w:hAnsi="Arial"/>
          <w:sz w:val="14"/>
          <w:szCs w:val="14"/>
          <w:color w:val="auto"/>
        </w:rPr>
      </w:pPr>
    </w:p>
    <w:p>
      <w:pPr>
        <w:ind w:left="440" w:right="320" w:hanging="414"/>
        <w:spacing w:after="0" w:line="30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Mr. Yahes’s resignation, RSUs granted to him in 2024 were forfeited as of November 1, 2024, and in connection with Mr. Caine’s termination, two-thirds of the RSUs granted to him in 2024 were forfeited and one-third vested as of September 11, 2024.</w:t>
      </w:r>
    </w:p>
    <w:p>
      <w:pPr>
        <w:spacing w:after="0" w:line="1" w:lineRule="exact"/>
        <w:rPr>
          <w:rFonts w:ascii="Arial" w:cs="Arial" w:eastAsia="Arial" w:hAnsi="Arial"/>
          <w:sz w:val="14"/>
          <w:szCs w:val="14"/>
          <w:color w:val="auto"/>
        </w:rPr>
      </w:pPr>
    </w:p>
    <w:p>
      <w:pPr>
        <w:ind w:left="440" w:right="120" w:hanging="414"/>
        <w:spacing w:after="0" w:line="273"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computed in accordance with ASC Topic 718, assuming achievement of target-level performance with respect to the 2024 PSU grants. A discussion of the assumptions used in determining grant date fair value may be found in Note 1 to our audited consolidated financial statements included in our Annual Report on Form 10-K for the year ended December 31, 2024.</w:t>
      </w:r>
    </w:p>
    <w:p>
      <w:pPr>
        <w:spacing w:after="0" w:line="17" w:lineRule="exact"/>
        <w:rPr>
          <w:rFonts w:ascii="Arial" w:cs="Arial" w:eastAsia="Arial" w:hAnsi="Arial"/>
          <w:sz w:val="14"/>
          <w:szCs w:val="14"/>
          <w:color w:val="auto"/>
        </w:rPr>
      </w:pPr>
    </w:p>
    <w:p>
      <w:pPr>
        <w:ind w:left="440" w:hanging="414"/>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Prorated portion of bonus reflecting service provided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b w:val="1"/>
          <w:bCs w:val="1"/>
          <w:color w:val="EF3A35"/>
        </w:rPr>
        <w:t>Outstanding Equity Awards at Fiscal Year-End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all outstanding equity awards held by each of the named executive officers at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b w:val="1"/>
                <w:bCs w:val="1"/>
                <w:color w:val="auto"/>
              </w:rPr>
              <w:t>OPTIONS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ind w:left="860"/>
              <w:spacing w:after="0"/>
              <w:rPr>
                <w:sz w:val="20"/>
                <w:szCs w:val="20"/>
                <w:color w:val="auto"/>
              </w:rPr>
            </w:pPr>
            <w:r>
              <w:rPr>
                <w:rFonts w:ascii="Arial" w:cs="Arial" w:eastAsia="Arial" w:hAnsi="Arial"/>
                <w:sz w:val="13"/>
                <w:szCs w:val="13"/>
                <w:b w:val="1"/>
                <w:bCs w:val="1"/>
                <w:color w:val="auto"/>
              </w:rPr>
              <w:t>STOCK AWARDS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1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5"/>
              </w:rPr>
              <w:t>Number of</w:t>
            </w:r>
          </w:p>
        </w:tc>
        <w:tc>
          <w:tcPr>
            <w:tcW w:w="14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Awards: Number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Plan Awards:</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11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9"/>
              </w:rPr>
              <w:t>Securities</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Shares or</w:t>
            </w:r>
          </w:p>
        </w:tc>
        <w:tc>
          <w:tcPr>
            <w:tcW w:w="1180" w:type="dxa"/>
            <w:vAlign w:val="bottom"/>
          </w:tcPr>
          <w:p>
            <w:pPr>
              <w:spacing w:after="0"/>
              <w:rPr>
                <w:sz w:val="4"/>
                <w:szCs w:val="4"/>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1140" w:type="dxa"/>
            <w:vAlign w:val="bottom"/>
            <w:vMerge w:val="continue"/>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Value of Unearned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Underlying</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Units of</w:t>
            </w:r>
          </w:p>
        </w:tc>
        <w:tc>
          <w:tcPr>
            <w:tcW w:w="1180" w:type="dxa"/>
            <w:vAlign w:val="bottom"/>
            <w:vMerge w:val="continue"/>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Unearned Shares,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Shares, Units 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Unexercised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Shares or Units of</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Units or Other</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Other Rights That</w:t>
            </w:r>
          </w:p>
        </w:tc>
        <w:tc>
          <w:tcPr>
            <w:tcW w:w="0" w:type="dxa"/>
            <w:vAlign w:val="bottom"/>
          </w:tcPr>
          <w:p>
            <w:pPr>
              <w:spacing w:after="0"/>
              <w:rPr>
                <w:sz w:val="1"/>
                <w:szCs w:val="1"/>
                <w:color w:val="auto"/>
              </w:rPr>
            </w:pPr>
          </w:p>
        </w:tc>
      </w:tr>
      <w:tr>
        <w:trPr>
          <w:trHeight w:val="148"/>
        </w:trPr>
        <w:tc>
          <w:tcPr>
            <w:tcW w:w="880" w:type="dxa"/>
            <w:vAlign w:val="bottom"/>
          </w:tcPr>
          <w:p>
            <w:pPr>
              <w:ind w:left="20"/>
              <w:spacing w:after="0"/>
              <w:rPr>
                <w:sz w:val="20"/>
                <w:szCs w:val="20"/>
                <w:color w:val="auto"/>
              </w:rPr>
            </w:pPr>
            <w:r>
              <w:rPr>
                <w:rFonts w:ascii="Arial" w:cs="Arial" w:eastAsia="Arial" w:hAnsi="Arial"/>
                <w:sz w:val="13"/>
                <w:szCs w:val="13"/>
                <w:b w:val="1"/>
                <w:bCs w:val="1"/>
                <w:color w:val="auto"/>
              </w:rPr>
              <w:t>Executive</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Grant Date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Options (#)</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Unearned 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Expiration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Stock That Have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 Have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Officer</w:t>
            </w:r>
          </w:p>
        </w:tc>
        <w:tc>
          <w:tcPr>
            <w:tcW w:w="8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1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7"/>
              </w:rPr>
              <w:t>Unexercisable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1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Not Vested ($)</w:t>
            </w:r>
            <w:r>
              <w:rPr>
                <w:rFonts w:ascii="Arial" w:cs="Arial" w:eastAsia="Arial" w:hAnsi="Arial"/>
                <w:sz w:val="16"/>
                <w:szCs w:val="16"/>
                <w:b w:val="1"/>
                <w:bCs w:val="1"/>
                <w:color w:val="auto"/>
                <w:w w:val="93"/>
                <w:vertAlign w:val="superscript"/>
              </w:rPr>
              <w:t>(1)</w:t>
            </w:r>
          </w:p>
        </w:tc>
        <w:tc>
          <w:tcPr>
            <w:tcW w:w="11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Not Vested (#)</w:t>
            </w:r>
            <w:r>
              <w:rPr>
                <w:rFonts w:ascii="Arial" w:cs="Arial" w:eastAsia="Arial" w:hAnsi="Arial"/>
                <w:sz w:val="16"/>
                <w:szCs w:val="16"/>
                <w:b w:val="1"/>
                <w:bCs w:val="1"/>
                <w:color w:val="auto"/>
                <w:w w:val="93"/>
                <w:vertAlign w:val="superscript"/>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60"/>
              <w:spacing w:after="0"/>
              <w:rPr>
                <w:sz w:val="20"/>
                <w:szCs w:val="20"/>
                <w:color w:val="auto"/>
              </w:rPr>
            </w:pPr>
            <w:r>
              <w:rPr>
                <w:rFonts w:ascii="Arial" w:cs="Arial" w:eastAsia="Arial" w:hAnsi="Arial"/>
                <w:sz w:val="13"/>
                <w:szCs w:val="13"/>
                <w:color w:val="auto"/>
              </w:rPr>
              <w:t>Jon Oringer</w:t>
            </w:r>
          </w:p>
        </w:tc>
        <w:tc>
          <w:tcPr>
            <w:tcW w:w="840" w:type="dxa"/>
            <w:vAlign w:val="bottom"/>
          </w:tcPr>
          <w:p>
            <w:pPr>
              <w:jc w:val="right"/>
              <w:spacing w:after="0"/>
              <w:rPr>
                <w:sz w:val="20"/>
                <w:szCs w:val="20"/>
                <w:color w:val="auto"/>
              </w:rPr>
            </w:pPr>
            <w:r>
              <w:rPr>
                <w:rFonts w:ascii="Arial" w:cs="Arial" w:eastAsia="Arial" w:hAnsi="Arial"/>
                <w:sz w:val="13"/>
                <w:szCs w:val="13"/>
                <w:color w:val="auto"/>
              </w:rPr>
              <w:t>3/1/2016</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263,742</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32.95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3/1/2026</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4/1/2022</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20,116</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610,521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4/3/2023</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50,401</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1,529,670</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4/1/2024</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109,218</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3,314,766</w:t>
            </w:r>
          </w:p>
        </w:tc>
        <w:tc>
          <w:tcPr>
            <w:tcW w:w="0" w:type="dxa"/>
            <w:vAlign w:val="bottom"/>
          </w:tcPr>
          <w:p>
            <w:pPr>
              <w:spacing w:after="0"/>
              <w:rPr>
                <w:sz w:val="1"/>
                <w:szCs w:val="1"/>
                <w:color w:val="auto"/>
              </w:rPr>
            </w:pPr>
          </w:p>
        </w:tc>
      </w:tr>
      <w:tr>
        <w:trPr>
          <w:trHeight w:val="158"/>
        </w:trPr>
        <w:tc>
          <w:tcPr>
            <w:tcW w:w="880" w:type="dxa"/>
            <w:vAlign w:val="bottom"/>
          </w:tcPr>
          <w:p>
            <w:pPr>
              <w:ind w:left="60"/>
              <w:spacing w:after="0"/>
              <w:rPr>
                <w:sz w:val="20"/>
                <w:szCs w:val="20"/>
                <w:color w:val="auto"/>
              </w:rPr>
            </w:pPr>
            <w:r>
              <w:rPr>
                <w:rFonts w:ascii="Arial" w:cs="Arial" w:eastAsia="Arial" w:hAnsi="Arial"/>
                <w:sz w:val="13"/>
                <w:szCs w:val="13"/>
                <w:color w:val="auto"/>
              </w:rPr>
              <w:t>Paul</w:t>
            </w: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60"/>
              <w:spacing w:after="0"/>
              <w:rPr>
                <w:sz w:val="20"/>
                <w:szCs w:val="20"/>
                <w:color w:val="auto"/>
              </w:rPr>
            </w:pPr>
            <w:r>
              <w:rPr>
                <w:rFonts w:ascii="Arial" w:cs="Arial" w:eastAsia="Arial" w:hAnsi="Arial"/>
                <w:sz w:val="13"/>
                <w:szCs w:val="13"/>
                <w:color w:val="auto"/>
              </w:rPr>
              <w:t>Hennessy</w:t>
            </w:r>
          </w:p>
        </w:tc>
        <w:tc>
          <w:tcPr>
            <w:tcW w:w="840" w:type="dxa"/>
            <w:vAlign w:val="bottom"/>
          </w:tcPr>
          <w:p>
            <w:pPr>
              <w:jc w:val="right"/>
              <w:spacing w:after="0"/>
              <w:rPr>
                <w:sz w:val="20"/>
                <w:szCs w:val="20"/>
                <w:color w:val="auto"/>
              </w:rPr>
            </w:pPr>
            <w:r>
              <w:rPr>
                <w:rFonts w:ascii="Arial" w:cs="Arial" w:eastAsia="Arial" w:hAnsi="Arial"/>
                <w:sz w:val="13"/>
                <w:szCs w:val="13"/>
                <w:color w:val="auto"/>
              </w:rPr>
              <w:t>7/1/2022</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2,658,569</w:t>
            </w:r>
            <w:r>
              <w:rPr>
                <w:rFonts w:ascii="Arial" w:cs="Arial" w:eastAsia="Arial" w:hAnsi="Arial"/>
                <w:sz w:val="16"/>
                <w:szCs w:val="16"/>
                <w:color w:val="auto"/>
                <w:w w:val="93"/>
                <w:vertAlign w:val="superscript"/>
              </w:rPr>
              <w:t>(3)</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65,697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1,993,904</w:t>
            </w: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2/23/2023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7"/>
              </w:rPr>
              <w:t>102,837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3,121,103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2/21/2024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2,658,569</w:t>
            </w:r>
          </w:p>
        </w:tc>
        <w:tc>
          <w:tcPr>
            <w:tcW w:w="0" w:type="dxa"/>
            <w:vAlign w:val="bottom"/>
          </w:tcPr>
          <w:p>
            <w:pPr>
              <w:spacing w:after="0"/>
              <w:rPr>
                <w:sz w:val="1"/>
                <w:szCs w:val="1"/>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7/1/2024</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54,181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1,644,394</w:t>
            </w:r>
            <w:r>
              <w:rPr>
                <w:rFonts w:ascii="Arial" w:cs="Arial" w:eastAsia="Arial" w:hAnsi="Arial"/>
                <w:sz w:val="16"/>
                <w:szCs w:val="16"/>
                <w:color w:val="auto"/>
                <w:w w:val="93"/>
                <w:vertAlign w:val="superscript"/>
              </w:rPr>
              <w:t>(4)</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Jarrod Yahes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1/6/2020</w:t>
            </w: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rPr>
              <w:t>35,525</w:t>
            </w:r>
            <w:r>
              <w:rPr>
                <w:rFonts w:ascii="Arial" w:cs="Arial" w:eastAsia="Arial" w:hAnsi="Arial"/>
                <w:sz w:val="16"/>
                <w:szCs w:val="16"/>
                <w:color w:val="auto"/>
                <w:vertAlign w:val="superscript"/>
              </w:rPr>
              <w:t>(5)</w:t>
            </w: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42.96</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3/31/2025</w:t>
            </w: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John Caine</w:t>
            </w:r>
          </w:p>
        </w:tc>
        <w:tc>
          <w:tcPr>
            <w:tcW w:w="840" w:type="dxa"/>
            <w:vAlign w:val="bottom"/>
          </w:tcPr>
          <w:p>
            <w:pPr>
              <w:jc w:val="right"/>
              <w:spacing w:after="0"/>
              <w:rPr>
                <w:sz w:val="20"/>
                <w:szCs w:val="20"/>
                <w:color w:val="auto"/>
              </w:rPr>
            </w:pPr>
            <w:r>
              <w:rPr>
                <w:rFonts w:ascii="Arial" w:cs="Arial" w:eastAsia="Arial" w:hAnsi="Arial"/>
                <w:sz w:val="13"/>
                <w:szCs w:val="13"/>
                <w:color w:val="auto"/>
              </w:rPr>
              <w:t>4/3/2023</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4,431</w:t>
            </w:r>
            <w:r>
              <w:rPr>
                <w:rFonts w:ascii="Arial" w:cs="Arial" w:eastAsia="Arial" w:hAnsi="Arial"/>
                <w:sz w:val="16"/>
                <w:szCs w:val="16"/>
                <w:color w:val="auto"/>
                <w:w w:val="92"/>
                <w:vertAlign w:val="superscript"/>
              </w:rPr>
              <w:t>(6)</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134,481</w:t>
            </w: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4/1/2024</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2"/>
              </w:rPr>
              <w:t>3,200</w:t>
            </w:r>
            <w:r>
              <w:rPr>
                <w:rFonts w:ascii="Arial" w:cs="Arial" w:eastAsia="Arial" w:hAnsi="Arial"/>
                <w:sz w:val="16"/>
                <w:szCs w:val="16"/>
                <w:color w:val="auto"/>
                <w:w w:val="92"/>
                <w:vertAlign w:val="superscript"/>
              </w:rPr>
              <w:t>(6)</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5"/>
              </w:rPr>
              <w:t>97,120</w:t>
            </w:r>
          </w:p>
        </w:tc>
        <w:tc>
          <w:tcPr>
            <w:tcW w:w="0" w:type="dxa"/>
            <w:vAlign w:val="bottom"/>
          </w:tcPr>
          <w:p>
            <w:pPr>
              <w:spacing w:after="0"/>
              <w:rPr>
                <w:sz w:val="1"/>
                <w:szCs w:val="1"/>
                <w:color w:val="auto"/>
              </w:rPr>
            </w:pPr>
          </w:p>
        </w:tc>
      </w:tr>
      <w:tr>
        <w:trPr>
          <w:trHeight w:val="136"/>
        </w:trPr>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Rik Powell</w:t>
            </w:r>
          </w:p>
        </w:tc>
        <w:tc>
          <w:tcPr>
            <w:tcW w:w="840" w:type="dxa"/>
            <w:vAlign w:val="bottom"/>
          </w:tcPr>
          <w:p>
            <w:pPr>
              <w:jc w:val="right"/>
              <w:spacing w:after="0"/>
              <w:rPr>
                <w:sz w:val="20"/>
                <w:szCs w:val="20"/>
                <w:color w:val="auto"/>
              </w:rPr>
            </w:pPr>
            <w:r>
              <w:rPr>
                <w:rFonts w:ascii="Arial" w:cs="Arial" w:eastAsia="Arial" w:hAnsi="Arial"/>
                <w:sz w:val="13"/>
                <w:szCs w:val="13"/>
                <w:color w:val="auto"/>
              </w:rPr>
              <w:t>7/1/2024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8,924</w:t>
            </w: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270,843</w:t>
            </w:r>
            <w:r>
              <w:rPr>
                <w:rFonts w:ascii="Arial" w:cs="Arial" w:eastAsia="Arial" w:hAnsi="Arial"/>
                <w:sz w:val="16"/>
                <w:szCs w:val="16"/>
                <w:color w:val="auto"/>
                <w:w w:val="93"/>
                <w:vertAlign w:val="superscript"/>
              </w:rPr>
              <w:t>(7)</w:t>
            </w: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11/1/2024</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5"/>
              </w:rPr>
              <w:t>10,906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3"/>
              </w:rPr>
              <w:t>330,997</w:t>
            </w:r>
            <w:r>
              <w:rPr>
                <w:rFonts w:ascii="Arial" w:cs="Arial" w:eastAsia="Arial" w:hAnsi="Arial"/>
                <w:sz w:val="16"/>
                <w:szCs w:val="16"/>
                <w:color w:val="auto"/>
                <w:w w:val="93"/>
                <w:vertAlign w:val="superscript"/>
              </w:rPr>
              <w:t>(8)</w:t>
            </w:r>
          </w:p>
        </w:tc>
        <w:tc>
          <w:tcPr>
            <w:tcW w:w="1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Assumes a price per share of our Common Stock of $30.35, which represents the closing price per share of our Common Stock on the NYSE on December 31, 2024.</w:t>
      </w:r>
    </w:p>
    <w:p>
      <w:pPr>
        <w:spacing w:after="0" w:line="68" w:lineRule="exact"/>
        <w:rPr>
          <w:rFonts w:ascii="Arial" w:cs="Arial" w:eastAsia="Arial" w:hAnsi="Arial"/>
          <w:sz w:val="14"/>
          <w:szCs w:val="14"/>
          <w:color w:val="auto"/>
        </w:rPr>
      </w:pPr>
    </w:p>
    <w:p>
      <w:pPr>
        <w:ind w:left="440" w:right="80" w:hanging="414"/>
        <w:spacing w:after="0" w:line="273"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Except as otherwise set forth for Mr. Oringer, represents the target number of PSUs granted to each of our named executive officers in fiscal 2024. Vesting of the PSU award is contingent upon the Company’s achievement of annual Revenue and Adjusted EBITDA targets, as well as the NEO’s continued employment with the Company at the time of vesting.</w:t>
      </w:r>
    </w:p>
    <w:p>
      <w:pPr>
        <w:spacing w:after="0" w:line="17"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July 1, 2022.</w:t>
      </w:r>
    </w:p>
    <w:p>
      <w:pPr>
        <w:spacing w:after="0" w:line="68"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July 1, 2024.</w:t>
      </w:r>
    </w:p>
    <w:p>
      <w:pPr>
        <w:spacing w:after="0" w:line="68"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According to the terms of the option agreement, Mr. Yahes has 90 days to exercise post termination of employment.</w:t>
      </w:r>
    </w:p>
    <w:p>
      <w:pPr>
        <w:spacing w:after="0" w:line="68" w:lineRule="exact"/>
        <w:rPr>
          <w:rFonts w:ascii="Arial" w:cs="Arial" w:eastAsia="Arial" w:hAnsi="Arial"/>
          <w:sz w:val="14"/>
          <w:szCs w:val="14"/>
          <w:color w:val="auto"/>
        </w:rPr>
      </w:pPr>
    </w:p>
    <w:p>
      <w:pPr>
        <w:ind w:left="440" w:right="380" w:hanging="414"/>
        <w:spacing w:after="0" w:line="30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outstanding equity awards to vest on April 1, 2025 in connection with separation from employment. For more information, see “Mr. Caine and Mr. Yahes Arrangements” below.</w:t>
      </w:r>
    </w:p>
    <w:p>
      <w:pPr>
        <w:spacing w:after="0" w:line="1" w:lineRule="exact"/>
        <w:rPr>
          <w:rFonts w:ascii="Arial" w:cs="Arial" w:eastAsia="Arial" w:hAnsi="Arial"/>
          <w:sz w:val="14"/>
          <w:szCs w:val="14"/>
          <w:color w:val="auto"/>
        </w:rPr>
      </w:pPr>
    </w:p>
    <w:p>
      <w:pPr>
        <w:ind w:left="440" w:right="260" w:hanging="414"/>
        <w:spacing w:after="0" w:line="30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multiple over 4 years. 25% of the grant will vest annually no later than the first and second anniversaries of the original grant date and 6.25% will vest quarterly after the second and third anniversaries.</w:t>
      </w:r>
    </w:p>
    <w:p>
      <w:pPr>
        <w:spacing w:after="0" w:line="1"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EF3A35"/>
        </w:rPr>
        <w:t>Option Exercises and Stock Vested in 2024</w:t>
      </w:r>
    </w:p>
    <w:p>
      <w:pPr>
        <w:spacing w:after="0" w:line="10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table presents information concerning each exercise of stock options and vesting of stock awards during fiscal 2024 for each of our named executive officers.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00" w:type="dxa"/>
            <w:vAlign w:val="bottom"/>
          </w:tcPr>
          <w:p>
            <w:pPr>
              <w:spacing w:after="0"/>
              <w:rPr>
                <w:sz w:val="22"/>
                <w:szCs w:val="22"/>
                <w:color w:val="auto"/>
              </w:rPr>
            </w:pPr>
          </w:p>
        </w:tc>
        <w:tc>
          <w:tcPr>
            <w:tcW w:w="476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b w:val="1"/>
                <w:bCs w:val="1"/>
                <w:color w:val="auto"/>
              </w:rPr>
              <w:t>Option Awards</w:t>
            </w:r>
          </w:p>
        </w:tc>
        <w:tc>
          <w:tcPr>
            <w:tcW w:w="316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Stock Awards</w:t>
            </w:r>
          </w:p>
        </w:tc>
        <w:tc>
          <w:tcPr>
            <w:tcW w:w="1800" w:type="dxa"/>
            <w:vAlign w:val="bottom"/>
            <w:tcBorders>
              <w:bottom w:val="single" w:sz="8" w:color="auto"/>
            </w:tcBorders>
          </w:tcPr>
          <w:p>
            <w:pPr>
              <w:spacing w:after="0"/>
              <w:rPr>
                <w:sz w:val="22"/>
                <w:szCs w:val="22"/>
                <w:color w:val="auto"/>
              </w:rPr>
            </w:pPr>
          </w:p>
        </w:tc>
      </w:tr>
      <w:tr>
        <w:trPr>
          <w:trHeight w:val="224"/>
        </w:trPr>
        <w:tc>
          <w:tcPr>
            <w:tcW w:w="1500" w:type="dxa"/>
            <w:vAlign w:val="bottom"/>
          </w:tcPr>
          <w:p>
            <w:pPr>
              <w:spacing w:after="0"/>
              <w:rPr>
                <w:sz w:val="19"/>
                <w:szCs w:val="19"/>
                <w:color w:val="auto"/>
              </w:rPr>
            </w:pPr>
          </w:p>
        </w:tc>
        <w:tc>
          <w:tcPr>
            <w:tcW w:w="28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 of Shares Acquired 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Value Realized on</w:t>
            </w:r>
          </w:p>
        </w:tc>
        <w:tc>
          <w:tcPr>
            <w:tcW w:w="31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 of Shares Acquired on</w:t>
            </w: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Value Realized on</w:t>
            </w:r>
          </w:p>
        </w:tc>
      </w:tr>
      <w:tr>
        <w:trPr>
          <w:trHeight w:val="216"/>
        </w:trPr>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28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Exercise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w:t>
            </w:r>
          </w:p>
        </w:tc>
        <w:tc>
          <w:tcPr>
            <w:tcW w:w="31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Vesting</w:t>
            </w: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Vesting</w:t>
            </w:r>
          </w:p>
        </w:tc>
      </w:tr>
      <w:tr>
        <w:trPr>
          <w:trHeight w:val="26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Officer</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(1)</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Jon Oringer</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58,803</w:t>
            </w:r>
            <w:r>
              <w:rPr>
                <w:rFonts w:ascii="Arial" w:cs="Arial" w:eastAsia="Arial" w:hAnsi="Arial"/>
                <w:sz w:val="23"/>
                <w:szCs w:val="23"/>
                <w:color w:val="auto"/>
                <w:w w:val="94"/>
                <w:vertAlign w:val="superscript"/>
              </w:rPr>
              <w:t>(3)</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2,658,484</w:t>
            </w:r>
          </w:p>
        </w:tc>
      </w:tr>
      <w:tr>
        <w:trPr>
          <w:trHeight w:val="264"/>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Paul Hennessy</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87,596</w:t>
            </w:r>
            <w:r>
              <w:rPr>
                <w:rFonts w:ascii="Arial" w:cs="Arial" w:eastAsia="Arial" w:hAnsi="Arial"/>
                <w:sz w:val="23"/>
                <w:szCs w:val="23"/>
                <w:color w:val="auto"/>
                <w:w w:val="94"/>
                <w:vertAlign w:val="superscript"/>
              </w:rPr>
              <w:t>(4)</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3,274,338</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Jarrod Yahes</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35,236</w:t>
            </w:r>
            <w:r>
              <w:rPr>
                <w:rFonts w:ascii="Arial" w:cs="Arial" w:eastAsia="Arial" w:hAnsi="Arial"/>
                <w:sz w:val="23"/>
                <w:szCs w:val="23"/>
                <w:color w:val="auto"/>
                <w:w w:val="94"/>
                <w:vertAlign w:val="superscript"/>
              </w:rPr>
              <w:t>(5)</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1,593,020</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John Caine</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57,070</w:t>
            </w:r>
            <w:r>
              <w:rPr>
                <w:rFonts w:ascii="Arial" w:cs="Arial" w:eastAsia="Arial" w:hAnsi="Arial"/>
                <w:sz w:val="23"/>
                <w:szCs w:val="23"/>
                <w:color w:val="auto"/>
                <w:w w:val="94"/>
                <w:vertAlign w:val="superscript"/>
              </w:rPr>
              <w:t>(6)</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2,240,897</w:t>
            </w:r>
          </w:p>
        </w:tc>
      </w:tr>
      <w:tr>
        <w:trPr>
          <w:trHeight w:val="241"/>
        </w:trPr>
        <w:tc>
          <w:tcPr>
            <w:tcW w:w="1500" w:type="dxa"/>
            <w:vAlign w:val="bottom"/>
          </w:tcPr>
          <w:p>
            <w:pPr>
              <w:ind w:left="60"/>
              <w:spacing w:after="0"/>
              <w:rPr>
                <w:sz w:val="20"/>
                <w:szCs w:val="20"/>
                <w:color w:val="auto"/>
              </w:rPr>
            </w:pPr>
            <w:r>
              <w:rPr>
                <w:rFonts w:ascii="Arial" w:cs="Arial" w:eastAsia="Arial" w:hAnsi="Arial"/>
                <w:sz w:val="18"/>
                <w:szCs w:val="18"/>
                <w:color w:val="auto"/>
              </w:rPr>
              <w:t>Rik Powell</w:t>
            </w:r>
          </w:p>
        </w:tc>
        <w:tc>
          <w:tcPr>
            <w:tcW w:w="28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r>
      <w:tr>
        <w:trPr>
          <w:trHeight w:val="23"/>
        </w:trPr>
        <w:tc>
          <w:tcPr>
            <w:tcW w:w="15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440" w:right="56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value realized on exercise represents the difference between the market value of our Common Stock at the time the applicable option was exercised and the exercise price of the option.</w:t>
      </w:r>
    </w:p>
    <w:p>
      <w:pPr>
        <w:spacing w:after="0" w:line="1" w:lineRule="exact"/>
        <w:rPr>
          <w:rFonts w:ascii="Arial" w:cs="Arial" w:eastAsia="Arial" w:hAnsi="Arial"/>
          <w:sz w:val="14"/>
          <w:szCs w:val="14"/>
          <w:color w:val="auto"/>
        </w:rPr>
      </w:pPr>
    </w:p>
    <w:p>
      <w:pPr>
        <w:ind w:left="440" w:right="18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Value realized was calculated by multiplying the number of shares that vested by the per share closing price of the Company’s Common Stock on the vesting date. The values do not include the payment of taxes by the NEOs.</w:t>
      </w:r>
    </w:p>
    <w:p>
      <w:pPr>
        <w:spacing w:after="0" w:line="1" w:lineRule="exact"/>
        <w:rPr>
          <w:rFonts w:ascii="Arial" w:cs="Arial" w:eastAsia="Arial" w:hAnsi="Arial"/>
          <w:sz w:val="14"/>
          <w:szCs w:val="14"/>
          <w:color w:val="auto"/>
        </w:rPr>
      </w:pPr>
    </w:p>
    <w:p>
      <w:pPr>
        <w:ind w:left="440" w:right="16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Oringer’s restricted stock units, Mr. Oringer received 38,516 shares.</w:t>
      </w:r>
    </w:p>
    <w:p>
      <w:pPr>
        <w:spacing w:after="0" w:line="1" w:lineRule="exact"/>
        <w:rPr>
          <w:rFonts w:ascii="Arial" w:cs="Arial" w:eastAsia="Arial" w:hAnsi="Arial"/>
          <w:sz w:val="14"/>
          <w:szCs w:val="14"/>
          <w:color w:val="auto"/>
        </w:rPr>
      </w:pPr>
    </w:p>
    <w:p>
      <w:pPr>
        <w:ind w:left="440" w:right="42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Hennessy’s restricted stock units, Mr. Hennessy received 43,879 shares.</w:t>
      </w:r>
    </w:p>
    <w:p>
      <w:pPr>
        <w:spacing w:after="0" w:line="1" w:lineRule="exact"/>
        <w:rPr>
          <w:rFonts w:ascii="Arial" w:cs="Arial" w:eastAsia="Arial" w:hAnsi="Arial"/>
          <w:sz w:val="14"/>
          <w:szCs w:val="14"/>
          <w:color w:val="auto"/>
        </w:rPr>
      </w:pPr>
    </w:p>
    <w:p>
      <w:pPr>
        <w:ind w:left="440" w:right="38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Yahes’ restricted stock units, Mr. Yahes received 17,501 shares. These shares had been granted prior to 2024 and vested prior to his resignation from the Company in October 2024.</w:t>
      </w:r>
    </w:p>
    <w:p>
      <w:pPr>
        <w:spacing w:after="0" w:line="1" w:lineRule="exact"/>
        <w:rPr>
          <w:rFonts w:ascii="Arial" w:cs="Arial" w:eastAsia="Arial" w:hAnsi="Arial"/>
          <w:sz w:val="14"/>
          <w:szCs w:val="14"/>
          <w:color w:val="auto"/>
        </w:rPr>
      </w:pPr>
    </w:p>
    <w:p>
      <w:pPr>
        <w:ind w:left="440" w:right="360" w:hanging="414"/>
        <w:spacing w:after="0" w:line="305"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Caine’s restricted stock units, Mr. Caine received 30,393 shares.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Potential Payments Upon Termination or Change in Control</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tables below reflect the amount of compensation that would have been owed to each of our NEOs in the event of employment termination or a termination upon a change of control on December 31, 2024. For compensation paid upon termination for Messrs. Caine and Yahes and additional information with respect to our other named executive officers, see “Mr. Caine and Mr. Yahes Arrangements” below, “Employment Agreements and Compensatory Arrangements” and the Summary Compensation Table.</w:t>
      </w:r>
    </w:p>
    <w:p>
      <w:pPr>
        <w:spacing w:after="0" w:line="6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Regardless of the reason for a named executive officer’s termination of employment, they may be entitled to receive amounts earned during the term of employment. Such amounts include, through the date of termination:</w:t>
      </w:r>
    </w:p>
    <w:p>
      <w:pPr>
        <w:spacing w:after="0" w:line="99" w:lineRule="exact"/>
        <w:rPr>
          <w:sz w:val="20"/>
          <w:szCs w:val="20"/>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earned but unpaid salary;</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benefits;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unreimbursed business expenses;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exercise vested stock options for a limited period of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in the table below were calculated using the following assumptions:</w:t>
      </w:r>
    </w:p>
    <w:p>
      <w:pPr>
        <w:spacing w:after="0" w:line="171" w:lineRule="exact"/>
        <w:rPr>
          <w:sz w:val="20"/>
          <w:szCs w:val="20"/>
          <w:color w:val="auto"/>
        </w:rPr>
      </w:pPr>
    </w:p>
    <w:p>
      <w:pPr>
        <w:ind w:left="700" w:hanging="31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tables do not include the value of vested but unexercised stock options and vested restricted stock units; and</w:t>
      </w:r>
    </w:p>
    <w:p>
      <w:pPr>
        <w:spacing w:after="0" w:line="63" w:lineRule="exact"/>
        <w:rPr>
          <w:rFonts w:ascii="Arial" w:cs="Arial" w:eastAsia="Arial" w:hAnsi="Arial"/>
          <w:sz w:val="18"/>
          <w:szCs w:val="18"/>
          <w:color w:val="auto"/>
        </w:rPr>
      </w:pPr>
    </w:p>
    <w:p>
      <w:pPr>
        <w:ind w:left="700" w:right="740" w:hanging="314"/>
        <w:spacing w:after="0" w:line="28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benefit continuation expense was calculated using the Company’s costs for medical, dental, and life insurance coverage for each named executive officer as in effect on January 1, 2024, except where otherwise specified.</w:t>
      </w:r>
    </w:p>
    <w:p>
      <w:pPr>
        <w:spacing w:after="0" w:line="16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Because the payments to be made to the named executive officers depend on several factors, the actual amounts to be paid out upon a named executive officer’s termination of employment can be determined only at the time of his or her actual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5"/>
        </w:trPr>
        <w:tc>
          <w:tcPr>
            <w:tcW w:w="2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Named Executive Cause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Cash Severance</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Pro-Rata Bonus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Acceleration of Equity</w:t>
            </w:r>
          </w:p>
        </w:tc>
        <w:tc>
          <w:tcPr>
            <w:tcW w:w="27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Continued Participation in Medical &amp;</w:t>
            </w: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rPr>
              <w:t>Outplacement</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20" w:type="dxa"/>
            <w:vAlign w:val="bottom"/>
            <w:vMerge w:val="continue"/>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Payment</w:t>
            </w:r>
          </w:p>
        </w:tc>
        <w:tc>
          <w:tcPr>
            <w:tcW w:w="1200" w:type="dxa"/>
            <w:vAlign w:val="bottom"/>
            <w:vMerge w:val="continue"/>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2700" w:type="dxa"/>
            <w:vAlign w:val="bottom"/>
          </w:tcPr>
          <w:p>
            <w:pPr>
              <w:jc w:val="center"/>
              <w:ind w:right="28"/>
              <w:spacing w:after="0" w:line="159" w:lineRule="exact"/>
              <w:rPr>
                <w:sz w:val="20"/>
                <w:szCs w:val="20"/>
                <w:color w:val="auto"/>
              </w:rPr>
            </w:pPr>
            <w:r>
              <w:rPr>
                <w:rFonts w:ascii="Arial" w:cs="Arial" w:eastAsia="Arial" w:hAnsi="Arial"/>
                <w:sz w:val="14"/>
                <w:szCs w:val="14"/>
                <w:b w:val="1"/>
                <w:bCs w:val="1"/>
                <w:color w:val="auto"/>
              </w:rPr>
              <w:t>Dental Benefit Plans</w:t>
            </w:r>
          </w:p>
        </w:tc>
        <w:tc>
          <w:tcPr>
            <w:tcW w:w="1420" w:type="dxa"/>
            <w:vAlign w:val="bottom"/>
          </w:tcPr>
          <w:p>
            <w:pPr>
              <w:jc w:val="center"/>
              <w:ind w:right="108"/>
              <w:spacing w:after="0" w:line="159" w:lineRule="exact"/>
              <w:rPr>
                <w:sz w:val="20"/>
                <w:szCs w:val="20"/>
                <w:color w:val="auto"/>
              </w:rPr>
            </w:pPr>
            <w:r>
              <w:rPr>
                <w:rFonts w:ascii="Arial" w:cs="Arial" w:eastAsia="Arial" w:hAnsi="Arial"/>
                <w:sz w:val="14"/>
                <w:szCs w:val="14"/>
                <w:b w:val="1"/>
                <w:bCs w:val="1"/>
                <w:color w:val="auto"/>
              </w:rPr>
              <w:t>Benefits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Termination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1"/>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2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Jonathan Oringer</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5,454,957</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35,789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900" w:type="dxa"/>
            <w:vAlign w:val="bottom"/>
          </w:tcPr>
          <w:p>
            <w:pPr>
              <w:jc w:val="right"/>
              <w:spacing w:after="0"/>
              <w:rPr>
                <w:sz w:val="20"/>
                <w:szCs w:val="20"/>
                <w:color w:val="auto"/>
              </w:rPr>
            </w:pPr>
            <w:r>
              <w:rPr>
                <w:rFonts w:ascii="Arial" w:cs="Arial" w:eastAsia="Arial" w:hAnsi="Arial"/>
                <w:sz w:val="14"/>
                <w:szCs w:val="14"/>
                <w:color w:val="auto"/>
              </w:rPr>
              <w:t>5,495,747</w:t>
            </w:r>
          </w:p>
        </w:tc>
        <w:tc>
          <w:tcPr>
            <w:tcW w:w="0" w:type="dxa"/>
            <w:vAlign w:val="bottom"/>
          </w:tcPr>
          <w:p>
            <w:pPr>
              <w:spacing w:after="0"/>
              <w:rPr>
                <w:sz w:val="1"/>
                <w:szCs w:val="1"/>
                <w:color w:val="auto"/>
              </w:rPr>
            </w:pPr>
          </w:p>
        </w:tc>
      </w:tr>
      <w:tr>
        <w:trPr>
          <w:trHeight w:val="176"/>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2,480,232</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35,789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900" w:type="dxa"/>
            <w:vAlign w:val="bottom"/>
          </w:tcPr>
          <w:p>
            <w:pPr>
              <w:jc w:val="right"/>
              <w:spacing w:after="0"/>
              <w:rPr>
                <w:sz w:val="20"/>
                <w:szCs w:val="20"/>
                <w:color w:val="auto"/>
              </w:rPr>
            </w:pPr>
            <w:r>
              <w:rPr>
                <w:rFonts w:ascii="Arial" w:cs="Arial" w:eastAsia="Arial" w:hAnsi="Arial"/>
                <w:sz w:val="14"/>
                <w:szCs w:val="14"/>
                <w:color w:val="auto"/>
              </w:rPr>
              <w:t>2,521,022</w:t>
            </w:r>
          </w:p>
        </w:tc>
        <w:tc>
          <w:tcPr>
            <w:tcW w:w="0" w:type="dxa"/>
            <w:vAlign w:val="bottom"/>
          </w:tcPr>
          <w:p>
            <w:pPr>
              <w:spacing w:after="0"/>
              <w:rPr>
                <w:sz w:val="1"/>
                <w:szCs w:val="1"/>
                <w:color w:val="auto"/>
              </w:rPr>
            </w:pPr>
          </w:p>
        </w:tc>
      </w:tr>
      <w:tr>
        <w:trPr>
          <w:trHeight w:val="230"/>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Paul Hennessy</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1,050,000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700,000</w:t>
            </w:r>
          </w:p>
        </w:tc>
        <w:tc>
          <w:tcPr>
            <w:tcW w:w="1640" w:type="dxa"/>
            <w:vAlign w:val="bottom"/>
          </w:tcPr>
          <w:p>
            <w:pPr>
              <w:jc w:val="right"/>
              <w:spacing w:after="0"/>
              <w:rPr>
                <w:sz w:val="20"/>
                <w:szCs w:val="20"/>
                <w:color w:val="auto"/>
              </w:rPr>
            </w:pPr>
            <w:r>
              <w:rPr>
                <w:rFonts w:ascii="Arial" w:cs="Arial" w:eastAsia="Arial" w:hAnsi="Arial"/>
                <w:sz w:val="14"/>
                <w:szCs w:val="14"/>
                <w:color w:val="auto"/>
              </w:rPr>
              <w:t>17,009,749</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23,605</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18,783,353</w:t>
            </w:r>
          </w:p>
        </w:tc>
        <w:tc>
          <w:tcPr>
            <w:tcW w:w="0" w:type="dxa"/>
            <w:vAlign w:val="bottom"/>
          </w:tcPr>
          <w:p>
            <w:pPr>
              <w:spacing w:after="0"/>
              <w:rPr>
                <w:sz w:val="1"/>
                <w:szCs w:val="1"/>
                <w:color w:val="auto"/>
              </w:rPr>
            </w:pPr>
          </w:p>
        </w:tc>
      </w:tr>
      <w:tr>
        <w:trPr>
          <w:trHeight w:val="176"/>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1,050,000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700,000</w:t>
            </w:r>
          </w:p>
        </w:tc>
        <w:tc>
          <w:tcPr>
            <w:tcW w:w="1640" w:type="dxa"/>
            <w:vAlign w:val="bottom"/>
          </w:tcPr>
          <w:p>
            <w:pPr>
              <w:jc w:val="right"/>
              <w:spacing w:after="0"/>
              <w:rPr>
                <w:sz w:val="20"/>
                <w:szCs w:val="20"/>
                <w:color w:val="auto"/>
              </w:rPr>
            </w:pPr>
            <w:r>
              <w:rPr>
                <w:rFonts w:ascii="Arial" w:cs="Arial" w:eastAsia="Arial" w:hAnsi="Arial"/>
                <w:sz w:val="14"/>
                <w:szCs w:val="14"/>
                <w:color w:val="auto"/>
              </w:rPr>
              <w:t>11,525,451</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35,407</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13,310,858</w:t>
            </w:r>
          </w:p>
        </w:tc>
        <w:tc>
          <w:tcPr>
            <w:tcW w:w="0" w:type="dxa"/>
            <w:vAlign w:val="bottom"/>
          </w:tcPr>
          <w:p>
            <w:pPr>
              <w:spacing w:after="0"/>
              <w:rPr>
                <w:sz w:val="1"/>
                <w:szCs w:val="1"/>
                <w:color w:val="auto"/>
              </w:rPr>
            </w:pPr>
          </w:p>
        </w:tc>
      </w:tr>
      <w:tr>
        <w:trPr>
          <w:trHeight w:val="230"/>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Rik Powell</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b w:val="1"/>
                <w:bCs w:val="1"/>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270,000</w:t>
            </w:r>
          </w:p>
        </w:tc>
        <w:tc>
          <w:tcPr>
            <w:tcW w:w="1640" w:type="dxa"/>
            <w:vAlign w:val="bottom"/>
          </w:tcPr>
          <w:p>
            <w:pPr>
              <w:jc w:val="right"/>
              <w:spacing w:after="0"/>
              <w:rPr>
                <w:sz w:val="20"/>
                <w:szCs w:val="20"/>
                <w:color w:val="auto"/>
              </w:rPr>
            </w:pPr>
            <w:r>
              <w:rPr>
                <w:rFonts w:ascii="Arial" w:cs="Arial" w:eastAsia="Arial" w:hAnsi="Arial"/>
                <w:sz w:val="14"/>
                <w:szCs w:val="14"/>
                <w:color w:val="auto"/>
              </w:rPr>
              <w:t>601,841</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11,781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1,333,622</w:t>
            </w:r>
          </w:p>
        </w:tc>
        <w:tc>
          <w:tcPr>
            <w:tcW w:w="0" w:type="dxa"/>
            <w:vAlign w:val="bottom"/>
          </w:tcPr>
          <w:p>
            <w:pPr>
              <w:spacing w:after="0"/>
              <w:rPr>
                <w:sz w:val="1"/>
                <w:szCs w:val="1"/>
                <w:color w:val="auto"/>
              </w:rPr>
            </w:pPr>
          </w:p>
        </w:tc>
      </w:tr>
      <w:tr>
        <w:trPr>
          <w:trHeight w:val="175"/>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270,000</w:t>
            </w:r>
          </w:p>
        </w:tc>
        <w:tc>
          <w:tcPr>
            <w:tcW w:w="1640" w:type="dxa"/>
            <w:vAlign w:val="bottom"/>
          </w:tcPr>
          <w:p>
            <w:pPr>
              <w:jc w:val="right"/>
              <w:spacing w:after="0"/>
              <w:rPr>
                <w:sz w:val="20"/>
                <w:szCs w:val="20"/>
                <w:color w:val="auto"/>
              </w:rPr>
            </w:pPr>
            <w:r>
              <w:rPr>
                <w:rFonts w:ascii="Arial" w:cs="Arial" w:eastAsia="Arial" w:hAnsi="Arial"/>
                <w:sz w:val="14"/>
                <w:szCs w:val="14"/>
                <w:color w:val="auto"/>
              </w:rPr>
              <w:t>178,033</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11,781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909,814</w:t>
            </w:r>
          </w:p>
        </w:tc>
        <w:tc>
          <w:tcPr>
            <w:tcW w:w="0" w:type="dxa"/>
            <w:vAlign w:val="bottom"/>
          </w:tcPr>
          <w:p>
            <w:pPr>
              <w:spacing w:after="0"/>
              <w:rPr>
                <w:sz w:val="1"/>
                <w:szCs w:val="1"/>
                <w:color w:val="auto"/>
              </w:rPr>
            </w:pPr>
          </w:p>
        </w:tc>
      </w:tr>
      <w:tr>
        <w:trPr>
          <w:trHeight w:val="229"/>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8"/>
        <w:spacing w:after="0" w:line="269" w:lineRule="auto"/>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Hennessy and Mr. Powell’s employment agreements provide for a bonus payment equal to 100% of each of their targets for the year of termination in connection with a change in control.</w:t>
      </w:r>
    </w:p>
    <w:p>
      <w:pPr>
        <w:spacing w:after="0" w:line="20" w:lineRule="exact"/>
        <w:rPr>
          <w:rFonts w:ascii="Arial" w:cs="Arial" w:eastAsia="Arial" w:hAnsi="Arial"/>
          <w:sz w:val="14"/>
          <w:szCs w:val="14"/>
          <w:color w:val="auto"/>
        </w:rPr>
      </w:pPr>
    </w:p>
    <w:p>
      <w:pPr>
        <w:jc w:val="both"/>
        <w:ind w:firstLine="8"/>
        <w:spacing w:after="0" w:line="267" w:lineRule="auto"/>
        <w:tabs>
          <w:tab w:leader="none" w:pos="358"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of unvested equity awards, based on the closing market price of our common stock of $30.35 per share on December 31, 2024, that would vest on an accelerated basis upon the occurrence of certain events. For Mr. Oringer, includes acceleration of vesting for performance-based RSUs assuming target performance was achieved on the assumed date of termination on December 31, 2024 and does not include any amount for acceleration of vesting of performance-based stock options because the target price of such stock options was greater than the closing market price of our Common Stock on December 31, 2024. Termination by the Company upon Change in Control, assumes full acceleration of vesting of the 2024 PSUs granted to the NEOs as if target performance was achieved for the three years of the performance period.</w:t>
      </w:r>
    </w:p>
    <w:p>
      <w:pPr>
        <w:spacing w:after="0" w:line="22" w:lineRule="exact"/>
        <w:rPr>
          <w:rFonts w:ascii="Arial" w:cs="Arial" w:eastAsia="Arial" w:hAnsi="Arial"/>
          <w:sz w:val="14"/>
          <w:szCs w:val="14"/>
          <w:color w:val="auto"/>
        </w:rPr>
      </w:pPr>
    </w:p>
    <w:p>
      <w:pPr>
        <w:ind w:right="20" w:firstLine="8"/>
        <w:spacing w:after="0" w:line="305" w:lineRule="auto"/>
        <w:tabs>
          <w:tab w:leader="none" w:pos="336"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change in control severance benefits based on a double-trigger arrangement, which assumes a “change in control” of the Company followed by the termination by the Company of an NEO without “cause”.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Caine and Mr. Yahes Arrangements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his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 The dollar amount of all benefits Mr. Caine received pursuant to the terms of his Employment Agreement in connection with this termination (including the value of outstanding equity awards that vested) was $2,045,033.52.</w:t>
      </w:r>
    </w:p>
    <w:p>
      <w:pPr>
        <w:spacing w:after="0" w:line="74"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On October 24, 2024, Jarrod Yahes notified the Company of his resignation as Chief Financial Officer, effective November 1, 2024. In connection with his voluntary resignation, Mr. Yahes received no accrued benefits for a voluntary resignation in accordance with Section 7(c) of the Employment Agreement dated November 7, 2019 by and between the Company and Mr. Yahes. Mr. Yahes’ outstanding unvested equity awards were forfeited as of November 1, 2024.</w:t>
      </w:r>
    </w:p>
    <w:p>
      <w:pPr>
        <w:spacing w:after="0" w:line="6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Pursuant to a Transition Agreement entered into on October 31, 2024 between the Company and Mr. Yahes, Mr. Yahes will remain with the Company in an advisory role through December 31, 2024, during which time he continued to earn his annual base salary until December 31, 2024 and was eligible to earn an annual cash bonus for the full 2024 fiscal year in accordance with Sections 2(a) and 2(b) of the Employment Agreement. The amount earned by Mr. Yahes pursuant to the Transition Agreement was $455,806.15.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1" w:name="page42"/>
    <w:bookmarkEnd w:id="41"/>
    <w:p>
      <w:pPr>
        <w:ind w:left="2060"/>
        <w:spacing w:after="0"/>
        <w:rPr>
          <w:sz w:val="20"/>
          <w:szCs w:val="20"/>
          <w:color w:val="auto"/>
        </w:rPr>
      </w:pPr>
      <w:r>
        <w:rPr>
          <w:rFonts w:ascii="Arial" w:cs="Arial" w:eastAsia="Arial" w:hAnsi="Arial"/>
          <w:sz w:val="25"/>
          <w:szCs w:val="25"/>
          <w:b w:val="1"/>
          <w:bCs w:val="1"/>
          <w:color w:val="EF3A35"/>
        </w:rPr>
        <w:t>CERTAIN RELATIONSHIPS AND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Review, Approval or Ratification of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 of whether the proposed transaction or situation is on terms that are comparable to the terms available to an unrelated third party or to employees generally.</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Transactions with Related Persons</w:t>
      </w:r>
    </w:p>
    <w:p>
      <w:pPr>
        <w:spacing w:after="0" w:line="10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Since January 1, 2024, there has not been, nor is there currently proposed, any transaction or series of similar transactions to which we have been or will be a party and in which:</w:t>
      </w:r>
    </w:p>
    <w:p>
      <w:pPr>
        <w:spacing w:after="0" w:line="99" w:lineRule="exact"/>
        <w:rPr>
          <w:sz w:val="20"/>
          <w:szCs w:val="20"/>
          <w:color w:val="auto"/>
        </w:rPr>
      </w:pPr>
    </w:p>
    <w:p>
      <w:pPr>
        <w:ind w:left="700" w:hanging="31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63" w:lineRule="exact"/>
        <w:rPr>
          <w:rFonts w:ascii="Arial" w:cs="Arial" w:eastAsia="Arial" w:hAnsi="Arial"/>
          <w:sz w:val="18"/>
          <w:szCs w:val="18"/>
          <w:color w:val="auto"/>
        </w:rPr>
      </w:pPr>
    </w:p>
    <w:p>
      <w:pPr>
        <w:ind w:left="700" w:right="520" w:hanging="314"/>
        <w:spacing w:after="0" w:line="28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director, nominee for director, executive officer, beneficial holder of more than 5% of our capital stock or any member of their immediate family had or will have a direct or indirect material interest.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Indemnification of our Directors and Officers</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Charter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(1) any breach of the director’s duty of loyalty to us or our stockholders; (2) any act or omission not in good faith or that involves intentional misconduct or a knowing violation of law; (3) unlawful payments of dividends or unlawful stock repurchases or redemptions as provided in Section 174 of the Delaware General Corporation Law; or (4) any transaction from which the director derived an improper personal benefit.</w:t>
      </w:r>
    </w:p>
    <w:p>
      <w:pPr>
        <w:spacing w:after="0" w:line="7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Charter and Bylaws provide that we are required to indemnify our directors and officers, in each case to the fullest extent permitted by Delaware law. Our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into agreements to indemnify our directors, executive officers and other employees as determined by our Board.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Pay Ratio Disclosure</w:t>
      </w:r>
    </w:p>
    <w:p>
      <w:pPr>
        <w:spacing w:after="0" w:line="12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6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ratio of the fiscal 2024 total compensation of (i) our CEO, Mr. Hennessy, as reported in the Summary Compensation Table, to (ii) our median employee, as computed in the same manner, is 44:1 based on the amounts of $7,176,468 to $163,640, respectively.</w:t>
      </w:r>
    </w:p>
    <w:p>
      <w:pPr>
        <w:spacing w:after="0" w:line="4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records and the methodology described below.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w:t>
      </w:r>
    </w:p>
    <w:p>
      <w:pPr>
        <w:sectPr>
          <w:pgSz w:w="11900" w:h="16838" w:orient="portrait"/>
          <w:cols w:equalWidth="0" w:num="1">
            <w:col w:w="11220"/>
          </w:cols>
          <w:pgMar w:left="320" w:top="8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type w:val="continuous"/>
        </w:sectPr>
      </w:pPr>
    </w:p>
    <w:bookmarkStart w:id="42" w:name="page43"/>
    <w:bookmarkEnd w:id="42"/>
    <w:p>
      <w:pPr>
        <w:ind w:right="120"/>
        <w:spacing w:after="0" w:line="268" w:lineRule="auto"/>
        <w:rPr>
          <w:sz w:val="20"/>
          <w:szCs w:val="20"/>
          <w:color w:val="auto"/>
        </w:rPr>
      </w:pPr>
      <w:r>
        <w:rPr>
          <w:rFonts w:ascii="Arial" w:cs="Arial" w:eastAsia="Arial" w:hAnsi="Arial"/>
          <w:sz w:val="18"/>
          <w:szCs w:val="18"/>
          <w:color w:val="auto"/>
        </w:rPr>
        <w:t>compensation practices. As such,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the Median Employee</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identified the median employee by examining target annualized cash compensation as of December 31, 2024 for our global population of approximately 1,715 full-time and part-time employees, other than our CEO, who were employed by us on December 31, 2024. We included all employees, whether employed on a full-time or part-time basis (excluding any temporary employees and independent contractors), and did not make any estimates, assumptions or adjustments to any annual base salaries. Base salaries for employees outside of the United States were converted into United States dollars by applying the applicable exchange rates in effect on December 31, 2024. No cost-of-living adjustments were applied in our methodology.</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Pay Versus Performance</w:t>
      </w:r>
    </w:p>
    <w:p>
      <w:pPr>
        <w:spacing w:after="0" w:line="10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following table provides information required by Item 402(v) of Regulation S-K. For information regarding the Company’s pay-for-performance philosophy and how the Company aligns executive compensation with the Company’s performance, refer to “Executive Compensation - Compensation Discussion and Analysis.”</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Summary</w:t>
            </w:r>
          </w:p>
        </w:tc>
        <w:tc>
          <w:tcPr>
            <w:tcW w:w="1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Summary</w:t>
            </w: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r>
      <w:tr>
        <w:trPr>
          <w:trHeight w:val="148"/>
        </w:trPr>
        <w:tc>
          <w:tcPr>
            <w:tcW w:w="440" w:type="dxa"/>
            <w:vAlign w:val="bottom"/>
          </w:tcPr>
          <w:p>
            <w:pPr>
              <w:spacing w:after="0"/>
              <w:rPr>
                <w:sz w:val="12"/>
                <w:szCs w:val="12"/>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7"/>
              </w:rPr>
              <w:t>Compensation</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Average Summary</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r>
      <w:tr>
        <w:trPr>
          <w:trHeight w:val="152"/>
        </w:trPr>
        <w:tc>
          <w:tcPr>
            <w:tcW w:w="440" w:type="dxa"/>
            <w:vAlign w:val="bottom"/>
          </w:tcPr>
          <w:p>
            <w:pPr>
              <w:spacing w:after="0"/>
              <w:rPr>
                <w:sz w:val="13"/>
                <w:szCs w:val="13"/>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3"/>
              </w:rPr>
              <w:t>Table Total for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Actually Paid to</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Table Total for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Actually Paid to</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Actually Paid to</w:t>
            </w:r>
          </w:p>
        </w:tc>
      </w:tr>
      <w:tr>
        <w:trPr>
          <w:trHeight w:val="159"/>
        </w:trPr>
        <w:tc>
          <w:tcPr>
            <w:tcW w:w="440" w:type="dxa"/>
            <w:vAlign w:val="bottom"/>
          </w:tcPr>
          <w:p>
            <w:pPr>
              <w:spacing w:after="0"/>
              <w:rPr>
                <w:sz w:val="13"/>
                <w:szCs w:val="13"/>
                <w:color w:val="auto"/>
              </w:rPr>
            </w:pPr>
          </w:p>
        </w:tc>
        <w:tc>
          <w:tcPr>
            <w:tcW w:w="1220" w:type="dxa"/>
            <w:vAlign w:val="bottom"/>
          </w:tcPr>
          <w:p>
            <w:pPr>
              <w:jc w:val="center"/>
              <w:ind w:left="77"/>
              <w:spacing w:after="0" w:line="158" w:lineRule="exact"/>
              <w:rPr>
                <w:sz w:val="20"/>
                <w:szCs w:val="20"/>
                <w:color w:val="auto"/>
              </w:rPr>
            </w:pPr>
            <w:r>
              <w:rPr>
                <w:rFonts w:ascii="Arial" w:cs="Arial" w:eastAsia="Arial" w:hAnsi="Arial"/>
                <w:sz w:val="13"/>
                <w:szCs w:val="13"/>
                <w:b w:val="1"/>
                <w:bCs w:val="1"/>
                <w:color w:val="auto"/>
                <w:w w:val="94"/>
              </w:rPr>
              <w:t>Paul Hennessy</w:t>
            </w:r>
            <w:r>
              <w:rPr>
                <w:rFonts w:ascii="Arial" w:cs="Arial" w:eastAsia="Arial" w:hAnsi="Arial"/>
                <w:sz w:val="16"/>
                <w:szCs w:val="16"/>
                <w:b w:val="1"/>
                <w:bCs w:val="1"/>
                <w:color w:val="auto"/>
                <w:w w:val="94"/>
                <w:vertAlign w:val="superscript"/>
              </w:rPr>
              <w:t>(1)</w:t>
            </w:r>
          </w:p>
        </w:tc>
        <w:tc>
          <w:tcPr>
            <w:tcW w:w="1100" w:type="dxa"/>
            <w:vAlign w:val="bottom"/>
          </w:tcPr>
          <w:p>
            <w:pPr>
              <w:jc w:val="center"/>
              <w:spacing w:after="0" w:line="158" w:lineRule="exact"/>
              <w:rPr>
                <w:sz w:val="20"/>
                <w:szCs w:val="20"/>
                <w:color w:val="auto"/>
              </w:rPr>
            </w:pPr>
            <w:r>
              <w:rPr>
                <w:rFonts w:ascii="Arial" w:cs="Arial" w:eastAsia="Arial" w:hAnsi="Arial"/>
                <w:sz w:val="13"/>
                <w:szCs w:val="13"/>
                <w:b w:val="1"/>
                <w:bCs w:val="1"/>
                <w:color w:val="auto"/>
                <w:w w:val="94"/>
              </w:rPr>
              <w:t>Paul Hennessy</w:t>
            </w:r>
            <w:r>
              <w:rPr>
                <w:rFonts w:ascii="Arial" w:cs="Arial" w:eastAsia="Arial" w:hAnsi="Arial"/>
                <w:sz w:val="16"/>
                <w:szCs w:val="16"/>
                <w:b w:val="1"/>
                <w:bCs w:val="1"/>
                <w:color w:val="auto"/>
                <w:w w:val="94"/>
                <w:vertAlign w:val="superscript"/>
              </w:rPr>
              <w:t>(1)</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Stan</w:t>
            </w:r>
          </w:p>
        </w:tc>
        <w:tc>
          <w:tcPr>
            <w:tcW w:w="1220" w:type="dxa"/>
            <w:vAlign w:val="bottom"/>
          </w:tcPr>
          <w:p>
            <w:pPr>
              <w:jc w:val="center"/>
              <w:spacing w:after="0" w:line="158" w:lineRule="exact"/>
              <w:rPr>
                <w:sz w:val="20"/>
                <w:szCs w:val="20"/>
                <w:color w:val="auto"/>
              </w:rPr>
            </w:pPr>
            <w:r>
              <w:rPr>
                <w:rFonts w:ascii="Arial" w:cs="Arial" w:eastAsia="Arial" w:hAnsi="Arial"/>
                <w:sz w:val="13"/>
                <w:szCs w:val="13"/>
                <w:b w:val="1"/>
                <w:bCs w:val="1"/>
                <w:color w:val="auto"/>
                <w:w w:val="93"/>
              </w:rPr>
              <w:t>Stan Pavlovsky</w:t>
            </w:r>
            <w:r>
              <w:rPr>
                <w:rFonts w:ascii="Arial" w:cs="Arial" w:eastAsia="Arial" w:hAnsi="Arial"/>
                <w:sz w:val="16"/>
                <w:szCs w:val="16"/>
                <w:b w:val="1"/>
                <w:bCs w:val="1"/>
                <w:color w:val="auto"/>
                <w:w w:val="93"/>
                <w:vertAlign w:val="superscript"/>
              </w:rPr>
              <w:t>(2)(3)</w:t>
            </w:r>
          </w:p>
        </w:tc>
        <w:tc>
          <w:tcPr>
            <w:tcW w:w="2420" w:type="dxa"/>
            <w:vAlign w:val="bottom"/>
            <w:gridSpan w:val="2"/>
          </w:tcPr>
          <w:p>
            <w:pPr>
              <w:ind w:left="40"/>
              <w:spacing w:after="0" w:line="158" w:lineRule="exact"/>
              <w:rPr>
                <w:sz w:val="20"/>
                <w:szCs w:val="20"/>
                <w:color w:val="auto"/>
              </w:rPr>
            </w:pPr>
            <w:r>
              <w:rPr>
                <w:rFonts w:ascii="Arial" w:cs="Arial" w:eastAsia="Arial" w:hAnsi="Arial"/>
                <w:sz w:val="13"/>
                <w:szCs w:val="13"/>
                <w:b w:val="1"/>
                <w:bCs w:val="1"/>
                <w:color w:val="auto"/>
                <w:w w:val="94"/>
              </w:rPr>
              <w:t>Table Total for Non- Non-CEO NEOs</w:t>
            </w:r>
            <w:r>
              <w:rPr>
                <w:rFonts w:ascii="Arial" w:cs="Arial" w:eastAsia="Arial" w:hAnsi="Arial"/>
                <w:sz w:val="16"/>
                <w:szCs w:val="16"/>
                <w:b w:val="1"/>
                <w:bCs w:val="1"/>
                <w:color w:val="auto"/>
                <w:w w:val="94"/>
                <w:vertAlign w:val="superscript"/>
              </w:rPr>
              <w:t>(2)(4)</w:t>
            </w:r>
          </w:p>
        </w:tc>
      </w:tr>
      <w:tr>
        <w:trPr>
          <w:trHeight w:val="193"/>
        </w:trPr>
        <w:tc>
          <w:tcPr>
            <w:tcW w:w="44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spacing w:after="0" w:line="193" w:lineRule="exact"/>
              <w:rPr>
                <w:sz w:val="20"/>
                <w:szCs w:val="20"/>
                <w:color w:val="auto"/>
              </w:rPr>
            </w:pPr>
            <w:r>
              <w:rPr>
                <w:rFonts w:ascii="Arial" w:cs="Arial" w:eastAsia="Arial" w:hAnsi="Arial"/>
                <w:sz w:val="8"/>
                <w:szCs w:val="8"/>
                <w:b w:val="1"/>
                <w:bCs w:val="1"/>
                <w:color w:val="auto"/>
                <w:w w:val="98"/>
              </w:rPr>
              <w:t xml:space="preserve">(2) </w:t>
            </w:r>
            <w:r>
              <w:rPr>
                <w:rFonts w:ascii="Arial" w:cs="Arial" w:eastAsia="Arial" w:hAnsi="Arial"/>
                <w:sz w:val="22"/>
                <w:szCs w:val="22"/>
                <w:b w:val="1"/>
                <w:bCs w:val="1"/>
                <w:color w:val="auto"/>
                <w:w w:val="98"/>
                <w:vertAlign w:val="subscript"/>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Pavlovsky</w:t>
            </w:r>
            <w:r>
              <w:rPr>
                <w:rFonts w:ascii="Arial" w:cs="Arial" w:eastAsia="Arial" w:hAnsi="Arial"/>
                <w:sz w:val="16"/>
                <w:szCs w:val="16"/>
                <w:b w:val="1"/>
                <w:bCs w:val="1"/>
                <w:color w:val="auto"/>
                <w:w w:val="93"/>
                <w:vertAlign w:val="superscript"/>
              </w:rPr>
              <w:t>(3)</w:t>
            </w:r>
            <w:r>
              <w:rPr>
                <w:rFonts w:ascii="Arial" w:cs="Arial" w:eastAsia="Arial" w:hAnsi="Arial"/>
                <w:sz w:val="13"/>
                <w:szCs w:val="13"/>
                <w:b w:val="1"/>
                <w:bCs w:val="1"/>
                <w:color w:val="auto"/>
                <w:w w:val="93"/>
              </w:rPr>
              <w:t xml:space="preserve"> $</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4"/>
              </w:rPr>
              <w:t>CEO NEOs</w:t>
            </w:r>
            <w:r>
              <w:rPr>
                <w:rFonts w:ascii="Arial" w:cs="Arial" w:eastAsia="Arial" w:hAnsi="Arial"/>
                <w:sz w:val="16"/>
                <w:szCs w:val="16"/>
                <w:b w:val="1"/>
                <w:bCs w:val="1"/>
                <w:color w:val="auto"/>
                <w:w w:val="94"/>
                <w:vertAlign w:val="superscript"/>
              </w:rPr>
              <w:t>(4)</w:t>
            </w:r>
            <w:r>
              <w:rPr>
                <w:rFonts w:ascii="Arial" w:cs="Arial" w:eastAsia="Arial" w:hAnsi="Arial"/>
                <w:sz w:val="13"/>
                <w:szCs w:val="13"/>
                <w:b w:val="1"/>
                <w:bCs w:val="1"/>
                <w:color w:val="auto"/>
                <w:w w:val="94"/>
              </w:rPr>
              <w:t xml:space="preserve"> $</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780"/>
        <w:spacing w:after="0"/>
        <w:rPr>
          <w:sz w:val="20"/>
          <w:szCs w:val="20"/>
          <w:color w:val="auto"/>
        </w:rPr>
      </w:pPr>
      <w:r>
        <w:rPr>
          <w:rFonts w:ascii="Arial" w:cs="Arial" w:eastAsia="Arial" w:hAnsi="Arial"/>
          <w:sz w:val="12"/>
          <w:szCs w:val="12"/>
          <w:b w:val="1"/>
          <w:bCs w:val="1"/>
          <w:color w:val="auto"/>
        </w:rPr>
        <w:t>Year-end value of $100 invested</w:t>
      </w:r>
    </w:p>
    <w:p>
      <w:pPr>
        <w:spacing w:after="0" w:line="9" w:lineRule="exact"/>
        <w:rPr>
          <w:sz w:val="20"/>
          <w:szCs w:val="20"/>
          <w:color w:val="auto"/>
        </w:rPr>
      </w:pPr>
    </w:p>
    <w:p>
      <w:pPr>
        <w:jc w:val="center"/>
        <w:ind w:right="1780"/>
        <w:spacing w:after="0"/>
        <w:rPr>
          <w:sz w:val="20"/>
          <w:szCs w:val="20"/>
          <w:color w:val="auto"/>
        </w:rPr>
      </w:pPr>
      <w:r>
        <w:rPr>
          <w:rFonts w:ascii="Arial" w:cs="Arial" w:eastAsia="Arial" w:hAnsi="Arial"/>
          <w:sz w:val="13"/>
          <w:szCs w:val="13"/>
          <w:b w:val="1"/>
          <w:bCs w:val="1"/>
          <w:color w:val="auto"/>
        </w:rPr>
        <w:t>on 12/31/2019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11430</wp:posOffset>
            </wp:positionV>
            <wp:extent cx="13201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S&amp;P Software &amp;</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SSTK Total</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Svcs Total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Net Income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Adj. EBITDA</w:t>
            </w:r>
          </w:p>
        </w:tc>
      </w:tr>
      <w:tr>
        <w:trPr>
          <w:trHeight w:val="162"/>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Shareholder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Shareholder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 millions)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(in millions)</w:t>
            </w:r>
          </w:p>
        </w:tc>
      </w:tr>
      <w:tr>
        <w:trPr>
          <w:trHeight w:val="172"/>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Return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Return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bl>
    <w:p>
      <w:pPr>
        <w:spacing w:after="0" w:line="22" w:lineRule="exact"/>
        <w:rPr>
          <w:sz w:val="20"/>
          <w:szCs w:val="20"/>
          <w:color w:val="auto"/>
        </w:rPr>
      </w:pPr>
    </w:p>
    <w:p>
      <w:pPr>
        <w:sectPr>
          <w:pgSz w:w="11900" w:h="16838" w:orient="portrait"/>
          <w:cols w:equalWidth="0" w:num="2">
            <w:col w:w="7400" w:space="120"/>
            <w:col w:w="3680"/>
          </w:cols>
          <w:pgMar w:left="320" w:top="877" w:right="37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6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2024</w:t>
            </w: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7,176,468</w:t>
            </w: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494,493</w:t>
            </w: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1240" w:type="dxa"/>
            <w:vAlign w:val="bottom"/>
            <w:tcBorders>
              <w:top w:val="single" w:sz="8" w:color="auto"/>
              <w:bottom w:val="single" w:sz="8" w:color="CCEEFF"/>
            </w:tcBorders>
            <w:shd w:val="clear" w:color="auto" w:fill="CCEEFF"/>
          </w:tcPr>
          <w:p>
            <w:pPr>
              <w:jc w:val="right"/>
              <w:ind w:right="497"/>
              <w:spacing w:after="0"/>
              <w:rPr>
                <w:sz w:val="20"/>
                <w:szCs w:val="20"/>
                <w:color w:val="auto"/>
              </w:rPr>
            </w:pPr>
            <w:r>
              <w:rPr>
                <w:rFonts w:ascii="Arial" w:cs="Arial" w:eastAsia="Arial" w:hAnsi="Arial"/>
                <w:sz w:val="13"/>
                <w:szCs w:val="13"/>
                <w:color w:val="auto"/>
              </w:rPr>
              <w:t>n/a</w:t>
            </w:r>
          </w:p>
        </w:tc>
        <w:tc>
          <w:tcPr>
            <w:tcW w:w="116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Arial" w:cs="Arial" w:eastAsia="Arial" w:hAnsi="Arial"/>
                <w:sz w:val="13"/>
                <w:szCs w:val="13"/>
                <w:color w:val="auto"/>
              </w:rPr>
              <w:t>2,944,372</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370,539</w:t>
            </w: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77.70</w:t>
            </w:r>
          </w:p>
        </w:tc>
        <w:tc>
          <w:tcPr>
            <w:tcW w:w="102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186.94</w:t>
            </w: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35.9</w:t>
            </w:r>
          </w:p>
        </w:tc>
        <w:tc>
          <w:tcPr>
            <w:tcW w:w="82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247.1</w:t>
            </w:r>
          </w:p>
        </w:tc>
      </w:tr>
      <w:tr>
        <w:trPr>
          <w:trHeight w:val="175"/>
        </w:trPr>
        <w:tc>
          <w:tcPr>
            <w:tcW w:w="620" w:type="dxa"/>
            <w:vAlign w:val="bottom"/>
          </w:tcPr>
          <w:p>
            <w:pPr>
              <w:jc w:val="right"/>
              <w:ind w:right="117"/>
              <w:spacing w:after="0"/>
              <w:rPr>
                <w:sz w:val="20"/>
                <w:szCs w:val="20"/>
                <w:color w:val="auto"/>
              </w:rPr>
            </w:pPr>
            <w:r>
              <w:rPr>
                <w:rFonts w:ascii="Arial" w:cs="Arial" w:eastAsia="Arial" w:hAnsi="Arial"/>
                <w:sz w:val="13"/>
                <w:szCs w:val="13"/>
                <w:color w:val="auto"/>
              </w:rPr>
              <w:t>2023</w:t>
            </w:r>
          </w:p>
        </w:tc>
        <w:tc>
          <w:tcPr>
            <w:tcW w:w="1060" w:type="dxa"/>
            <w:vAlign w:val="bottom"/>
          </w:tcPr>
          <w:p>
            <w:pPr>
              <w:jc w:val="center"/>
              <w:spacing w:after="0"/>
              <w:rPr>
                <w:sz w:val="20"/>
                <w:szCs w:val="20"/>
                <w:color w:val="auto"/>
              </w:rPr>
            </w:pPr>
            <w:r>
              <w:rPr>
                <w:rFonts w:ascii="Arial" w:cs="Arial" w:eastAsia="Arial" w:hAnsi="Arial"/>
                <w:sz w:val="13"/>
                <w:szCs w:val="13"/>
                <w:color w:val="auto"/>
                <w:w w:val="93"/>
              </w:rPr>
              <w:t>8,113,511</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5,010,678</w:t>
            </w: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1240" w:type="dxa"/>
            <w:vAlign w:val="bottom"/>
          </w:tcPr>
          <w:p>
            <w:pPr>
              <w:jc w:val="right"/>
              <w:ind w:right="497"/>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257"/>
              <w:spacing w:after="0"/>
              <w:rPr>
                <w:sz w:val="20"/>
                <w:szCs w:val="20"/>
                <w:color w:val="auto"/>
              </w:rPr>
            </w:pPr>
            <w:r>
              <w:rPr>
                <w:rFonts w:ascii="Arial" w:cs="Arial" w:eastAsia="Arial" w:hAnsi="Arial"/>
                <w:sz w:val="13"/>
                <w:szCs w:val="13"/>
                <w:color w:val="auto"/>
              </w:rPr>
              <w:t>6,195,115</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4,169,842</w:t>
            </w: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119.64</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148.98</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110.3</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240.8</w:t>
            </w:r>
          </w:p>
        </w:tc>
      </w:tr>
      <w:tr>
        <w:trPr>
          <w:trHeight w:val="28"/>
        </w:trPr>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2022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20,883,260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18,201,281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5,913,330</w:t>
            </w:r>
          </w:p>
        </w:tc>
        <w:tc>
          <w:tcPr>
            <w:tcW w:w="12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(16,980,341)</w:t>
            </w:r>
          </w:p>
        </w:tc>
        <w:tc>
          <w:tcPr>
            <w:tcW w:w="11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3"/>
                <w:szCs w:val="13"/>
                <w:color w:val="auto"/>
              </w:rPr>
              <w:t>4,003,445</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(5,794,986)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127.83</w:t>
            </w:r>
          </w:p>
        </w:tc>
        <w:tc>
          <w:tcPr>
            <w:tcW w:w="10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107.51</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76.1</w:t>
            </w:r>
          </w:p>
        </w:tc>
        <w:tc>
          <w:tcPr>
            <w:tcW w:w="8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218.1</w:t>
            </w:r>
          </w:p>
        </w:tc>
      </w:tr>
      <w:tr>
        <w:trPr>
          <w:trHeight w:val="175"/>
        </w:trPr>
        <w:tc>
          <w:tcPr>
            <w:tcW w:w="620" w:type="dxa"/>
            <w:vAlign w:val="bottom"/>
          </w:tcPr>
          <w:p>
            <w:pPr>
              <w:jc w:val="right"/>
              <w:ind w:right="117"/>
              <w:spacing w:after="0"/>
              <w:rPr>
                <w:sz w:val="20"/>
                <w:szCs w:val="20"/>
                <w:color w:val="auto"/>
              </w:rPr>
            </w:pPr>
            <w:r>
              <w:rPr>
                <w:rFonts w:ascii="Arial" w:cs="Arial" w:eastAsia="Arial" w:hAnsi="Arial"/>
                <w:sz w:val="13"/>
                <w:szCs w:val="13"/>
                <w:color w:val="auto"/>
              </w:rPr>
              <w:t>2021</w:t>
            </w:r>
          </w:p>
        </w:tc>
        <w:tc>
          <w:tcPr>
            <w:tcW w:w="1060" w:type="dxa"/>
            <w:vAlign w:val="bottom"/>
          </w:tcPr>
          <w:p>
            <w:pPr>
              <w:ind w:left="440"/>
              <w:spacing w:after="0"/>
              <w:rPr>
                <w:sz w:val="20"/>
                <w:szCs w:val="20"/>
                <w:color w:val="auto"/>
              </w:rPr>
            </w:pPr>
            <w:r>
              <w:rPr>
                <w:rFonts w:ascii="Arial" w:cs="Arial" w:eastAsia="Arial" w:hAnsi="Arial"/>
                <w:sz w:val="13"/>
                <w:szCs w:val="13"/>
                <w:color w:val="auto"/>
              </w:rPr>
              <w:t>n/a</w:t>
            </w:r>
          </w:p>
        </w:tc>
        <w:tc>
          <w:tcPr>
            <w:tcW w:w="1080" w:type="dxa"/>
            <w:vAlign w:val="bottom"/>
          </w:tcPr>
          <w:p>
            <w:pPr>
              <w:ind w:left="460"/>
              <w:spacing w:after="0"/>
              <w:rPr>
                <w:sz w:val="20"/>
                <w:szCs w:val="20"/>
                <w:color w:val="auto"/>
              </w:rPr>
            </w:pPr>
            <w:r>
              <w:rPr>
                <w:rFonts w:ascii="Arial" w:cs="Arial" w:eastAsia="Arial" w:hAnsi="Arial"/>
                <w:sz w:val="13"/>
                <w:szCs w:val="13"/>
                <w:color w:val="auto"/>
              </w:rPr>
              <w:t>n/a</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5,717,651</w:t>
            </w: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22,508,915</w:t>
            </w:r>
          </w:p>
        </w:tc>
        <w:tc>
          <w:tcPr>
            <w:tcW w:w="1160" w:type="dxa"/>
            <w:vAlign w:val="bottom"/>
          </w:tcPr>
          <w:p>
            <w:pPr>
              <w:jc w:val="right"/>
              <w:ind w:right="257"/>
              <w:spacing w:after="0"/>
              <w:rPr>
                <w:sz w:val="20"/>
                <w:szCs w:val="20"/>
                <w:color w:val="auto"/>
              </w:rPr>
            </w:pPr>
            <w:r>
              <w:rPr>
                <w:rFonts w:ascii="Arial" w:cs="Arial" w:eastAsia="Arial" w:hAnsi="Arial"/>
                <w:sz w:val="13"/>
                <w:szCs w:val="13"/>
                <w:color w:val="auto"/>
              </w:rPr>
              <w:t>3,394,474</w:t>
            </w: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13,395,666</w:t>
            </w: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264.65</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163.87</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91.9</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193.1</w:t>
            </w:r>
          </w:p>
        </w:tc>
      </w:tr>
      <w:tr>
        <w:trPr>
          <w:trHeight w:val="28"/>
        </w:trPr>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5"/>
        </w:trPr>
        <w:tc>
          <w:tcPr>
            <w:tcW w:w="6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2020</w:t>
            </w:r>
          </w:p>
        </w:tc>
        <w:tc>
          <w:tcPr>
            <w:tcW w:w="1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n/a</w:t>
            </w:r>
          </w:p>
        </w:tc>
        <w:tc>
          <w:tcPr>
            <w:tcW w:w="10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7,025,759</w:t>
            </w:r>
          </w:p>
        </w:tc>
        <w:tc>
          <w:tcPr>
            <w:tcW w:w="12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17,165,333</w:t>
            </w:r>
          </w:p>
        </w:tc>
        <w:tc>
          <w:tcPr>
            <w:tcW w:w="11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2,418,455</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5,675,640</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169.71</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152.18</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71.8</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154.9</w:t>
            </w:r>
          </w:p>
        </w:tc>
      </w:tr>
      <w:tr>
        <w:trPr>
          <w:trHeight w:val="28"/>
        </w:trPr>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Paul Hennessy became CEO of the Company on July 1, 2022.</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by year to calculate Compensation Actually Paid include: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6"/>
              </w:rPr>
              <w:t>2022</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Paul Hennessy</w:t>
            </w: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rPr>
              <w:t>Paul Hennessy</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Paul Hennessy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Stan Pavlovsky</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Stan Pavlovsky</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Stan Pavlovsky</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Compensation from Summary Compensation</w:t>
            </w: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Table</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$7,176,468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$8,113,511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28"/>
              <w:spacing w:after="0"/>
              <w:rPr>
                <w:sz w:val="20"/>
                <w:szCs w:val="20"/>
                <w:color w:val="auto"/>
              </w:rPr>
            </w:pPr>
            <w:r>
              <w:rPr>
                <w:rFonts w:ascii="Arial" w:cs="Arial" w:eastAsia="Arial" w:hAnsi="Arial"/>
                <w:sz w:val="14"/>
                <w:szCs w:val="14"/>
                <w:b w:val="1"/>
                <w:bCs w:val="1"/>
                <w:color w:val="auto"/>
              </w:rPr>
              <w:t>$20,883,260</w:t>
            </w:r>
          </w:p>
        </w:tc>
        <w:tc>
          <w:tcPr>
            <w:tcW w:w="1280" w:type="dxa"/>
            <w:vAlign w:val="bottom"/>
            <w:gridSpan w:val="4"/>
            <w:shd w:val="clear" w:color="auto" w:fill="CCEEFF"/>
          </w:tcPr>
          <w:p>
            <w:pPr>
              <w:jc w:val="center"/>
              <w:ind w:left="328"/>
              <w:spacing w:after="0"/>
              <w:rPr>
                <w:sz w:val="20"/>
                <w:szCs w:val="20"/>
                <w:color w:val="auto"/>
              </w:rPr>
            </w:pPr>
            <w:r>
              <w:rPr>
                <w:rFonts w:ascii="Arial" w:cs="Arial" w:eastAsia="Arial" w:hAnsi="Arial"/>
                <w:sz w:val="14"/>
                <w:szCs w:val="14"/>
                <w:b w:val="1"/>
                <w:bCs w:val="1"/>
                <w:color w:val="auto"/>
              </w:rPr>
              <w:t>$5,913,330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$5,717,651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$7,025,759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Adjustments for Equity Awards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for grant date values in the Summary</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Compensation Table</w:t>
            </w:r>
          </w:p>
        </w:tc>
        <w:tc>
          <w:tcPr>
            <w:tcW w:w="11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$(5,871,670)</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$(6,644,157)</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center"/>
              <w:ind w:left="8"/>
              <w:spacing w:after="0"/>
              <w:rPr>
                <w:sz w:val="20"/>
                <w:szCs w:val="20"/>
                <w:color w:val="auto"/>
              </w:rPr>
            </w:pPr>
            <w:r>
              <w:rPr>
                <w:rFonts w:ascii="Arial" w:cs="Arial" w:eastAsia="Arial" w:hAnsi="Arial"/>
                <w:sz w:val="14"/>
                <w:szCs w:val="14"/>
                <w:color w:val="auto"/>
              </w:rPr>
              <w:t>$(19,912,380)</w:t>
            </w: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rPr>
              <w:t>$(5,636,921)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4"/>
                <w:szCs w:val="14"/>
                <w:color w:val="auto"/>
              </w:rPr>
              <w:t>$(4,131,482)</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$(5,583,809)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Year-end fair value of unvested awards granted in the</w:t>
            </w: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color w:val="auto"/>
              </w:rPr>
              <w:t>$4,879,074</w:t>
            </w:r>
          </w:p>
        </w:tc>
        <w:tc>
          <w:tcPr>
            <w:tcW w:w="16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color w:val="auto"/>
              </w:rPr>
              <w:t>$4,965,639</w:t>
            </w:r>
          </w:p>
        </w:tc>
        <w:tc>
          <w:tcPr>
            <w:tcW w:w="160" w:type="dxa"/>
            <w:vAlign w:val="bottom"/>
          </w:tcPr>
          <w:p>
            <w:pPr>
              <w:spacing w:after="0"/>
              <w:rPr>
                <w:sz w:val="13"/>
                <w:szCs w:val="13"/>
                <w:color w:val="auto"/>
              </w:rPr>
            </w:pP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color w:val="auto"/>
              </w:rPr>
              <w:t>$17,317,782</w:t>
            </w:r>
          </w:p>
        </w:tc>
        <w:tc>
          <w:tcPr>
            <w:tcW w:w="1280" w:type="dxa"/>
            <w:vAlign w:val="bottom"/>
            <w:gridSpan w:val="4"/>
            <w:vMerge w:val="restart"/>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rPr>
              <w:t>$6,574,913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color w:val="auto"/>
              </w:rPr>
              <w:t>$12,795,497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current year</w:t>
            </w: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Year-over-year difference of year-end fair values for</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unvested awards granted in prior years</w:t>
            </w:r>
          </w:p>
        </w:tc>
        <w:tc>
          <w:tcPr>
            <w:tcW w:w="11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$(4,592,677)</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$(1,069,552)</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$11,058,098</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$3,180,653</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Fair values at vest date for awards granted and vested</w:t>
            </w:r>
          </w:p>
        </w:tc>
        <w:tc>
          <w:tcPr>
            <w:tcW w:w="86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80" w:type="dxa"/>
            <w:vAlign w:val="bottom"/>
            <w:gridSpan w:val="4"/>
            <w:vMerge w:val="restart"/>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in current year</w:t>
            </w: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Difference in fair values between prior year-end fair</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values and vest date fair values for awards granted in</w:t>
            </w:r>
          </w:p>
        </w:tc>
        <w:tc>
          <w:tcPr>
            <w:tcW w:w="1100" w:type="dxa"/>
            <w:vAlign w:val="bottom"/>
            <w:gridSpan w:val="3"/>
            <w:vMerge w:val="restart"/>
            <w:shd w:val="clear" w:color="auto" w:fill="CCEEFF"/>
          </w:tcPr>
          <w:p>
            <w:pPr>
              <w:jc w:val="center"/>
              <w:spacing w:after="0"/>
              <w:rPr>
                <w:sz w:val="20"/>
                <w:szCs w:val="20"/>
                <w:color w:val="auto"/>
              </w:rPr>
            </w:pPr>
            <w:r>
              <w:rPr>
                <w:rFonts w:ascii="Arial" w:cs="Arial" w:eastAsia="Arial" w:hAnsi="Arial"/>
                <w:sz w:val="14"/>
                <w:szCs w:val="14"/>
                <w:color w:val="auto"/>
              </w:rPr>
              <w:t>$(1,096,702)</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Arial" w:cs="Arial" w:eastAsia="Arial" w:hAnsi="Arial"/>
                <w:sz w:val="14"/>
                <w:szCs w:val="14"/>
                <w:color w:val="auto"/>
              </w:rPr>
              <w:t>$(354,764)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$(87,381)</w:t>
            </w:r>
          </w:p>
        </w:tc>
        <w:tc>
          <w:tcPr>
            <w:tcW w:w="10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$(3,320,357)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rPr>
              <w:t>$3,289,735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rPr>
              <w:t>$(252,767)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prior years</w:t>
            </w:r>
          </w:p>
        </w:tc>
        <w:tc>
          <w:tcPr>
            <w:tcW w:w="11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4"/>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Forfeitures during current year equal to prior year-end</w:t>
            </w:r>
          </w:p>
        </w:tc>
        <w:tc>
          <w:tcPr>
            <w:tcW w:w="86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40" w:type="dxa"/>
            <w:vAlign w:val="bottom"/>
            <w:gridSpan w:val="5"/>
            <w:vMerge w:val="restart"/>
          </w:tcPr>
          <w:p>
            <w:pPr>
              <w:jc w:val="center"/>
              <w:ind w:left="168"/>
              <w:spacing w:after="0"/>
              <w:rPr>
                <w:sz w:val="20"/>
                <w:szCs w:val="20"/>
                <w:color w:val="auto"/>
              </w:rPr>
            </w:pPr>
            <w:r>
              <w:rPr>
                <w:rFonts w:ascii="Arial" w:cs="Arial" w:eastAsia="Arial" w:hAnsi="Arial"/>
                <w:sz w:val="14"/>
                <w:szCs w:val="14"/>
                <w:color w:val="auto"/>
              </w:rPr>
              <w:t>$(13,936,393)</w:t>
            </w: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or dividend equivalents not otherwise</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included in the total compensation</w:t>
            </w:r>
          </w:p>
        </w:tc>
        <w:tc>
          <w:tcPr>
            <w:tcW w:w="8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$(6,681,975)</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$(3,102,833)</w:t>
            </w:r>
          </w:p>
        </w:tc>
        <w:tc>
          <w:tcPr>
            <w:tcW w:w="160" w:type="dxa"/>
            <w:vAlign w:val="bottom"/>
          </w:tcPr>
          <w:p>
            <w:pPr>
              <w:spacing w:after="0"/>
              <w:rPr>
                <w:sz w:val="19"/>
                <w:szCs w:val="19"/>
                <w:color w:val="auto"/>
              </w:rPr>
            </w:pPr>
          </w:p>
        </w:tc>
        <w:tc>
          <w:tcPr>
            <w:tcW w:w="11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$(2,681,979)</w:t>
            </w:r>
          </w:p>
        </w:tc>
        <w:tc>
          <w:tcPr>
            <w:tcW w:w="144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rPr>
              <w:t>$(22,893,671)</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$16,791,264</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$10,139,574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494,493</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5,010,678</w:t>
            </w:r>
          </w:p>
        </w:tc>
        <w:tc>
          <w:tcPr>
            <w:tcW w:w="16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left="2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18,201,281</w:t>
            </w:r>
          </w:p>
        </w:tc>
        <w:tc>
          <w:tcPr>
            <w:tcW w:w="1440" w:type="dxa"/>
            <w:vAlign w:val="bottom"/>
            <w:gridSpan w:val="5"/>
            <w:shd w:val="clear" w:color="auto" w:fill="CCEEFF"/>
          </w:tcPr>
          <w:p>
            <w:pPr>
              <w:jc w:val="center"/>
              <w:ind w:left="16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(16,980,341)</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22,508,915</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17,165,333</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98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-2468245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-2468245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-2468245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-2468245</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Average Non-CEO NEOs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$2,944,372</w:t>
            </w:r>
          </w:p>
        </w:tc>
        <w:tc>
          <w:tcPr>
            <w:tcW w:w="92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$6,195,115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$4,003,445</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$3,394,474</w:t>
            </w: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$2,418,455</w:t>
            </w: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Adjustments for Equity Awards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$(2,362,247)</w:t>
            </w: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$(5,543,886)</w:t>
            </w: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$(3,416,284)</w:t>
            </w: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$(2,788,734)</w:t>
            </w: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$(1,795,052)</w:t>
            </w: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color w:val="auto"/>
              </w:rPr>
              <w:t>$1,129,586</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rPr>
              <w:t>$3,490,147</w:t>
            </w:r>
          </w:p>
        </w:tc>
        <w:tc>
          <w:tcPr>
            <w:tcW w:w="980" w:type="dxa"/>
            <w:vAlign w:val="bottom"/>
            <w:gridSpan w:val="2"/>
          </w:tcPr>
          <w:p>
            <w:pPr>
              <w:jc w:val="center"/>
              <w:ind w:left="108"/>
              <w:spacing w:after="0"/>
              <w:rPr>
                <w:sz w:val="20"/>
                <w:szCs w:val="20"/>
                <w:color w:val="auto"/>
              </w:rPr>
            </w:pPr>
            <w:r>
              <w:rPr>
                <w:rFonts w:ascii="Arial" w:cs="Arial" w:eastAsia="Arial" w:hAnsi="Arial"/>
                <w:sz w:val="14"/>
                <w:szCs w:val="14"/>
                <w:color w:val="auto"/>
              </w:rPr>
              <w:t>$1,413,942</w:t>
            </w:r>
          </w:p>
        </w:tc>
        <w:tc>
          <w:tcPr>
            <w:tcW w:w="160" w:type="dxa"/>
            <w:vAlign w:val="bottom"/>
          </w:tcPr>
          <w:p>
            <w:pPr>
              <w:spacing w:after="0"/>
              <w:rPr>
                <w:sz w:val="18"/>
                <w:szCs w:val="18"/>
                <w:color w:val="auto"/>
              </w:rPr>
            </w:pP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$4,664,241</w:t>
            </w:r>
          </w:p>
        </w:tc>
        <w:tc>
          <w:tcPr>
            <w:tcW w:w="1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color w:val="auto"/>
              </w:rPr>
              <w:t>$3,546,374</w:t>
            </w: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Year-over-year difference of year-end fair values for unvested awards granted in prior</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years</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$(184,224)</w:t>
            </w: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$(737,047)</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$(6,157,849)</w:t>
            </w: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$6,217,305</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$1,581,201</w:t>
            </w: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820" w:type="dxa"/>
            <w:vAlign w:val="bottom"/>
            <w:gridSpan w:val="2"/>
          </w:tcPr>
          <w:p>
            <w:pPr>
              <w:jc w:val="center"/>
              <w:ind w:left="148"/>
              <w:spacing w:after="0"/>
              <w:rPr>
                <w:sz w:val="20"/>
                <w:szCs w:val="20"/>
                <w:color w:val="auto"/>
              </w:rPr>
            </w:pPr>
            <w:r>
              <w:rPr>
                <w:rFonts w:ascii="Arial" w:cs="Arial" w:eastAsia="Arial" w:hAnsi="Arial"/>
                <w:sz w:val="14"/>
                <w:szCs w:val="14"/>
                <w:color w:val="auto"/>
              </w:rPr>
              <w:t>$13,439</w:t>
            </w:r>
          </w:p>
        </w:tc>
        <w:tc>
          <w:tcPr>
            <w:tcW w:w="2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8"/>
                <w:szCs w:val="18"/>
                <w:color w:val="auto"/>
              </w:rPr>
            </w:pPr>
          </w:p>
        </w:tc>
        <w:tc>
          <w:tcPr>
            <w:tcW w:w="980" w:type="dxa"/>
            <w:vAlign w:val="bottom"/>
            <w:gridSpan w:val="2"/>
          </w:tcPr>
          <w:p>
            <w:pPr>
              <w:jc w:val="center"/>
              <w:ind w:left="108"/>
              <w:spacing w:after="0"/>
              <w:rPr>
                <w:sz w:val="20"/>
                <w:szCs w:val="20"/>
                <w:color w:val="auto"/>
              </w:rPr>
            </w:pPr>
            <w:r>
              <w:rPr>
                <w:rFonts w:ascii="Arial" w:cs="Arial" w:eastAsia="Arial" w:hAnsi="Arial"/>
                <w:sz w:val="14"/>
                <w:szCs w:val="14"/>
                <w:color w:val="auto"/>
              </w:rPr>
              <w:t>$25,894</w:t>
            </w:r>
          </w:p>
        </w:tc>
        <w:tc>
          <w:tcPr>
            <w:tcW w:w="160" w:type="dxa"/>
            <w:vAlign w:val="bottom"/>
          </w:tcPr>
          <w:p>
            <w:pPr>
              <w:spacing w:after="0"/>
              <w:rPr>
                <w:sz w:val="18"/>
                <w:szCs w:val="18"/>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Difference in fair values between prior year-end fair values and vest date fair values</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 awards granted in prior years</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$(237,629)</w:t>
            </w: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$765,513</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$(1,304,882)</w:t>
            </w: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$1,908,380</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$(75,338)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Forfeitures during current year equal to prior year-end fair value</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color w:val="auto"/>
              </w:rPr>
              <w:t>$(932,758)</w:t>
            </w: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8"/>
                <w:szCs w:val="18"/>
                <w:color w:val="auto"/>
              </w:rPr>
            </w:pPr>
          </w:p>
        </w:tc>
        <w:tc>
          <w:tcPr>
            <w:tcW w:w="980" w:type="dxa"/>
            <w:vAlign w:val="bottom"/>
            <w:gridSpan w:val="2"/>
          </w:tcPr>
          <w:p>
            <w:pPr>
              <w:jc w:val="center"/>
              <w:ind w:left="88"/>
              <w:spacing w:after="0"/>
              <w:rPr>
                <w:sz w:val="20"/>
                <w:szCs w:val="20"/>
                <w:color w:val="auto"/>
              </w:rPr>
            </w:pPr>
            <w:r>
              <w:rPr>
                <w:rFonts w:ascii="Arial" w:cs="Arial" w:eastAsia="Arial" w:hAnsi="Arial"/>
                <w:sz w:val="14"/>
                <w:szCs w:val="14"/>
                <w:color w:val="auto"/>
              </w:rPr>
              <w:t>$(359,251)</w:t>
            </w:r>
          </w:p>
        </w:tc>
        <w:tc>
          <w:tcPr>
            <w:tcW w:w="160" w:type="dxa"/>
            <w:vAlign w:val="bottom"/>
          </w:tcPr>
          <w:p>
            <w:pPr>
              <w:spacing w:after="0"/>
              <w:rPr>
                <w:sz w:val="18"/>
                <w:szCs w:val="18"/>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Dividends or dividend equivalents not otherwise included in the total compensation</w:t>
            </w:r>
          </w:p>
        </w:tc>
        <w:tc>
          <w:tcPr>
            <w:tcW w:w="82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$(2,573,832)</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$(2,025,273)</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$(9,798,431)</w:t>
            </w: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$10,001,192</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$3,257,185</w:t>
            </w: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370,539</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4,169,842</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(5,794,986)</w:t>
            </w: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13,395,666</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5,675,640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980" w:type="dxa"/>
            <w:vAlign w:val="bottom"/>
            <w:tcBorders>
              <w:top w:val="single" w:sz="8" w:color="auto"/>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Stan Pavlovsky became CEO of the Company on April 1, 2020 and served until May 3, 2022.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Actuary Paid for the following executives by years: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2024: Jonathan Oringer, Jarrod Yahes, John Caine and Rik Powell</w:t>
      </w:r>
    </w:p>
    <w:p>
      <w:pPr>
        <w:spacing w:after="0" w:line="1" w:lineRule="exact"/>
        <w:rPr>
          <w:rFonts w:ascii="Arial" w:cs="Arial" w:eastAsia="Arial" w:hAnsi="Arial"/>
          <w:sz w:val="14"/>
          <w:szCs w:val="14"/>
          <w:color w:val="auto"/>
        </w:rPr>
      </w:pPr>
    </w:p>
    <w:p>
      <w:pPr>
        <w:ind w:left="660" w:hanging="328"/>
        <w:spacing w:after="0" w:line="22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2023: Jonathan Oringer, Jarrod Yahes and John Caine</w:t>
      </w:r>
    </w:p>
    <w:p>
      <w:pPr>
        <w:ind w:left="660" w:hanging="328"/>
        <w:spacing w:after="0" w:line="20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2022: Jonathan Oringer, Jarrod Yahes and Peter Silvio</w:t>
      </w:r>
    </w:p>
    <w:p>
      <w:pPr>
        <w:ind w:left="660" w:hanging="328"/>
        <w:spacing w:after="0" w:line="22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2021: Jonathan Oringer, Jarrod Yahes and Peter Silvio</w:t>
      </w:r>
    </w:p>
    <w:p>
      <w:pPr>
        <w:ind w:left="660" w:hanging="328"/>
        <w:spacing w:after="0"/>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2020: Jonathan Oringer, Jarrod Yahes, Peter Silvio, Steve Ciardiello and Abraham Muchnick</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Relationship Between “Compensation Actually Paid” and Performance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address the relationship between compensation “actually paid” as disclosed in the Pay vs. Performance Table and:</w:t>
      </w:r>
    </w:p>
    <w:p>
      <w:pPr>
        <w:spacing w:after="0" w:line="171" w:lineRule="exact"/>
        <w:rPr>
          <w:sz w:val="20"/>
          <w:szCs w:val="20"/>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cumulative and peer group TSR;</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154940</wp:posOffset>
            </wp:positionV>
            <wp:extent cx="5349240" cy="3120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568960</wp:posOffset>
            </wp:positionV>
            <wp:extent cx="5349240" cy="2957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308610</wp:posOffset>
            </wp:positionV>
            <wp:extent cx="5349240" cy="2957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21"/>
          <w:szCs w:val="21"/>
          <w:b w:val="1"/>
          <w:bCs w:val="1"/>
          <w:color w:val="EF3A35"/>
        </w:rPr>
        <w:t>Tabular List of Most Important Financial Performance Measures</w:t>
      </w:r>
    </w:p>
    <w:p>
      <w:pPr>
        <w:spacing w:after="0" w:line="13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is a list of the financial performance measures that we believe are the most important financial performance measures used to link NEO compensation to company performance:</w:t>
      </w:r>
    </w:p>
    <w:p>
      <w:pPr>
        <w:spacing w:after="0" w:line="99" w:lineRule="exact"/>
        <w:rPr>
          <w:sz w:val="20"/>
          <w:szCs w:val="20"/>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Margin,</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growth.</w:t>
      </w:r>
    </w:p>
    <w:p>
      <w:pPr>
        <w:sectPr>
          <w:pgSz w:w="11900" w:h="16838" w:orient="portrait"/>
          <w:cols w:equalWidth="0" w:num="1">
            <w:col w:w="10820"/>
          </w:cols>
          <w:pgMar w:left="32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type w:val="continuous"/>
        </w:sectPr>
      </w:pPr>
    </w:p>
    <w:bookmarkStart w:id="45" w:name="page46"/>
    <w:bookmarkEnd w:id="45"/>
    <w:p>
      <w:pPr>
        <w:ind w:firstLine="324"/>
        <w:spacing w:after="0" w:line="262" w:lineRule="auto"/>
        <w:rPr>
          <w:sz w:val="20"/>
          <w:szCs w:val="20"/>
          <w:color w:val="auto"/>
        </w:rPr>
      </w:pPr>
      <w:r>
        <w:rPr>
          <w:rFonts w:ascii="Arial" w:cs="Arial" w:eastAsia="Arial" w:hAnsi="Arial"/>
          <w:sz w:val="18"/>
          <w:szCs w:val="18"/>
          <w:color w:val="auto"/>
        </w:rPr>
        <w:t>For more information, see “Executive Compensation – Compensation Discussion &amp; Analysis” in this Proxy Statement. Although we do not in practice use any performance measures to link compensation “actually paid” (as calculated herein) to Company performance, we are providing this list in accordance with Item 402(v) of Regulation S-K to provide information on performance measures used by the Compensation Committee to determine NEO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77" w:right="51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25"/>
          <w:szCs w:val="25"/>
          <w:b w:val="1"/>
          <w:bCs w:val="1"/>
          <w:color w:val="EF3A35"/>
        </w:rPr>
        <w:t>PROPOSAL THREE: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EF3A35"/>
        </w:rPr>
        <w:t>RATIFICATION OF THE APPOINTMENT OF OUR INDEPENDENT</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EF3A35"/>
        </w:rPr>
        <w:t>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Selection of the Accounting Firm</w:t>
      </w:r>
    </w:p>
    <w:p>
      <w:pPr>
        <w:spacing w:after="0" w:line="10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Audit Committee has appointed PricewaterhouseCoopers LLP (“PricewaterhouseCoopers”) as our independent registered public accounting firm to perform the audit of our financial statements for fiscal 2025, and we are asking our stockholders to ratify this appointment. PricewaterhouseCoopers has been our independent registered public accounting firm since September 2011.</w:t>
      </w:r>
    </w:p>
    <w:p>
      <w:pPr>
        <w:spacing w:after="0" w:line="6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The Audit Committee also reviews the performance of the independent registered public accounting firm annually.</w:t>
      </w:r>
    </w:p>
    <w:p>
      <w:pPr>
        <w:spacing w:after="0" w:line="6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a matter of good corporate governance, the Board, upon recommendation of the Audit Committee, has determined to submit to stockholders for ratification the appointment of PricewaterhouseCoopers. In the event that a majority of the shares of Common Stock represented by proxy or by attending the 2025 Annual Meeting and entitled to vote on Proposal Three does not ratify this appointment of PricewaterhouseCoopers, the Audit Committee may reconsider the appointment of PricewaterhouseCoopers.</w:t>
      </w:r>
    </w:p>
    <w:p>
      <w:pPr>
        <w:spacing w:after="0" w:line="68"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expect that a representative of PricewaterhouseCoopers will be present at the 2025 Annual Meeting and will have an opportunity to make a statement if he or she desires and will be available to respond to appropriate questions.</w:t>
      </w:r>
    </w:p>
    <w:p>
      <w:pPr>
        <w:spacing w:after="0" w:line="49" w:lineRule="exact"/>
        <w:rPr>
          <w:sz w:val="20"/>
          <w:szCs w:val="20"/>
          <w:color w:val="auto"/>
        </w:rPr>
      </w:pPr>
    </w:p>
    <w:p>
      <w:pPr>
        <w:jc w:val="center"/>
        <w:ind w:left="440" w:right="1200"/>
        <w:spacing w:after="0" w:line="270" w:lineRule="auto"/>
        <w:rPr>
          <w:sz w:val="20"/>
          <w:szCs w:val="20"/>
          <w:color w:val="auto"/>
        </w:rPr>
      </w:pPr>
      <w:r>
        <w:rPr>
          <w:rFonts w:ascii="Arial" w:cs="Arial" w:eastAsia="Arial" w:hAnsi="Arial"/>
          <w:sz w:val="22"/>
          <w:szCs w:val="22"/>
          <w:b w:val="1"/>
          <w:bCs w:val="1"/>
          <w:color w:val="EF3A35"/>
        </w:rPr>
        <w:t>OUR BOARD UNANIMOUSLY RECOMMENDS A VOTE “FOR” THE RATIFICATION OF PRICEWATERHOUSECOOPERS LLP AS OUR INDEPENDENT REGISTERED PUBLIC ACCOUNTING FIRM FOR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1" w:right="439" w:bottom="1440" w:gutter="0" w:footer="0" w:header="0"/>
        </w:sectPr>
      </w:pPr>
    </w:p>
    <w:bookmarkStart w:id="47" w:name="page48"/>
    <w:bookmarkEnd w:id="47"/>
    <w:p>
      <w:pPr>
        <w:ind w:right="820"/>
        <w:spacing w:after="0" w:line="285" w:lineRule="auto"/>
        <w:rPr>
          <w:sz w:val="20"/>
          <w:szCs w:val="20"/>
          <w:color w:val="auto"/>
        </w:rPr>
      </w:pPr>
      <w:r>
        <w:rPr>
          <w:rFonts w:ascii="Arial" w:cs="Arial" w:eastAsia="Arial" w:hAnsi="Arial"/>
          <w:sz w:val="22"/>
          <w:szCs w:val="22"/>
          <w:b w:val="1"/>
          <w:bCs w:val="1"/>
          <w:color w:val="EF3A35"/>
        </w:rPr>
        <w:t>Policy on Audit Committee Pre-Approval of Audit and Permissible Non-Audit Services of Independent Registered Public Accounting Firm</w:t>
      </w:r>
    </w:p>
    <w:p>
      <w:pPr>
        <w:spacing w:after="0" w:line="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our Audit Committee may pre-approve services that are expected to be provided to us by the independent registered public accounting firm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w:t>
      </w:r>
    </w:p>
    <w:p>
      <w:pPr>
        <w:spacing w:after="0" w:line="74"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Principal Accountant Fees and Services</w:t>
      </w:r>
    </w:p>
    <w:p>
      <w:pPr>
        <w:spacing w:after="0" w:line="121"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is a summary of the fees billed to us by PricewaterhouseCoopers for professional services rendered for the fiscal years ended December 31, 2024 and December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300" w:type="dxa"/>
            <w:vAlign w:val="bottom"/>
          </w:tcPr>
          <w:p>
            <w:pPr>
              <w:ind w:left="2520"/>
              <w:spacing w:after="0"/>
              <w:rPr>
                <w:sz w:val="20"/>
                <w:szCs w:val="20"/>
                <w:color w:val="auto"/>
              </w:rPr>
            </w:pPr>
            <w:r>
              <w:rPr>
                <w:rFonts w:ascii="Arial" w:cs="Arial" w:eastAsia="Arial" w:hAnsi="Arial"/>
                <w:sz w:val="18"/>
                <w:szCs w:val="18"/>
                <w:b w:val="1"/>
                <w:bCs w:val="1"/>
                <w:color w:val="auto"/>
              </w:rPr>
              <w:t>Fiscal</w:t>
            </w:r>
          </w:p>
        </w:tc>
        <w:tc>
          <w:tcPr>
            <w:tcW w:w="3060" w:type="dxa"/>
            <w:vAlign w:val="bottom"/>
          </w:tcPr>
          <w:p>
            <w:pPr>
              <w:ind w:left="1280"/>
              <w:spacing w:after="0"/>
              <w:rPr>
                <w:sz w:val="20"/>
                <w:szCs w:val="20"/>
                <w:color w:val="auto"/>
              </w:rPr>
            </w:pPr>
            <w:r>
              <w:rPr>
                <w:rFonts w:ascii="Arial" w:cs="Arial" w:eastAsia="Arial" w:hAnsi="Arial"/>
                <w:sz w:val="18"/>
                <w:szCs w:val="18"/>
                <w:b w:val="1"/>
                <w:bCs w:val="1"/>
                <w:color w:val="auto"/>
              </w:rPr>
              <w:t>Fiscal</w:t>
            </w:r>
          </w:p>
        </w:tc>
      </w:tr>
      <w:tr>
        <w:trPr>
          <w:trHeight w:val="25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Fee Category</w:t>
            </w:r>
          </w:p>
        </w:tc>
        <w:tc>
          <w:tcPr>
            <w:tcW w:w="430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b w:val="1"/>
                <w:bCs w:val="1"/>
                <w:color w:val="auto"/>
                <w:w w:val="99"/>
              </w:rPr>
              <w:t>2024</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43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$4,014,500</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$3,171,757</w:t>
            </w:r>
          </w:p>
        </w:tc>
      </w:tr>
      <w:tr>
        <w:trPr>
          <w:trHeight w:val="247"/>
        </w:trPr>
        <w:tc>
          <w:tcPr>
            <w:tcW w:w="38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4300" w:type="dxa"/>
            <w:vAlign w:val="bottom"/>
          </w:tcPr>
          <w:p>
            <w:pPr>
              <w:jc w:val="center"/>
              <w:ind w:left="1190"/>
              <w:spacing w:after="0"/>
              <w:rPr>
                <w:sz w:val="20"/>
                <w:szCs w:val="20"/>
                <w:color w:val="auto"/>
              </w:rPr>
            </w:pPr>
            <w:r>
              <w:rPr>
                <w:rFonts w:ascii="Arial" w:cs="Arial" w:eastAsia="Arial" w:hAnsi="Arial"/>
                <w:sz w:val="18"/>
                <w:szCs w:val="18"/>
                <w:color w:val="auto"/>
                <w:w w:val="98"/>
              </w:rPr>
              <w:t>$116,000</w:t>
            </w:r>
          </w:p>
        </w:tc>
        <w:tc>
          <w:tcPr>
            <w:tcW w:w="3060" w:type="dxa"/>
            <w:vAlign w:val="bottom"/>
          </w:tcPr>
          <w:p>
            <w:pPr>
              <w:jc w:val="center"/>
              <w:spacing w:after="0"/>
              <w:rPr>
                <w:sz w:val="20"/>
                <w:szCs w:val="20"/>
                <w:color w:val="auto"/>
              </w:rPr>
            </w:pPr>
            <w:r>
              <w:rPr>
                <w:rFonts w:ascii="Arial" w:cs="Arial" w:eastAsia="Arial" w:hAnsi="Arial"/>
                <w:sz w:val="18"/>
                <w:szCs w:val="18"/>
                <w:color w:val="auto"/>
              </w:rPr>
              <w:t>$35,000</w:t>
            </w:r>
          </w:p>
        </w:tc>
      </w:tr>
      <w:tr>
        <w:trPr>
          <w:trHeight w:val="23"/>
        </w:trPr>
        <w:tc>
          <w:tcPr>
            <w:tcW w:w="38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430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rPr>
              <w:t>$431,400</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$128,000</w:t>
            </w:r>
          </w:p>
        </w:tc>
      </w:tr>
      <w:tr>
        <w:trPr>
          <w:trHeight w:val="247"/>
        </w:trPr>
        <w:tc>
          <w:tcPr>
            <w:tcW w:w="38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4300" w:type="dxa"/>
            <w:vAlign w:val="bottom"/>
          </w:tcPr>
          <w:p>
            <w:pPr>
              <w:jc w:val="center"/>
              <w:ind w:left="1170"/>
              <w:spacing w:after="0"/>
              <w:rPr>
                <w:sz w:val="20"/>
                <w:szCs w:val="20"/>
                <w:color w:val="auto"/>
              </w:rPr>
            </w:pPr>
            <w:r>
              <w:rPr>
                <w:rFonts w:ascii="Arial" w:cs="Arial" w:eastAsia="Arial" w:hAnsi="Arial"/>
                <w:sz w:val="18"/>
                <w:szCs w:val="18"/>
                <w:color w:val="auto"/>
              </w:rPr>
              <w:t>$7,000</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$7,000</w:t>
            </w:r>
          </w:p>
        </w:tc>
      </w:tr>
      <w:tr>
        <w:trPr>
          <w:trHeight w:val="23"/>
        </w:trPr>
        <w:tc>
          <w:tcPr>
            <w:tcW w:w="38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w:t>
            </w:r>
          </w:p>
        </w:tc>
        <w:tc>
          <w:tcPr>
            <w:tcW w:w="4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$4,568,900</w:t>
            </w: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$3,341,757</w:t>
            </w:r>
          </w:p>
        </w:tc>
      </w:tr>
    </w:tbl>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consists of fees for professional services rendered for the annual audits of our consolidated and statutory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review of our interim consolidated financial statements.</w:t>
      </w:r>
    </w:p>
    <w:p>
      <w:pPr>
        <w:spacing w:after="0" w:line="45"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consists of fees billed for professional services rendered for the annual audit of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review of the interim consolidated financial statements, and for the audit of statutory financial statements and are not reported under “Audit Fees”.</w:t>
      </w:r>
    </w:p>
    <w:p>
      <w:pPr>
        <w:spacing w:after="0" w:line="63"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for the years ended December 31, 2024 and December 31, 2023 include fees related to tax compliance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services.</w:t>
      </w:r>
    </w:p>
    <w:p>
      <w:pPr>
        <w:spacing w:after="0" w:line="4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For the years ended December 31, 2024 and December 31, 2023, all other fees consisted of fees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software products.</w:t>
      </w:r>
    </w:p>
    <w:p>
      <w:pPr>
        <w:spacing w:after="0" w:line="45"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5"/>
          <w:szCs w:val="25"/>
          <w:b w:val="1"/>
          <w:bCs w:val="1"/>
          <w:color w:val="EF3A35"/>
        </w:rPr>
        <w:t>AUDIT COMMITTEE REPORT</w:t>
      </w:r>
    </w:p>
    <w:p>
      <w:pPr>
        <w:spacing w:after="0" w:line="123" w:lineRule="exact"/>
        <w:rPr>
          <w:sz w:val="20"/>
          <w:szCs w:val="20"/>
          <w:color w:val="auto"/>
        </w:rPr>
      </w:pPr>
    </w:p>
    <w:p>
      <w:pPr>
        <w:ind w:right="240" w:firstLine="324"/>
        <w:spacing w:after="0" w:line="318" w:lineRule="auto"/>
        <w:rPr>
          <w:sz w:val="20"/>
          <w:szCs w:val="20"/>
          <w:color w:val="auto"/>
        </w:rPr>
      </w:pPr>
      <w:r>
        <w:rPr>
          <w:rFonts w:ascii="Arial" w:cs="Arial" w:eastAsia="Arial" w:hAnsi="Arial"/>
          <w:sz w:val="17"/>
          <w:szCs w:val="17"/>
          <w:color w:val="auto"/>
        </w:rPr>
        <w:t>The Audit Committee consists of the three directors whose names appear below. Each member of the Audit Committee meets the definition of “independent director” and otherwise is qualified to be a member of the Audit Committee under the NYSE listing requirements.</w:t>
      </w:r>
    </w:p>
    <w:p>
      <w:pPr>
        <w:spacing w:after="0" w:line="2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Audit Committee’s general role is to assist the Board in monitoring the Company’s financial reporting process and related matters. Its specific responsibilities are set forth in its charter. The Audit Committee reviews its charter at least annually.</w:t>
      </w:r>
    </w:p>
    <w:p>
      <w:pPr>
        <w:spacing w:after="0" w:line="4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required by its charter, the Audit Committee reviewed the Company’s audited financial statements for the fiscal year ended December 31, 2024, or fiscal 2024, and met with management, as well as with representatives of PricewaterhouseCoopers, the Company’s independent registered public accounting firm, to discuss the audited financial statements. The Audit Committee also discussed with members of PricewaterhouseCoopers the matters required to be discussed by the Statement on Auditing Standards 16, Communication with Audit Committees, as adopted by the Public Company Accounting Oversight Board, or PCAOB.</w:t>
      </w:r>
    </w:p>
    <w:p>
      <w:pPr>
        <w:spacing w:after="0" w:line="7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addition, the Audit Committee received the written disclosures and letter from PricewaterhouseCoopers required by the applicable requirements of the PCAOB regarding PricewaterhouseCoopers’s communications with the Audit Committee concerning independence and discussed with members of PricewaterhouseCoopers its independence from management and the Company.</w:t>
      </w:r>
    </w:p>
    <w:p>
      <w:pPr>
        <w:spacing w:after="0" w:line="6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Furthermore, in connection with the standards for independence promulgated by the SEC, the Audit Committee reviewed the services provided by PricewaterhouseCoopers, the fees the Company paid for these services, and whether the provision of the services is compatible with maintaining the independence of the independent registered public accounting firm. The Audit Committee deemed that the provision of the services is compatible with maintaining that independence.</w:t>
      </w: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Based on the review and discussions described above, the Audit Committee recommended to the Board that the Company’s audited</w:t>
      </w:r>
    </w:p>
    <w:p>
      <w:pPr>
        <w:spacing w:after="0" w:line="27" w:lineRule="exact"/>
        <w:rPr>
          <w:sz w:val="20"/>
          <w:szCs w:val="20"/>
          <w:color w:val="auto"/>
        </w:rPr>
      </w:pPr>
    </w:p>
    <w:p>
      <w:pPr>
        <w:ind w:left="4220" w:right="60" w:hanging="4211"/>
        <w:spacing w:after="0" w:line="365" w:lineRule="auto"/>
        <w:rPr>
          <w:sz w:val="20"/>
          <w:szCs w:val="20"/>
          <w:color w:val="auto"/>
        </w:rPr>
      </w:pPr>
      <w:r>
        <w:rPr>
          <w:rFonts w:ascii="Arial" w:cs="Arial" w:eastAsia="Arial" w:hAnsi="Arial"/>
          <w:sz w:val="18"/>
          <w:szCs w:val="18"/>
          <w:color w:val="auto"/>
        </w:rPr>
        <w:t>financial statements for fiscal 2024 be included in the Company’s Annual Report on Form 10-K for the fiscal year ended December 31, 2024. Members of the Shutterstock, Inc. Audit Committee</w:t>
      </w:r>
    </w:p>
    <w:p>
      <w:pPr>
        <w:ind w:left="4220"/>
        <w:spacing w:after="0"/>
        <w:rPr>
          <w:sz w:val="20"/>
          <w:szCs w:val="20"/>
          <w:color w:val="auto"/>
        </w:rPr>
      </w:pPr>
      <w:r>
        <w:rPr>
          <w:rFonts w:ascii="Arial" w:cs="Arial" w:eastAsia="Arial" w:hAnsi="Arial"/>
          <w:sz w:val="18"/>
          <w:szCs w:val="18"/>
          <w:color w:val="auto"/>
        </w:rPr>
        <w:t xml:space="preserve">Alfonse Upshaw </w:t>
      </w:r>
      <w:r>
        <w:rPr>
          <w:rFonts w:ascii="Arial" w:cs="Arial" w:eastAsia="Arial" w:hAnsi="Arial"/>
          <w:sz w:val="18"/>
          <w:szCs w:val="18"/>
          <w:i w:val="1"/>
          <w:iCs w:val="1"/>
          <w:color w:val="auto"/>
        </w:rPr>
        <w:t>(Chairman)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Thomas R. Evans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Rachna Bhasin</w:t>
      </w:r>
    </w:p>
    <w:p>
      <w:pPr>
        <w:spacing w:after="0" w:line="99"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The Audit Committee report above does not constitute “soliciting material” and will not be deemed “filed” or incorporated by reference into any of our filings under the Securities Act or the Exchange Act that might incorporate our SEC filings by reference, in whole or in part, notwithstanding anything to the contrary set forth in those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EF3A35"/>
        </w:rPr>
        <w:t>EQUITY COMPENSATION PLAN INFORMATION</w:t>
      </w:r>
    </w:p>
    <w:p>
      <w:pPr>
        <w:spacing w:after="0" w:line="12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table provides information as of December 31, 2024 about the securities authorized for issuance under our Amended and Restated 2012 Plan (the “</w:t>
      </w:r>
      <w:r>
        <w:rPr>
          <w:rFonts w:ascii="Arial" w:cs="Arial" w:eastAsia="Arial" w:hAnsi="Arial"/>
          <w:sz w:val="18"/>
          <w:szCs w:val="18"/>
          <w:u w:val="single" w:color="auto"/>
          <w:color w:val="auto"/>
        </w:rPr>
        <w:t>2012 Plan</w:t>
      </w:r>
      <w:r>
        <w:rPr>
          <w:rFonts w:ascii="Arial" w:cs="Arial" w:eastAsia="Arial" w:hAnsi="Arial"/>
          <w:sz w:val="18"/>
          <w:szCs w:val="18"/>
          <w:color w:val="auto"/>
        </w:rPr>
        <w:t>”) and our Amended and Restated 2022 Plan. Each of the 2012 Plan and the Amended and Restated 2022 Plan was adopted with the approval of our stockholders.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 securities to be issued</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Weighted-average exercise</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 available for</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upon exercise of outstanding</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price of outstanding options,</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 compensation plans</w:t>
            </w:r>
          </w:p>
        </w:tc>
        <w:tc>
          <w:tcPr>
            <w:tcW w:w="0" w:type="dxa"/>
            <w:vAlign w:val="bottom"/>
          </w:tcPr>
          <w:p>
            <w:pPr>
              <w:spacing w:after="0"/>
              <w:rPr>
                <w:sz w:val="1"/>
                <w:szCs w:val="1"/>
                <w:color w:val="auto"/>
              </w:rPr>
            </w:pPr>
          </w:p>
        </w:tc>
      </w:tr>
      <w:tr>
        <w:trPr>
          <w:trHeight w:val="176"/>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480" w:type="dxa"/>
            <w:vAlign w:val="bottom"/>
            <w:vMerge w:val="restart"/>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 warrants and rights</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warrants and rights</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 column (a))</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auto"/>
            </w:tcBorders>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8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8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w:t>
            </w:r>
          </w:p>
        </w:tc>
        <w:tc>
          <w:tcPr>
            <w:tcW w:w="2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approved by security holders</w:t>
            </w:r>
          </w:p>
        </w:tc>
        <w:tc>
          <w:tcPr>
            <w:tcW w:w="2480" w:type="dxa"/>
            <w:vAlign w:val="bottom"/>
          </w:tcPr>
          <w:p>
            <w:pPr>
              <w:jc w:val="center"/>
              <w:spacing w:after="0"/>
              <w:rPr>
                <w:sz w:val="20"/>
                <w:szCs w:val="20"/>
                <w:color w:val="auto"/>
              </w:rPr>
            </w:pPr>
            <w:r>
              <w:rPr>
                <w:rFonts w:ascii="Arial" w:cs="Arial" w:eastAsia="Arial" w:hAnsi="Arial"/>
                <w:sz w:val="14"/>
                <w:szCs w:val="14"/>
                <w:color w:val="auto"/>
              </w:rPr>
              <w:t>3,246,747</w:t>
            </w:r>
            <w:r>
              <w:rPr>
                <w:rFonts w:ascii="Arial" w:cs="Arial" w:eastAsia="Arial" w:hAnsi="Arial"/>
                <w:sz w:val="9"/>
                <w:szCs w:val="9"/>
                <w:color w:val="auto"/>
              </w:rPr>
              <w:t>(1)</w:t>
            </w:r>
          </w:p>
        </w:tc>
        <w:tc>
          <w:tcPr>
            <w:tcW w:w="4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34.14</w:t>
            </w:r>
            <w:r>
              <w:rPr>
                <w:rFonts w:ascii="Arial" w:cs="Arial" w:eastAsia="Arial" w:hAnsi="Arial"/>
                <w:sz w:val="9"/>
                <w:szCs w:val="9"/>
                <w:color w:val="auto"/>
                <w:w w:val="99"/>
              </w:rPr>
              <w:t>(2)</w:t>
            </w:r>
          </w:p>
        </w:tc>
        <w:tc>
          <w:tcPr>
            <w:tcW w:w="48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rPr>
              <w:t>4,219,097</w:t>
            </w:r>
          </w:p>
        </w:tc>
        <w:tc>
          <w:tcPr>
            <w:tcW w:w="0" w:type="dxa"/>
            <w:vAlign w:val="bottom"/>
          </w:tcPr>
          <w:p>
            <w:pPr>
              <w:spacing w:after="0"/>
              <w:rPr>
                <w:sz w:val="1"/>
                <w:szCs w:val="1"/>
                <w:color w:val="auto"/>
              </w:rPr>
            </w:pPr>
          </w:p>
        </w:tc>
      </w:tr>
      <w:tr>
        <w:trPr>
          <w:trHeight w:val="215"/>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approved by security holders</w:t>
            </w:r>
          </w:p>
        </w:tc>
        <w:tc>
          <w:tcPr>
            <w:tcW w:w="24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4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2"/>
        </w:trPr>
        <w:tc>
          <w:tcPr>
            <w:tcW w:w="2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3,246,747</w:t>
            </w:r>
            <w:r>
              <w:rPr>
                <w:rFonts w:ascii="Arial" w:cs="Arial" w:eastAsia="Arial" w:hAnsi="Arial"/>
                <w:sz w:val="9"/>
                <w:szCs w:val="9"/>
                <w:b w:val="1"/>
                <w:bCs w:val="1"/>
                <w:color w:val="auto"/>
              </w:rPr>
              <w:t>(1)</w:t>
            </w:r>
          </w:p>
        </w:tc>
        <w:tc>
          <w:tcPr>
            <w:tcW w:w="4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9"/>
              </w:rPr>
              <w:t>34.14</w:t>
            </w:r>
            <w:r>
              <w:rPr>
                <w:rFonts w:ascii="Arial" w:cs="Arial" w:eastAsia="Arial" w:hAnsi="Arial"/>
                <w:sz w:val="9"/>
                <w:szCs w:val="9"/>
                <w:b w:val="1"/>
                <w:bCs w:val="1"/>
                <w:color w:val="auto"/>
                <w:w w:val="99"/>
              </w:rPr>
              <w:t>(2)</w:t>
            </w:r>
          </w:p>
        </w:tc>
        <w:tc>
          <w:tcPr>
            <w:tcW w:w="4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4,219,097</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right="60" w:hanging="652"/>
        <w:spacing w:after="0" w:line="281"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299,267 shares of our Common Stock to be issued upon the exercise of outstanding stock options under the Amended and Restated 2012 Plan and 2,947,480 shares of our Common Stock to be issued upon the vesting of RSUs granted under the 2012 Plan and Amended and Restated 2022 Plan. The 2012 Plan expired on June 2, 2022 and no further shares are available for issuance under this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Weighted-average exercise price relates to outstanding stock options. RSUs are deemed to have an exercise price of zero and are excluded from the calculation. On June</w:t>
      </w:r>
    </w:p>
    <w:p>
      <w:pPr>
        <w:spacing w:after="0" w:line="28" w:lineRule="exact"/>
        <w:rPr>
          <w:rFonts w:ascii="Arial" w:cs="Arial" w:eastAsia="Arial" w:hAnsi="Arial"/>
          <w:sz w:val="14"/>
          <w:szCs w:val="14"/>
          <w:color w:val="auto"/>
        </w:rPr>
      </w:pPr>
    </w:p>
    <w:p>
      <w:pPr>
        <w:ind w:left="660" w:right="100"/>
        <w:spacing w:after="0" w:line="262" w:lineRule="auto"/>
        <w:rPr>
          <w:rFonts w:ascii="Arial" w:cs="Arial" w:eastAsia="Arial" w:hAnsi="Arial"/>
          <w:sz w:val="14"/>
          <w:szCs w:val="14"/>
          <w:color w:val="auto"/>
        </w:rPr>
      </w:pPr>
      <w:r>
        <w:rPr>
          <w:rFonts w:ascii="Arial" w:cs="Arial" w:eastAsia="Arial" w:hAnsi="Arial"/>
          <w:sz w:val="14"/>
          <w:szCs w:val="14"/>
          <w:color w:val="auto"/>
        </w:rPr>
        <w:t>6, 2024, the Company’s stockholders approved the Amended and Restated 2022 Plan. The maximum aggregate number of shares that may be issued under the Amended and Restated 2022 Plan is 4,233,782 shares of our common stock and is subject to adjustment in connection with changes in capitalization, reorganization and change in control events. Shares subject to awards granted under the Amended and Restated 2022 Plan that expire unexercised or are forfeited, will become available for future grant under the Amended and Restated 2022 Plan. However, shares used to pay the exercise price of an award or to satisfy the tax withholding obligations related to an award will not become available for future grant under the Amended and Restated 2022 Plan. Awards granted subsequent to June 6, 2024 were granted under the Amended and Restated 2022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EF3A35"/>
        </w:rPr>
        <w:t>QUESTIONS AND ANSWERS ABOUT THE PROXY MATERIALS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F3A35"/>
        </w:rPr>
        <w:t>AND THE 2025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Proxy Materials</w:t>
      </w:r>
    </w:p>
    <w:p>
      <w:pPr>
        <w:spacing w:after="0" w:line="148" w:lineRule="exact"/>
        <w:rPr>
          <w:sz w:val="20"/>
          <w:szCs w:val="20"/>
          <w:color w:val="auto"/>
        </w:rPr>
      </w:pPr>
    </w:p>
    <w:p>
      <w:pPr>
        <w:ind w:left="440" w:hanging="414"/>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Shutterstock, Inc. (“</w:t>
      </w:r>
      <w:r>
        <w:rPr>
          <w:rFonts w:ascii="Arial" w:cs="Arial" w:eastAsia="Arial" w:hAnsi="Arial"/>
          <w:sz w:val="18"/>
          <w:szCs w:val="18"/>
          <w:u w:val="single" w:color="auto"/>
          <w:color w:val="auto"/>
        </w:rPr>
        <w:t>Shutterstock</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 providing these proxy materials to you in connection with the solicitation of proxies for use at the 2025 Annual Meeting of Stockholders to be held on Monday, December 22, 2025 at 10:00 a.m. Eastern Time (the “</w:t>
      </w:r>
      <w:r>
        <w:rPr>
          <w:rFonts w:ascii="Arial" w:cs="Arial" w:eastAsia="Arial" w:hAnsi="Arial"/>
          <w:sz w:val="18"/>
          <w:szCs w:val="18"/>
          <w:u w:val="single" w:color="auto"/>
          <w:color w:val="auto"/>
        </w:rPr>
        <w:t>2025 Annual Meeting</w:t>
      </w:r>
      <w:r>
        <w:rPr>
          <w:rFonts w:ascii="Arial" w:cs="Arial" w:eastAsia="Arial" w:hAnsi="Arial"/>
          <w:sz w:val="18"/>
          <w:szCs w:val="18"/>
          <w:color w:val="auto"/>
        </w:rPr>
        <w:t>”). As a stockholder of record, you are invited to attend the 2025 Annual Meeting and are requested to vote on the items of business described in this Proxy Statement. This Proxy Statement includes information that we are required to provide to you under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rules and that is designed to assist you in voting your shares.</w:t>
      </w:r>
    </w:p>
    <w:p>
      <w:pPr>
        <w:spacing w:after="0" w:line="125" w:lineRule="exact"/>
        <w:rPr>
          <w:sz w:val="20"/>
          <w:szCs w:val="20"/>
          <w:color w:val="auto"/>
        </w:rPr>
      </w:pPr>
    </w:p>
    <w:p>
      <w:pPr>
        <w:ind w:left="440" w:hanging="414"/>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the proxy materials?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materials include:</w:t>
      </w:r>
    </w:p>
    <w:p>
      <w:pPr>
        <w:spacing w:after="0" w:line="171" w:lineRule="exact"/>
        <w:rPr>
          <w:sz w:val="20"/>
          <w:szCs w:val="20"/>
          <w:color w:val="auto"/>
        </w:rPr>
      </w:pPr>
    </w:p>
    <w:p>
      <w:pPr>
        <w:ind w:left="660" w:hanging="310"/>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Proxy Statement for the 2025 Annual Meeting;</w:t>
      </w:r>
    </w:p>
    <w:p>
      <w:pPr>
        <w:spacing w:after="0" w:line="252" w:lineRule="exact"/>
        <w:rPr>
          <w:rFonts w:ascii="Arial" w:cs="Arial" w:eastAsia="Arial" w:hAnsi="Arial"/>
          <w:sz w:val="18"/>
          <w:szCs w:val="18"/>
          <w:color w:val="auto"/>
        </w:rPr>
      </w:pPr>
    </w:p>
    <w:p>
      <w:pPr>
        <w:ind w:left="680" w:right="220" w:hanging="330"/>
        <w:spacing w:after="0" w:line="273" w:lineRule="auto"/>
        <w:tabs>
          <w:tab w:leader="none" w:pos="6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2024 Annual Report to Stockholders (the “</w:t>
      </w:r>
      <w:r>
        <w:rPr>
          <w:rFonts w:ascii="Arial" w:cs="Arial" w:eastAsia="Arial" w:hAnsi="Arial"/>
          <w:sz w:val="18"/>
          <w:szCs w:val="18"/>
          <w:u w:val="single" w:color="auto"/>
          <w:color w:val="auto"/>
        </w:rPr>
        <w:t>2024 Annual Report</w:t>
      </w:r>
      <w:r>
        <w:rPr>
          <w:rFonts w:ascii="Arial" w:cs="Arial" w:eastAsia="Arial" w:hAnsi="Arial"/>
          <w:sz w:val="18"/>
          <w:szCs w:val="18"/>
          <w:color w:val="auto"/>
        </w:rPr>
        <w:t>”), which includes our Annual Report on Form 10-K for the fiscal year ended December 31, 2024 and our Form 10-K/A filed on March 28, 2025 (the “</w:t>
      </w:r>
      <w:r>
        <w:rPr>
          <w:rFonts w:ascii="Arial" w:cs="Arial" w:eastAsia="Arial" w:hAnsi="Arial"/>
          <w:sz w:val="18"/>
          <w:szCs w:val="18"/>
          <w:u w:val="single" w:color="auto"/>
          <w:color w:val="auto"/>
        </w:rPr>
        <w:t>2024 Form 10-K</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660" w:hanging="310"/>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proxy card or a voting instruction form for the 2025 Annual Meeting.</w:t>
      </w:r>
    </w:p>
    <w:p>
      <w:pPr>
        <w:spacing w:after="0" w:line="233" w:lineRule="exact"/>
        <w:rPr>
          <w:rFonts w:ascii="Arial" w:cs="Arial" w:eastAsia="Arial" w:hAnsi="Arial"/>
          <w:sz w:val="18"/>
          <w:szCs w:val="18"/>
          <w:color w:val="auto"/>
        </w:rPr>
      </w:pPr>
    </w:p>
    <w:p>
      <w:pPr>
        <w:ind w:left="440" w:hanging="414"/>
        <w:spacing w:after="0"/>
        <w:tabs>
          <w:tab w:leader="none" w:pos="440" w:val="left"/>
        </w:tabs>
        <w:numPr>
          <w:ilvl w:val="0"/>
          <w:numId w:val="50"/>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What information is included in the Proxy Statement?</w:t>
      </w:r>
    </w:p>
    <w:p>
      <w:pPr>
        <w:spacing w:after="0" w:line="30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information in this Proxy Statement relates to the proposals to be voted on at the 2025 Annual Meeting, the voting process, our Board and Board committees, the compensation of directors and certain executive officers, corporate governance matters, and certain other required information.</w:t>
      </w:r>
    </w:p>
    <w:p>
      <w:pPr>
        <w:spacing w:after="0" w:line="103" w:lineRule="exact"/>
        <w:rPr>
          <w:sz w:val="20"/>
          <w:szCs w:val="20"/>
          <w:color w:val="auto"/>
        </w:rPr>
      </w:pPr>
    </w:p>
    <w:p>
      <w:pPr>
        <w:ind w:left="440" w:hanging="414"/>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access the proxy materials over the Internet?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Statement and 2024 Annual Report, as well as other financial information, are available on our Investor Relations website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investor.shutterstock.com.</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proxy materials are also available for viewing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EF3A35"/>
        </w:rPr>
        <w:t>Voting Information</w:t>
      </w:r>
    </w:p>
    <w:p>
      <w:pPr>
        <w:spacing w:after="0" w:line="148" w:lineRule="exact"/>
        <w:rPr>
          <w:sz w:val="20"/>
          <w:szCs w:val="20"/>
          <w:color w:val="auto"/>
        </w:rPr>
      </w:pPr>
    </w:p>
    <w:p>
      <w:pPr>
        <w:ind w:left="440" w:hanging="414"/>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am I voting on at the 2025 Annual Meeting?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are voting on four proposals at the 2025 Annual Meeting:</w:t>
      </w:r>
    </w:p>
    <w:p>
      <w:pPr>
        <w:spacing w:after="0" w:line="347" w:lineRule="exact"/>
        <w:rPr>
          <w:sz w:val="20"/>
          <w:szCs w:val="20"/>
          <w:color w:val="auto"/>
        </w:rPr>
      </w:pPr>
    </w:p>
    <w:p>
      <w:pPr>
        <w:ind w:left="700" w:right="420" w:hanging="31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Election of each of Jonathan Oringer, Rachna Bhasin and Jaime Teevan to the Board, each to serve as a</w:t>
      </w:r>
      <w:r>
        <w:rPr>
          <w:rFonts w:ascii="Arial" w:cs="Arial" w:eastAsia="Arial" w:hAnsi="Arial"/>
          <w:sz w:val="18"/>
          <w:szCs w:val="18"/>
          <w:b w:val="1"/>
          <w:bCs w:val="1"/>
          <w:color w:val="auto"/>
        </w:rPr>
        <w:t xml:space="preserve"> </w:t>
      </w:r>
      <w:r>
        <w:rPr>
          <w:rFonts w:ascii="Arial" w:cs="Arial" w:eastAsia="Arial" w:hAnsi="Arial"/>
          <w:sz w:val="18"/>
          <w:szCs w:val="18"/>
          <w:color w:val="auto"/>
        </w:rPr>
        <w:t>Class I director for a three-year term ending at the 2028 Annual Meeting of Stockholders or until such director’s successor has been duly elected or appointed and qualified, or until such director’s earlier resignation or removal.</w:t>
      </w:r>
    </w:p>
    <w:p>
      <w:pPr>
        <w:spacing w:after="0" w:line="35" w:lineRule="exact"/>
        <w:rPr>
          <w:rFonts w:ascii="Arial" w:cs="Arial" w:eastAsia="Arial" w:hAnsi="Arial"/>
          <w:sz w:val="18"/>
          <w:szCs w:val="18"/>
          <w:color w:val="auto"/>
        </w:rPr>
      </w:pPr>
    </w:p>
    <w:p>
      <w:pPr>
        <w:ind w:left="700" w:right="460"/>
        <w:spacing w:after="0" w:line="255" w:lineRule="auto"/>
        <w:rPr>
          <w:rFonts w:ascii="Arial" w:cs="Arial" w:eastAsia="Arial" w:hAnsi="Arial"/>
          <w:sz w:val="18"/>
          <w:szCs w:val="18"/>
          <w:color w:val="auto"/>
        </w:rPr>
      </w:pPr>
      <w:r>
        <w:rPr>
          <w:rFonts w:ascii="Arial" w:cs="Arial" w:eastAsia="Arial" w:hAnsi="Arial"/>
          <w:sz w:val="18"/>
          <w:szCs w:val="18"/>
          <w:color w:val="auto"/>
        </w:rPr>
        <w:t>As requested by Getty Images, the Company has agreed to use reasonable best efforts to cause to be delivered to Getty Images prior to the closing of the Merger, resignations executed by directors and officers of Shutterstock and its subsidiaries, in each case to be effective upon the effective time of the Merger. 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Paul J. Hennessy is expected to be appointed to serve as one of the members of the Getty Images board, and the other three directors to be designated by Shutterstock have not yet been determined as of the date of this Proxy Statement;</w:t>
      </w:r>
    </w:p>
    <w:p>
      <w:pPr>
        <w:spacing w:after="0" w:line="22" w:lineRule="exact"/>
        <w:rPr>
          <w:rFonts w:ascii="Arial" w:cs="Arial" w:eastAsia="Arial" w:hAnsi="Arial"/>
          <w:sz w:val="18"/>
          <w:szCs w:val="18"/>
          <w:color w:val="auto"/>
        </w:rPr>
      </w:pPr>
    </w:p>
    <w:p>
      <w:pPr>
        <w:ind w:left="700" w:right="860" w:hanging="314"/>
        <w:spacing w:after="0" w:line="28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Approval, on an advisory basis, of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w:t>
      </w:r>
      <w:r>
        <w:rPr>
          <w:rFonts w:ascii="Arial" w:cs="Arial" w:eastAsia="Arial" w:hAnsi="Arial"/>
          <w:sz w:val="18"/>
          <w:szCs w:val="18"/>
          <w:u w:val="single" w:color="auto"/>
          <w:color w:val="auto"/>
        </w:rPr>
        <w:t>say-on-pay</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700" w:right="1020" w:hanging="314"/>
        <w:spacing w:after="0" w:line="28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Proposal Three</w:t>
      </w:r>
      <w:r>
        <w:rPr>
          <w:rFonts w:ascii="Arial" w:cs="Arial" w:eastAsia="Arial" w:hAnsi="Arial"/>
          <w:sz w:val="18"/>
          <w:szCs w:val="18"/>
          <w:color w:val="auto"/>
        </w:rPr>
        <w:t>: Ratification of the appointment of PricewaterhouseCoopers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the fiscal year ending December 31, 2025.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also consider other business that properly comes before the 2025 Annual Meeting.</w:t>
      </w:r>
    </w:p>
    <w:p>
      <w:pPr>
        <w:spacing w:after="0" w:line="158" w:lineRule="exact"/>
        <w:rPr>
          <w:sz w:val="20"/>
          <w:szCs w:val="20"/>
          <w:color w:val="auto"/>
        </w:rPr>
      </w:pPr>
    </w:p>
    <w:p>
      <w:pPr>
        <w:ind w:left="440" w:hanging="414"/>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I vote on the proposals?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your shares:</w:t>
      </w:r>
    </w:p>
    <w:p>
      <w:pPr>
        <w:spacing w:after="0" w:line="347" w:lineRule="exact"/>
        <w:rPr>
          <w:sz w:val="20"/>
          <w:szCs w:val="20"/>
          <w:color w:val="auto"/>
        </w:rPr>
      </w:pPr>
    </w:p>
    <w:p>
      <w:pPr>
        <w:ind w:left="700" w:right="800" w:hanging="314"/>
        <w:spacing w:after="0" w:line="268"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Jonathan Oringer, Rachna Bhasin and Jaime Teevan to the Board, each to serve as a Class I</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for a three-year term ending at the 2028 Annual Meeting of Stockholders or until such director’s successor has been duly elected or appointed and qualified, or until such director’s earlier resignation or removal;</w:t>
      </w:r>
    </w:p>
    <w:p>
      <w:pPr>
        <w:spacing w:after="0" w:line="184" w:lineRule="exact"/>
        <w:rPr>
          <w:rFonts w:ascii="Arial" w:cs="Arial" w:eastAsia="Arial" w:hAnsi="Arial"/>
          <w:sz w:val="18"/>
          <w:szCs w:val="18"/>
          <w:color w:val="auto"/>
        </w:rPr>
      </w:pPr>
    </w:p>
    <w:p>
      <w:pPr>
        <w:ind w:left="700" w:right="1060" w:hanging="314"/>
        <w:spacing w:after="0" w:line="28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compensation of our named executive officers, as disclosed in this Proxy Statement (“say-on-pay”); and</w:t>
      </w:r>
    </w:p>
    <w:p>
      <w:pPr>
        <w:spacing w:after="0" w:line="166" w:lineRule="exact"/>
        <w:rPr>
          <w:rFonts w:ascii="Arial" w:cs="Arial" w:eastAsia="Arial" w:hAnsi="Arial"/>
          <w:sz w:val="18"/>
          <w:szCs w:val="18"/>
          <w:color w:val="auto"/>
        </w:rPr>
      </w:pPr>
    </w:p>
    <w:p>
      <w:pPr>
        <w:ind w:left="700" w:right="840" w:hanging="314"/>
        <w:spacing w:after="0" w:line="28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2025.</w:t>
      </w:r>
    </w:p>
    <w:p>
      <w:pPr>
        <w:spacing w:after="0" w:line="16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Unless instructed to the contrary in the proxy, the shares represented by the proxies will be voted as recommended by the Board for each proposal. If any other matter properly comes before the 2025 Annual Meeting, the proxy holders will vote on that matter in their discretion.</w:t>
      </w:r>
    </w:p>
    <w:p>
      <w:pPr>
        <w:spacing w:after="0" w:line="103" w:lineRule="exact"/>
        <w:rPr>
          <w:sz w:val="20"/>
          <w:szCs w:val="20"/>
          <w:color w:val="auto"/>
        </w:rPr>
      </w:pPr>
    </w:p>
    <w:p>
      <w:pPr>
        <w:ind w:left="440" w:hanging="414"/>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2025 Annual Meeting?</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record date for the 2025 Annual Meeting is November 19, 2025 (the “</w:t>
      </w:r>
      <w:r>
        <w:rPr>
          <w:rFonts w:ascii="Arial" w:cs="Arial" w:eastAsia="Arial" w:hAnsi="Arial"/>
          <w:sz w:val="18"/>
          <w:szCs w:val="18"/>
          <w:u w:val="single" w:color="auto"/>
          <w:color w:val="auto"/>
        </w:rPr>
        <w:t>Record Date</w:t>
      </w:r>
      <w:r>
        <w:rPr>
          <w:rFonts w:ascii="Arial" w:cs="Arial" w:eastAsia="Arial" w:hAnsi="Arial"/>
          <w:sz w:val="18"/>
          <w:szCs w:val="18"/>
          <w:color w:val="auto"/>
        </w:rPr>
        <w:t>”). Stockholders of record and beneficial owners as of that date are entitled to vote at the 2025 Annual Meeting. You are considered a stockholder of record if you hold shares of our common stock, $0.01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in your name in an account with our stock transfer agent, American Stock Transfer &amp; Trust Company (“</w:t>
      </w:r>
      <w:r>
        <w:rPr>
          <w:rFonts w:ascii="Arial" w:cs="Arial" w:eastAsia="Arial" w:hAnsi="Arial"/>
          <w:sz w:val="18"/>
          <w:szCs w:val="18"/>
          <w:u w:val="single" w:color="auto"/>
          <w:color w:val="auto"/>
        </w:rPr>
        <w:t>AST</w:t>
      </w:r>
      <w:r>
        <w:rPr>
          <w:rFonts w:ascii="Arial" w:cs="Arial" w:eastAsia="Arial" w:hAnsi="Arial"/>
          <w:sz w:val="18"/>
          <w:szCs w:val="18"/>
          <w:color w:val="auto"/>
        </w:rPr>
        <w:t>”). You are a beneficial owner and your shares are considered to be held in “street name” if you hold Common Stock indirectly through a broker, bank or other nominee.</w:t>
      </w:r>
    </w:p>
    <w:p>
      <w:pPr>
        <w:spacing w:after="0" w:line="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On the Record Date, we had 35,520,353 shares of Common Stock outstanding. A list of stockholders as of that date will be available for inspection at the 2025 Annual Meeting and for ten days before the 2025 Annual Meeting, in each case upon request to our Corporate Secretary.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52" w:name="page53"/>
    <w:bookmarkEnd w:id="52"/>
    <w:p>
      <w:pPr>
        <w:ind w:left="440" w:hanging="414"/>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vote your shares:</w:t>
      </w:r>
    </w:p>
    <w:p>
      <w:pPr>
        <w:spacing w:after="0" w:line="347" w:lineRule="exact"/>
        <w:rPr>
          <w:sz w:val="20"/>
          <w:szCs w:val="20"/>
          <w:color w:val="auto"/>
        </w:rPr>
      </w:pPr>
    </w:p>
    <w:p>
      <w:pPr>
        <w:ind w:left="340" w:hanging="314"/>
        <w:spacing w:after="0"/>
        <w:tabs>
          <w:tab w:leader="none" w:pos="3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VOTE BY INTERNET</w:t>
      </w:r>
    </w:p>
    <w:p>
      <w:pPr>
        <w:spacing w:after="0" w:line="183" w:lineRule="exact"/>
        <w:rPr>
          <w:rFonts w:ascii="Times New Roman" w:cs="Times New Roman" w:eastAsia="Times New Roman" w:hAnsi="Times New Roman"/>
          <w:sz w:val="18"/>
          <w:szCs w:val="18"/>
          <w:color w:val="auto"/>
        </w:rPr>
      </w:pPr>
    </w:p>
    <w:p>
      <w:pPr>
        <w:jc w:val="both"/>
        <w:ind w:left="620" w:right="1000" w:hanging="318"/>
        <w:spacing w:after="0" w:line="268" w:lineRule="auto"/>
        <w:tabs>
          <w:tab w:leader="none" w:pos="615"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Before the Meeting: </w:t>
      </w:r>
      <w:r>
        <w:rPr>
          <w:rFonts w:ascii="Arial" w:cs="Arial" w:eastAsia="Arial" w:hAnsi="Arial"/>
          <w:sz w:val="18"/>
          <w:szCs w:val="18"/>
          <w:color w:val="auto"/>
        </w:rPr>
        <w:t>Go to www.proxyvote.com until 11:59 p.m. Eastern Time on December 21, 2025. Have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in hand when you access the web site and follow the instructions to obtain your records and to create an electronic voting instruction form.</w:t>
      </w:r>
    </w:p>
    <w:p>
      <w:pPr>
        <w:spacing w:after="0" w:line="196" w:lineRule="exact"/>
        <w:rPr>
          <w:rFonts w:ascii="Times New Roman" w:cs="Times New Roman" w:eastAsia="Times New Roman" w:hAnsi="Times New Roman"/>
          <w:sz w:val="18"/>
          <w:szCs w:val="18"/>
          <w:color w:val="auto"/>
        </w:rPr>
      </w:pPr>
    </w:p>
    <w:p>
      <w:pPr>
        <w:ind w:left="620" w:right="860" w:hanging="318"/>
        <w:spacing w:after="0" w:line="268" w:lineRule="auto"/>
        <w:tabs>
          <w:tab w:leader="none" w:pos="615"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Go to www.virtualshareholdermeeting.com/SSTK2025. You may attend the meeting via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during the meeting. Have the information that is printed in the box marked by the arrow and follow the instructions.</w:t>
      </w:r>
    </w:p>
    <w:p>
      <w:pPr>
        <w:spacing w:after="0" w:line="196" w:lineRule="exact"/>
        <w:rPr>
          <w:rFonts w:ascii="Times New Roman" w:cs="Times New Roman" w:eastAsia="Times New Roman" w:hAnsi="Times New Roman"/>
          <w:sz w:val="18"/>
          <w:szCs w:val="18"/>
          <w:color w:val="auto"/>
        </w:rPr>
      </w:pPr>
    </w:p>
    <w:p>
      <w:pPr>
        <w:ind w:left="360" w:right="1180" w:hanging="334"/>
        <w:spacing w:after="0" w:line="287" w:lineRule="auto"/>
        <w:tabs>
          <w:tab w:leader="none" w:pos="3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VOTE BY PHONE: </w:t>
      </w:r>
      <w:r>
        <w:rPr>
          <w:rFonts w:ascii="Arial" w:cs="Arial" w:eastAsia="Arial" w:hAnsi="Arial"/>
          <w:sz w:val="18"/>
          <w:szCs w:val="18"/>
          <w:color w:val="auto"/>
        </w:rPr>
        <w:t>1-800-690-6903 Use any touch-tone telephone to transmit your voting instructions up until 11:59 p.m.</w:t>
      </w:r>
      <w:r>
        <w:rPr>
          <w:rFonts w:ascii="Arial" w:cs="Arial" w:eastAsia="Arial" w:hAnsi="Arial"/>
          <w:sz w:val="18"/>
          <w:szCs w:val="18"/>
          <w:b w:val="1"/>
          <w:bCs w:val="1"/>
          <w:color w:val="auto"/>
        </w:rPr>
        <w:t xml:space="preserve"> </w:t>
      </w:r>
      <w:r>
        <w:rPr>
          <w:rFonts w:ascii="Arial" w:cs="Arial" w:eastAsia="Arial" w:hAnsi="Arial"/>
          <w:sz w:val="18"/>
          <w:szCs w:val="18"/>
          <w:color w:val="auto"/>
        </w:rPr>
        <w:t>Eastern Time on December 21, 2025. Have your proxy card in hand when you call and then follow the instructions.</w:t>
      </w:r>
    </w:p>
    <w:p>
      <w:pPr>
        <w:spacing w:after="0" w:line="166" w:lineRule="exact"/>
        <w:rPr>
          <w:rFonts w:ascii="Arial" w:cs="Arial" w:eastAsia="Arial" w:hAnsi="Arial"/>
          <w:sz w:val="18"/>
          <w:szCs w:val="18"/>
          <w:color w:val="auto"/>
        </w:rPr>
      </w:pPr>
    </w:p>
    <w:p>
      <w:pPr>
        <w:ind w:left="360" w:right="840" w:hanging="334"/>
        <w:spacing w:after="0" w:line="287" w:lineRule="auto"/>
        <w:tabs>
          <w:tab w:leader="none" w:pos="3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Mark, sign and date your proxy card and return it in the postage-paid envelope we have provided or return it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Processing, c/o Broadridge, 51 Mercedes Way, Edgewood, NY 11717.</w:t>
      </w:r>
    </w:p>
    <w:p>
      <w:pPr>
        <w:spacing w:after="0" w:line="193" w:lineRule="exact"/>
        <w:rPr>
          <w:sz w:val="20"/>
          <w:szCs w:val="20"/>
          <w:color w:val="auto"/>
        </w:rPr>
      </w:pPr>
    </w:p>
    <w:p>
      <w:pPr>
        <w:ind w:left="440" w:hanging="414"/>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am I entitled to per share?</w:t>
      </w:r>
    </w:p>
    <w:p>
      <w:pPr>
        <w:spacing w:after="0" w:line="212"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Each holder of Common Stock is entitled to one vote on all matters to come before the 2025 Annual Meeting for each share held as of the Record Date.</w:t>
      </w:r>
    </w:p>
    <w:p>
      <w:pPr>
        <w:spacing w:after="0" w:line="8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10.</w:t>
        <w:tab/>
        <w:t>Can I change my vote or revoke my proxy?</w:t>
      </w:r>
    </w:p>
    <w:p>
      <w:pPr>
        <w:spacing w:after="0" w:line="21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You may change your vote at any time prior to the taking of the vote at the 2025 Annual Meeting. If you are a stockholder of record, you may change your vote and grant a new proxy bearing a later date by:</w:t>
      </w:r>
    </w:p>
    <w:p>
      <w:pPr>
        <w:spacing w:after="0" w:line="99" w:lineRule="exact"/>
        <w:rPr>
          <w:sz w:val="20"/>
          <w:szCs w:val="20"/>
          <w:color w:val="auto"/>
        </w:rPr>
      </w:pPr>
    </w:p>
    <w:p>
      <w:pPr>
        <w:ind w:left="360" w:hanging="334"/>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63" w:lineRule="exact"/>
        <w:rPr>
          <w:rFonts w:ascii="Arial" w:cs="Arial" w:eastAsia="Arial" w:hAnsi="Arial"/>
          <w:sz w:val="18"/>
          <w:szCs w:val="18"/>
          <w:color w:val="auto"/>
        </w:rPr>
      </w:pPr>
    </w:p>
    <w:p>
      <w:pPr>
        <w:ind w:left="360" w:right="700" w:hanging="334"/>
        <w:spacing w:after="0" w:line="281"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submitting a later-dated vote by telephone or via the Internet (only your last telephone or Internet vote will be counted) by 11:59 p.m. Eastern Time on December 21, 2025;</w:t>
      </w:r>
    </w:p>
    <w:p>
      <w:pPr>
        <w:spacing w:after="0" w:line="1" w:lineRule="exact"/>
        <w:rPr>
          <w:rFonts w:ascii="Arial" w:cs="Arial" w:eastAsia="Arial" w:hAnsi="Arial"/>
          <w:sz w:val="18"/>
          <w:szCs w:val="18"/>
          <w:color w:val="auto"/>
        </w:rPr>
      </w:pPr>
    </w:p>
    <w:p>
      <w:pPr>
        <w:ind w:left="360" w:hanging="334"/>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participating in the 2025 Annual Meeting and voting again by telephone or via the Internet; or</w:t>
      </w:r>
    </w:p>
    <w:p>
      <w:pPr>
        <w:spacing w:after="0" w:line="63" w:lineRule="exact"/>
        <w:rPr>
          <w:rFonts w:ascii="Arial" w:cs="Arial" w:eastAsia="Arial" w:hAnsi="Arial"/>
          <w:sz w:val="18"/>
          <w:szCs w:val="18"/>
          <w:color w:val="auto"/>
        </w:rPr>
      </w:pPr>
    </w:p>
    <w:p>
      <w:pPr>
        <w:ind w:left="360" w:right="1080" w:hanging="334"/>
        <w:spacing w:after="0" w:line="28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sending a written notice of revocation to our Corporate Secretary at Shutterstock, Inc., Attn: Corporate Secretary, 350 Fifth Avenue, 20th Floor, New York, New York 10118 prior to the 2025 Annual Meeting.</w:t>
      </w:r>
    </w:p>
    <w:p>
      <w:pPr>
        <w:spacing w:after="0" w:line="126" w:lineRule="exact"/>
        <w:rPr>
          <w:sz w:val="20"/>
          <w:szCs w:val="20"/>
          <w:color w:val="auto"/>
        </w:rPr>
      </w:pPr>
    </w:p>
    <w:p>
      <w:pPr>
        <w:ind w:left="480" w:hanging="454"/>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19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Shutterstock or to third parties, except: (1) as necessary to meet applicable legal requirements, (2) to allow for the tabulation of votes and certification of the vote, and (3) to facilitate a successful proxy solicitation.</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12.</w:t>
        <w:tab/>
        <w:t>How many shares must be represented to conduct business at the 2025 Annual Meeting?</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quorum requirement for holding the 2025 Annual Meeting and transacting business is that holders of a majority of the issued and outstanding stock entitled to vote as of the Record Date must be present at the 2025 Annual Meeting or represented by proxy. Both abstentions and broker non-votes (described below) are counted for the purpose of determining the presence of a quorum. As of the Record Date, we had 35,520,353 shares of Common Stock outstanding.</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What is a “broker non-vote”?</w:t>
      </w:r>
    </w:p>
    <w:p>
      <w:pPr>
        <w:spacing w:after="0" w:line="21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All of the matters scheduled to be voted on at the 2025 Annual Meeting are “non-routine,” except for the proposal to ratify the appointment of PricewaterhouseCoopers LLP as our independent registered public accounting firm for the fiscal year ending December 31, 2025.</w:t>
      </w:r>
    </w:p>
    <w:p>
      <w:pPr>
        <w:sectPr>
          <w:pgSz w:w="11900" w:h="16838" w:orient="portrait"/>
          <w:cols w:equalWidth="0" w:num="1">
            <w:col w:w="11140"/>
          </w:cols>
          <w:pgMar w:left="320" w:top="9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17" w:right="439" w:bottom="1440" w:gutter="0" w:footer="0" w:header="0"/>
          <w:type w:val="continuous"/>
        </w:sectPr>
      </w:pPr>
    </w:p>
    <w:bookmarkStart w:id="53" w:name="page54"/>
    <w:bookmarkEnd w:id="53"/>
    <w:p>
      <w:pPr>
        <w:ind w:right="80" w:firstLine="324"/>
        <w:spacing w:after="0" w:line="268" w:lineRule="auto"/>
        <w:rPr>
          <w:sz w:val="20"/>
          <w:szCs w:val="20"/>
          <w:color w:val="auto"/>
        </w:rPr>
      </w:pPr>
      <w:r>
        <w:rPr>
          <w:rFonts w:ascii="Arial" w:cs="Arial" w:eastAsia="Arial" w:hAnsi="Arial"/>
          <w:sz w:val="18"/>
          <w:szCs w:val="18"/>
          <w:color w:val="auto"/>
        </w:rPr>
        <w:t>In tabulating the voting result for any particular proposal, shares that constitute “broker non-votes” will not be counted for purposes of determining whether the proposal is approved. Thus, “broker non-votes” will not affect the outcome of any matter being voted on at the 2025 Annual Meeting.</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14.</w:t>
        <w:tab/>
        <w:t>How are my votes counted?</w:t>
      </w:r>
    </w:p>
    <w:p>
      <w:pPr>
        <w:spacing w:after="0" w:line="21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the election of directors, you may vote “FOR” all or some of the nominees or your vote may be “WITHHELD” with respect to one or more of the nominees. In tabulating voting results for the election of directors, only “FOR” votes are counted. Neither “WITHHELD” votes nor “broker non-votes” will have any effect on the outcome of the voting with respect to the election of directors.</w:t>
      </w:r>
    </w:p>
    <w:p>
      <w:pPr>
        <w:spacing w:after="0" w:line="6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For the other items of business to be brought before the 2025 Annual Meeting, you may vote “FOR,” “AGAINST,” or “ABSTAIN.” If you “ABSTAIN” in any of the other items of business to be brought before the 2025 Annual Meeting, the abstention will not be counted as “FOR” or “AGAINST” and will have no effect on the voting results.</w:t>
      </w:r>
    </w:p>
    <w:p>
      <w:pPr>
        <w:spacing w:after="0" w:line="6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If you provide specific instructions with regard to certain items, your shares will be voted in accordance with your instructions on such items. If you are a record holder and no instructions are indicated, the shares will be voted as recommended by the Board. If you hold shares beneficially in “street name” and you do not provide specific instructions on certain items, then your shares will be counted as “broker non-votes” on non-routine matters, and will be voted in accordance with the broker instructions for routine matters in the broker’s discretion.</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15.</w:t>
        <w:tab/>
        <w:t>What is the voting requirement to approve each of the proposals?</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the election of directors, our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provide for the election of directors by a plurality of the votes cast. This means that the individuals nominated for election to the Board who receive the highest number of “FOR” votes will be elected. Broker non-votes and withheld votes are not considered votes cast for or against the nominee under a plurality voting standard.</w:t>
      </w:r>
    </w:p>
    <w:p>
      <w:pPr>
        <w:spacing w:after="0" w:line="63"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approval of the remaining three proposals described below require the affirmative “FOR” votes of the holders of the majority of the votes cast:</w:t>
      </w:r>
    </w:p>
    <w:p>
      <w:pPr>
        <w:spacing w:after="0" w:line="99" w:lineRule="exact"/>
        <w:rPr>
          <w:sz w:val="20"/>
          <w:szCs w:val="20"/>
          <w:color w:val="auto"/>
        </w:rPr>
      </w:pPr>
    </w:p>
    <w:p>
      <w:pPr>
        <w:ind w:left="660" w:hanging="310"/>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 and</w:t>
      </w:r>
    </w:p>
    <w:p>
      <w:pPr>
        <w:spacing w:after="0" w:line="63" w:lineRule="exact"/>
        <w:rPr>
          <w:rFonts w:ascii="Arial" w:cs="Arial" w:eastAsia="Arial" w:hAnsi="Arial"/>
          <w:sz w:val="18"/>
          <w:szCs w:val="18"/>
          <w:color w:val="auto"/>
        </w:rPr>
      </w:pPr>
    </w:p>
    <w:p>
      <w:pPr>
        <w:ind w:left="680" w:right="340" w:hanging="330"/>
        <w:spacing w:after="0" w:line="287" w:lineRule="auto"/>
        <w:tabs>
          <w:tab w:leader="none" w:pos="6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vote to ratify the appointment of PricewaterhouseCoopers LLP as our independent registered public accounting firm for the fiscal year ending December 31, 2025.</w:t>
      </w:r>
    </w:p>
    <w:p>
      <w:pPr>
        <w:spacing w:after="0" w:line="206" w:lineRule="exact"/>
        <w:rPr>
          <w:rFonts w:ascii="Arial" w:cs="Arial" w:eastAsia="Arial" w:hAnsi="Arial"/>
          <w:sz w:val="18"/>
          <w:szCs w:val="18"/>
          <w:color w:val="auto"/>
        </w:rPr>
      </w:pPr>
    </w:p>
    <w:p>
      <w:pPr>
        <w:ind w:left="440" w:hanging="414"/>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director receives a plurality, but not a majority, of votes cast at the 2025 Annual Meeting?</w:t>
      </w:r>
    </w:p>
    <w:p>
      <w:pPr>
        <w:spacing w:after="0" w:line="21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an uncontested election, if a nominee for director who is an incumbent director is elected by a plurality of the votes cast but does not receive the vote of at least the majority of the votes cast (i.e., the number of shares voted “FOR” a director’s election does not exceed 50% of the total number of votes cast with respect to that director’s election, including votes to withhold authority), the director is deemed elected.</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However, under our director resignation policy,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112"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What happens if additional matters are presented at the 2025 Annual Meeting?</w:t>
      </w:r>
    </w:p>
    <w:p>
      <w:pPr>
        <w:spacing w:after="0" w:line="19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Board does not intend to present any business at the 2025 Annual Meeting other than the proposals described in this Proxy Statement. However, if any other matter properly comes before the 2025 Annual Meeting, the persons named as proxy holders, Rik Powell and Colleen Kearney, will act on such matters in their discretion as permitted.</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How is the Company soliciting proxies for the 2025 Annual Meeting?</w:t>
      </w:r>
    </w:p>
    <w:p>
      <w:pPr>
        <w:spacing w:after="0" w:line="212"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Board is sending you this Proxy Statement in connection with the Board’s solicitation of proxies for use at the 2025 Annual Meeting. In addition to the mailing of these proxy materials, the solicitation of proxies or votes may be made in person, by telephone, or by electronic communication by our directors, officers, and employees, who will not receive any additional compensation for such solicitation activities.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4" w:name="page55"/>
    <w:bookmarkEnd w:id="54"/>
    <w:p>
      <w:pPr>
        <w:jc w:val="both"/>
        <w:ind w:firstLine="324"/>
        <w:spacing w:after="0" w:line="268" w:lineRule="auto"/>
        <w:rPr>
          <w:sz w:val="20"/>
          <w:szCs w:val="20"/>
          <w:color w:val="auto"/>
        </w:rPr>
      </w:pPr>
      <w:r>
        <w:rPr>
          <w:rFonts w:ascii="Arial" w:cs="Arial" w:eastAsia="Arial" w:hAnsi="Arial"/>
          <w:sz w:val="18"/>
          <w:szCs w:val="18"/>
          <w:color w:val="auto"/>
        </w:rPr>
        <w:t>Shutterstock will pay the entire cost of preparing, assembling, printing, mailing, and distributing these proxy materials and soliciting votes. Upon request, we will reimburse banks, brokers, custodians, nominees and fiduciaries for their reasonable charges and expenses to forward our proxy materials to beneficial owners in accordance with applicable rules.</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19.</w:t>
        <w:tab/>
        <w:t>Where can I find the voting results of the 205 Annual Meeting?</w:t>
      </w:r>
    </w:p>
    <w:p>
      <w:pPr>
        <w:spacing w:after="0" w:line="21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We will announce preliminary voting results at the 2025 Annual Meeting and publish the final voting results in a Current Report on Form 8-K filed with the SEC within four business days after the 2025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Attending the 2025 Annual Meeting</w:t>
      </w:r>
    </w:p>
    <w:p>
      <w:pPr>
        <w:spacing w:after="0" w:line="1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20.</w:t>
        <w:tab/>
        <w:t>How do I attend the 2025 Annual Meeting?</w:t>
      </w:r>
    </w:p>
    <w:p>
      <w:pPr>
        <w:spacing w:after="0" w:line="21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 xml:space="preserve">The 2025 Annual Meeting will be entirely online. </w:t>
      </w:r>
      <w:r>
        <w:rPr>
          <w:rFonts w:ascii="Arial" w:cs="Arial" w:eastAsia="Arial" w:hAnsi="Arial"/>
          <w:sz w:val="18"/>
          <w:szCs w:val="18"/>
          <w:b w:val="1"/>
          <w:bCs w:val="1"/>
          <w:u w:val="single" w:color="auto"/>
          <w:color w:val="auto"/>
        </w:rPr>
        <w:t>You will not be able to attend the meeting in person</w:t>
      </w:r>
      <w:r>
        <w:rPr>
          <w:rFonts w:ascii="Arial" w:cs="Arial" w:eastAsia="Arial" w:hAnsi="Arial"/>
          <w:sz w:val="18"/>
          <w:szCs w:val="18"/>
          <w:color w:val="auto"/>
        </w:rPr>
        <w:t>. In order to listen to and participate in the 2025 Annual Meeting, visit www.virtualshareholdermeeting.com/SSTK2025 and follow the posted instructions. The webcast will start at 10:00 a.m. Eastern Time on December 22, 2025. Stockholders may vote and submit questions while connected to the 2025 Annual Meeting on the Internet.</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What do I need in order to participate in the 2025 Annual Meeting online?</w:t>
      </w:r>
    </w:p>
    <w:p>
      <w:pPr>
        <w:spacing w:after="0" w:line="198"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In order to participate in the 2025 Annual Meeting live via the Internet, instructions on how to connect and participate via the Internet, including how to demonstrate proof of stock ownership, are posted at www.virtualshareholdermeeting.com/SSTK2025.</w:t>
      </w:r>
    </w:p>
    <w:p>
      <w:pPr>
        <w:spacing w:after="0" w:line="85" w:lineRule="exact"/>
        <w:rPr>
          <w:sz w:val="20"/>
          <w:szCs w:val="20"/>
          <w:color w:val="auto"/>
        </w:rPr>
      </w:pPr>
    </w:p>
    <w:p>
      <w:pPr>
        <w:ind w:left="440" w:right="600" w:hanging="414"/>
        <w:spacing w:after="0" w:line="249" w:lineRule="auto"/>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if during the check-in time or during the 2025 Annual Meeting I have technical difficulties or trouble accessing the webcast?</w:t>
      </w:r>
    </w:p>
    <w:p>
      <w:pPr>
        <w:spacing w:after="0" w:line="17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Please be sure to check in by 9:45 a.m. Eastern Time on December 22, 2025, the day of the 2025 Annual Meeting, so we may address any technical difficulties before the meeting begins. If you encounter any difficulties accessing the webcast during the check-in or meeting time, please refer to the instructions on your login page.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Additional Information</w:t>
      </w:r>
    </w:p>
    <w:p>
      <w:pPr>
        <w:spacing w:after="0" w:line="1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How does the pending Merger with Getty Images impact the 2025 Annual Meeting?</w:t>
      </w:r>
    </w:p>
    <w:p>
      <w:pPr>
        <w:spacing w:after="0" w:line="21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2025 Annual Meeting does not relate to the pending Merger with Getty Images, which was approved at a special meeting of stockholders on June 10, 2025. For additional information related to the Merger, please refer to the Company’s information statement and proxy statement/prospectus included in our other filings with the SEC.</w:t>
      </w:r>
    </w:p>
    <w:p>
      <w:pPr>
        <w:spacing w:after="0" w:line="103" w:lineRule="exact"/>
        <w:rPr>
          <w:sz w:val="20"/>
          <w:szCs w:val="20"/>
          <w:color w:val="auto"/>
        </w:rPr>
      </w:pPr>
    </w:p>
    <w:p>
      <w:pPr>
        <w:ind w:left="440" w:right="580" w:hanging="414"/>
        <w:spacing w:after="0" w:line="249" w:lineRule="auto"/>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We will hold our 2026 Annual Meeting of stockholders only if the Merger with Getty Images has not already been completed by the date for which the 2026 Annual Meeting of stockholders is scheduled.</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a stockholder proposal to be considered for inclusion in our proxy statement for our 2026 Annual Meeting of Stockholders, our Corporate Secretary must receive the written proposal at our principal executive offices no later than July 23, 2026.</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Stockholder proposals must also otherwise comply with the requirements of Rule 14a-8 under the Securities Exchange Act of 1934, as amended (the “Exchange Act”). Proposals can be addressed to Shutterstock, Inc., Attn: Corporate Secretary, 350 Fifth Avenue, 20th Floor, New York, New York 10118.</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Bylaws also establish advance notice procedures for certain matters, including for stockholders who wish to present a proposal before an annual meeting of stockholders but do not intend for the proposal to be included in our proxy statement or for stockholders who wish to nominate individuals for election to the Board. To be timely for our 2026 Annual Meeting of Stockholders, our Corporate Secretary must receive written notice at our principal executive offices: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5" w:name="page56"/>
    <w:bookmarkEnd w:id="55"/>
    <w:p>
      <w:pPr>
        <w:ind w:left="660" w:hanging="310"/>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earlier than the close of business on August 24, 2026 and</w:t>
      </w:r>
    </w:p>
    <w:p>
      <w:pPr>
        <w:spacing w:after="0" w:line="238" w:lineRule="exact"/>
        <w:rPr>
          <w:rFonts w:ascii="Arial" w:cs="Arial" w:eastAsia="Arial" w:hAnsi="Arial"/>
          <w:sz w:val="18"/>
          <w:szCs w:val="18"/>
          <w:color w:val="auto"/>
        </w:rPr>
      </w:pPr>
    </w:p>
    <w:p>
      <w:pPr>
        <w:ind w:left="660" w:hanging="310"/>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later than the close of business on September 23, 2026.</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hold our 2026 Annual Meeting of Stockholders more than 30 days before or after December 22, 2025 (the one-year anniversary of our 2025 Annual Meeting), then notice of a stockholder proposal must be received not later than the 90th day prior to the 2026 Annual Meeting of Stockholders or the 10th day following the date on which public announcement of the date of the 2026 Annual Meeting of Stockholders is first made by Shutterstock. We will disclose the new deadline by which stockholder proposals must be received under Item 5 of Part II of our earliest possible Quarterly Report on Form 10-Q or, if impracticable, by any means reasonably determined to inform stockholders.</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Stockholders must also comply with certain other applicable requirements contained in our Bylaws. With regards to nominations for director at our 2025 Annual Meeting of Stockholders,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stockholder were a “registrant,” all as described in our Bylaws. The notice must also include certain additional information about and representations by the stockholder and/or the beneficial owner, all as detailed in our Bylaws. In addition, to comply with the universal proxy rules under the Exchange Act, stockholders who intend to solicit proxies in support of director nominees other than the Company’s nominees at the 2024 Annual Meeting must provide notice that sets forth the information required by Rule 14a-19 under the Exchange Act in addition to the information required under our Bylaws.</w:t>
      </w:r>
    </w:p>
    <w:p>
      <w:pPr>
        <w:spacing w:after="0" w:line="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 We reserve the right to reject, rule out of order or take other appropriate action with respect to any proposal or nomination that does not comply with these and other applicable requirements contained in our Bylaws and applicable laws.</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25.</w:t>
        <w:tab/>
        <w:t>How may I communicate with the Board?</w:t>
      </w:r>
    </w:p>
    <w:p>
      <w:pPr>
        <w:spacing w:after="0" w:line="198" w:lineRule="exact"/>
        <w:rPr>
          <w:sz w:val="20"/>
          <w:szCs w:val="20"/>
          <w:color w:val="auto"/>
        </w:rPr>
      </w:pPr>
    </w:p>
    <w:p>
      <w:pPr>
        <w:jc w:val="both"/>
        <w:ind w:right="60" w:firstLine="324"/>
        <w:spacing w:after="0"/>
        <w:rPr>
          <w:sz w:val="20"/>
          <w:szCs w:val="20"/>
          <w:color w:val="auto"/>
        </w:rPr>
      </w:pPr>
      <w:r>
        <w:rPr>
          <w:rFonts w:ascii="Arial" w:cs="Arial" w:eastAsia="Arial" w:hAnsi="Arial"/>
          <w:sz w:val="18"/>
          <w:szCs w:val="18"/>
          <w:color w:val="auto"/>
        </w:rPr>
        <w:t>Stockholders and other interested parties may communicate directly with the Board, with any director, or with the independent directors as a group or any other group of directors by writing to our Corporate Secretary at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with a request to forward the communication to the intended recipient or recipients. Messages received with such a request will be forwarded to the appropriate director or directors.</w:t>
      </w:r>
    </w:p>
    <w:p>
      <w:pPr>
        <w:spacing w:after="0" w:line="12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26.</w:t>
        <w:tab/>
        <w:t>Where can I obtain corporate governance materials?</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Our corporate governance materials are posted on our Investor Relations website (investor.shutterstock.com) under the link for</w:t>
      </w:r>
    </w:p>
    <w:p>
      <w:pPr>
        <w:spacing w:after="0" w:line="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“Corporate Governance.” In addition, stockholders may obtain paper copies of our corporate governance materials by sending a written request to Shutterstock, Inc., Attn: Corporate Secretary,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6" w:name="page57"/>
    <w:bookmarkEnd w:id="56"/>
    <w:p>
      <w:pPr>
        <w:jc w:val="center"/>
        <w:ind w:right="-239"/>
        <w:spacing w:after="0"/>
        <w:rPr>
          <w:sz w:val="20"/>
          <w:szCs w:val="20"/>
          <w:color w:val="auto"/>
        </w:rPr>
      </w:pPr>
      <w:r>
        <w:rPr>
          <w:rFonts w:ascii="Arial" w:cs="Arial" w:eastAsia="Arial" w:hAnsi="Arial"/>
          <w:sz w:val="25"/>
          <w:szCs w:val="25"/>
          <w:b w:val="1"/>
          <w:bCs w:val="1"/>
          <w:color w:val="EF3A35"/>
        </w:rPr>
        <w:t>OTHER MATTERS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knows of no other matters that will be presented for consideration at the 2025 Annual Meeting. If any other matters are properly brought before the meeting, it is the intention of the persons named in the accompanying proxy to vote on such matters in accordance with their best judgment.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71600" cy="480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John Lapham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71" w:right="5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5"/>
          <w:szCs w:val="25"/>
          <w:b w:val="1"/>
          <w:bCs w:val="1"/>
          <w:color w:val="EF3A35"/>
        </w:rPr>
        <w:t>ANNEX 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Non-GAAP Financial Measures</w:t>
      </w:r>
    </w:p>
    <w:p>
      <w:pPr>
        <w:spacing w:after="0" w:line="1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141,548</w:t>
            </w:r>
          </w:p>
        </w:tc>
        <w:tc>
          <w:tcPr>
            <w:tcW w:w="0" w:type="dxa"/>
            <w:vAlign w:val="bottom"/>
          </w:tcPr>
          <w:p>
            <w:pPr>
              <w:spacing w:after="0"/>
              <w:rPr>
                <w:sz w:val="1"/>
                <w:szCs w:val="1"/>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240,776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218,074</w:t>
            </w: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98,334</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7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7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7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ind w:right="80"/>
        <w:spacing w:after="0" w:line="262" w:lineRule="auto"/>
        <w:rPr>
          <w:sz w:val="20"/>
          <w:szCs w:val="20"/>
          <w:color w:val="auto"/>
        </w:rPr>
      </w:pPr>
      <w:r>
        <w:rPr>
          <w:rFonts w:ascii="Arial" w:cs="Arial" w:eastAsia="Arial" w:hAnsi="Arial"/>
          <w:sz w:val="18"/>
          <w:szCs w:val="18"/>
          <w:color w:val="auto"/>
        </w:rPr>
        <w:t>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6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twelve months ended December 31, 2024, the Company also incurred $21.4 million of Giphy Retention Compensation expense related to recurring employee costs, which is included in operating expenses, and is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Diluted Common Share</w:t>
      </w:r>
    </w:p>
    <w:p>
      <w:pPr>
        <w:spacing w:after="0" w:line="1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cost incurred associated with the Getty merger, unrealized gains and losses on investments, severance costs associated with strategic workforce optimizations and the estimated tax impact of such adjustments. We define adjusted net income per diluted common share as adjusted net income divided by weighted average diluted shares.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37"/>
        </w:trPr>
        <w:tc>
          <w:tcPr>
            <w:tcW w:w="7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0"/>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7"/>
        </w:trPr>
        <w:tc>
          <w:tcPr>
            <w:tcW w:w="7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r>
      <w:tr>
        <w:trPr>
          <w:trHeight w:val="23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43"/>
        </w:trPr>
        <w:tc>
          <w:tcPr>
            <w:tcW w:w="7620" w:type="dxa"/>
            <w:vAlign w:val="bottom"/>
          </w:tcPr>
          <w:p>
            <w:pPr>
              <w:ind w:left="140"/>
              <w:spacing w:after="0" w:line="243"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3"/>
                <w:szCs w:val="23"/>
                <w:color w:val="auto"/>
                <w:vertAlign w:val="superscript"/>
              </w:rPr>
              <w:t>(1)(2)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r>
      <w:tr>
        <w:trPr>
          <w:trHeight w:val="229"/>
        </w:trPr>
        <w:tc>
          <w:tcPr>
            <w:tcW w:w="7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w:t>
            </w:r>
          </w:p>
        </w:tc>
      </w:tr>
      <w:tr>
        <w:trPr>
          <w:trHeight w:val="230"/>
        </w:trPr>
        <w:tc>
          <w:tcPr>
            <w:tcW w:w="76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merger-related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6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30"/>
        </w:trPr>
        <w:tc>
          <w:tcPr>
            <w:tcW w:w="7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23"/>
        </w:trPr>
        <w:tc>
          <w:tcPr>
            <w:tcW w:w="76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$ 138,742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$ 157,581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$ 141,548</w:t>
            </w:r>
          </w:p>
        </w:tc>
      </w:tr>
      <w:tr>
        <w:trPr>
          <w:trHeight w:val="128"/>
        </w:trPr>
        <w:tc>
          <w:tcPr>
            <w:tcW w:w="7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$ 2.08</w:t>
            </w:r>
          </w:p>
        </w:tc>
      </w:tr>
      <w:tr>
        <w:trPr>
          <w:trHeight w:val="23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r>
    </w:tbl>
    <w:p>
      <w:pPr>
        <w:spacing w:after="0" w:line="193"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Statutory tax rates are used to calculate the tax effect of the adjustments.</w:t>
      </w:r>
    </w:p>
    <w:p>
      <w:pPr>
        <w:spacing w:after="0" w:line="15" w:lineRule="exact"/>
        <w:rPr>
          <w:rFonts w:ascii="Arial" w:cs="Arial" w:eastAsia="Arial" w:hAnsi="Arial"/>
          <w:sz w:val="14"/>
          <w:szCs w:val="14"/>
          <w:color w:val="auto"/>
        </w:rPr>
      </w:pPr>
    </w:p>
    <w:p>
      <w:pPr>
        <w:ind w:left="360" w:hanging="352"/>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twelve months ended December 31, 2024, the tax effect of non-cash equity-based compensation includes a $6.2 million add-back for the reduction of deferred tax</w:t>
      </w:r>
    </w:p>
    <w:p>
      <w:pPr>
        <w:spacing w:after="0" w:line="15" w:lineRule="exact"/>
        <w:rPr>
          <w:sz w:val="20"/>
          <w:szCs w:val="20"/>
          <w:color w:val="auto"/>
        </w:rPr>
      </w:pPr>
    </w:p>
    <w:p>
      <w:pPr>
        <w:ind w:left="340"/>
        <w:spacing w:after="0" w:line="261" w:lineRule="auto"/>
        <w:rPr>
          <w:sz w:val="20"/>
          <w:szCs w:val="20"/>
          <w:color w:val="auto"/>
        </w:rPr>
      </w:pPr>
      <w:r>
        <w:rPr>
          <w:rFonts w:ascii="Arial" w:cs="Arial" w:eastAsia="Arial" w:hAnsi="Arial"/>
          <w:sz w:val="14"/>
          <w:szCs w:val="14"/>
          <w:color w:val="auto"/>
        </w:rPr>
        <w:t>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1" w:lineRule="exact"/>
        <w:rPr>
          <w:sz w:val="20"/>
          <w:szCs w:val="20"/>
          <w:color w:val="auto"/>
        </w:rPr>
      </w:pPr>
    </w:p>
    <w:p>
      <w:pPr>
        <w:ind w:left="340" w:right="20" w:hanging="332"/>
        <w:spacing w:after="0" w:line="251"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Of these amounts, $32.7 million, $31.6 million and $27.0 million are included in cost of revenue for the years ended December 31, 2024, 2023 and 2022, respectively. The remainder of acquisition-related amortization expense is included in general and administrative expense in the Statement of Operations.</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unrealized gains and losses on investments, transaction costs associated with the Getty merger, interest income and expense and income taxes. We define adjusted EBITDA margin as the ratio of adjusted EBITDA to revenue.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80" w:type="dxa"/>
            <w:vAlign w:val="bottom"/>
            <w:gridSpan w:val="5"/>
          </w:tcPr>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9"/>
                <w:szCs w:val="19"/>
                <w:color w:val="auto"/>
              </w:rPr>
            </w:pPr>
          </w:p>
        </w:tc>
      </w:tr>
      <w:tr>
        <w:trPr>
          <w:trHeight w:val="23"/>
        </w:trPr>
        <w:tc>
          <w:tcPr>
            <w:tcW w:w="7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$ 35,932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$ 76,103</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68,470</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160,756</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2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$ 247,115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$ 240,776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$ 218,074</w:t>
            </w:r>
          </w:p>
        </w:tc>
      </w:tr>
      <w:tr>
        <w:trPr>
          <w:trHeight w:val="257"/>
        </w:trPr>
        <w:tc>
          <w:tcPr>
            <w:tcW w:w="7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20"/>
        </w:trPr>
        <w:tc>
          <w:tcPr>
            <w:tcW w:w="7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3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Growth (including by distribution channel) on a Constant Currency Basis</w:t>
      </w:r>
    </w:p>
    <w:p>
      <w:pPr>
        <w:spacing w:after="0" w:line="11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4"/>
        </w:trPr>
        <w:tc>
          <w:tcPr>
            <w:tcW w:w="7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$ 935,262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$ 874,587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$ 827,826</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$ 760,011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$ 737,264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$ 789,306</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$ 175,251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$ 137,323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$ 38,520</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144 %</w:t>
            </w:r>
          </w:p>
        </w:tc>
      </w:tr>
    </w:tbl>
    <w:p>
      <w:pPr>
        <w:spacing w:after="0" w:line="200" w:lineRule="exact"/>
        <w:rPr>
          <w:sz w:val="20"/>
          <w:szCs w:val="20"/>
          <w:color w:val="auto"/>
        </w:rPr>
      </w:pP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1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Envato Seller Obligations.</w:t>
      </w:r>
    </w:p>
    <w:p>
      <w:pPr>
        <w:spacing w:after="0" w:line="63"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following is a presentation of cash flow information and a reconciliation of net cash provided by operating activities to adjusted free cash flow for each of the periods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0" w:type="dxa"/>
            <w:vAlign w:val="bottom"/>
          </w:tcPr>
          <w:p>
            <w:pPr>
              <w:spacing w:after="0"/>
              <w:rPr>
                <w:sz w:val="1"/>
                <w:szCs w:val="1"/>
                <w:color w:val="auto"/>
              </w:rPr>
            </w:pP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$ 158,451</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0" w:type="dxa"/>
            <w:vAlign w:val="bottom"/>
          </w:tcPr>
          <w:p>
            <w:pPr>
              <w:spacing w:after="0"/>
              <w:rPr>
                <w:sz w:val="1"/>
                <w:szCs w:val="1"/>
                <w:color w:val="auto"/>
              </w:rPr>
            </w:pP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acquisitions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$ 138,468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$ 98,334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5"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9257665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868045</wp:posOffset>
            </wp:positionH>
            <wp:positionV relativeFrom="page">
              <wp:posOffset>791845</wp:posOffset>
            </wp:positionV>
            <wp:extent cx="5812155" cy="74923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492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568960</wp:posOffset>
            </wp:positionV>
            <wp:extent cx="5812155" cy="7517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
      <w:numFmt w:val="bullet"/>
      <w:start w:val="1"/>
    </w:lvl>
    <w:lvl w:ilvl="1">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3"/>
    </w:lvl>
    <w:lvl w:ilvl="1">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2"/>
    </w:lvl>
  </w:abstractNum>
  <w:abstractNum w:abstractNumId="49">
    <w:nsid w:val="354FE9F9"/>
    <w:multiLevelType w:val="hybridMultilevel"/>
    <w:lvl w:ilvl="0">
      <w:lvlJc w:val="left"/>
      <w:lvlText w:val="%1."/>
      <w:numFmt w:val="decimal"/>
      <w:start w:val="2"/>
    </w:lvl>
    <w:lvl w:ilvl="1">
      <w:lvlJc w:val="left"/>
      <w:lvlText w:val="•"/>
      <w:numFmt w:val="bullet"/>
      <w:start w:val="1"/>
    </w:lvl>
  </w:abstractNum>
  <w:abstractNum w:abstractNumId="50">
    <w:nsid w:val="15B5AF5C"/>
    <w:multiLevelType w:val="hybridMultilevel"/>
    <w:lvl w:ilvl="0">
      <w:lvlJc w:val="left"/>
      <w:lvlText w:val="%1."/>
      <w:numFmt w:val="decimal"/>
      <w:start w:val="4"/>
    </w:lvl>
  </w:abstractNum>
  <w:abstractNum w:abstractNumId="51">
    <w:nsid w:val="741226BB"/>
    <w:multiLevelType w:val="hybridMultilevel"/>
    <w:lvl w:ilvl="0">
      <w:lvlJc w:val="left"/>
      <w:lvlText w:val="%1."/>
      <w:numFmt w:val="decimal"/>
      <w:start w:val="5"/>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6"/>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7"/>
    </w:lvl>
  </w:abstractNum>
  <w:abstractNum w:abstractNumId="56">
    <w:nsid w:val="7E0C57B1"/>
    <w:multiLevelType w:val="hybridMultilevel"/>
    <w:lvl w:ilvl="0">
      <w:lvlJc w:val="left"/>
      <w:lvlText w:val="%1."/>
      <w:numFmt w:val="decimal"/>
      <w:start w:val="8"/>
    </w:lvl>
  </w:abstractNum>
  <w:abstractNum w:abstractNumId="57">
    <w:nsid w:val="77AE35EB"/>
    <w:multiLevelType w:val="hybridMultilevel"/>
    <w:lvl w:ilvl="0">
      <w:lvlJc w:val="left"/>
      <w:lvlText w:val="•"/>
      <w:numFmt w:val="bullet"/>
      <w:start w:val="1"/>
    </w:lvl>
    <w:lvl w:ilvl="1">
      <w:lvlJc w:val="left"/>
      <w:lvlText w:val="•"/>
      <w:numFmt w:val="bullet"/>
      <w:start w:val="1"/>
    </w:lvl>
  </w:abstractNum>
  <w:abstractNum w:abstractNumId="58">
    <w:nsid w:val="579BE4F1"/>
    <w:multiLevelType w:val="hybridMultilevel"/>
    <w:lvl w:ilvl="0">
      <w:lvlJc w:val="left"/>
      <w:lvlText w:val="%1."/>
      <w:numFmt w:val="decimal"/>
      <w:start w:val="9"/>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1"/>
    </w:lvl>
  </w:abstractNum>
  <w:abstractNum w:abstractNumId="61">
    <w:nsid w:val="2F305DEF"/>
    <w:multiLevelType w:val="hybridMultilevel"/>
    <w:lvl w:ilvl="0">
      <w:lvlJc w:val="left"/>
      <w:lvlText w:val="%1."/>
      <w:numFmt w:val="decimal"/>
      <w:start w:val="15"/>
    </w:lvl>
    <w:lvl w:ilvl="1">
      <w:lvlJc w:val="left"/>
      <w:lvlText w:val="•"/>
      <w:numFmt w:val="bullet"/>
      <w:start w:val="1"/>
    </w:lvl>
  </w:abstractNum>
  <w:abstractNum w:abstractNumId="62">
    <w:nsid w:val="25A70BF7"/>
    <w:multiLevelType w:val="hybridMultilevel"/>
    <w:lvl w:ilvl="0">
      <w:lvlJc w:val="left"/>
      <w:lvlText w:val="%1."/>
      <w:numFmt w:val="decimal"/>
      <w:start w:val="22"/>
    </w:lvl>
  </w:abstractNum>
  <w:abstractNum w:abstractNumId="63">
    <w:nsid w:val="1DBABF00"/>
    <w:multiLevelType w:val="hybridMultilevel"/>
    <w:lvl w:ilvl="0">
      <w:lvlJc w:val="left"/>
      <w:lvlText w:val="%1."/>
      <w:numFmt w:val="decimal"/>
      <w:start w:val="24"/>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3"/>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2025-11-20T16:17:33Z</dcterms:created>
  <dcterms:modified xsi:type="dcterms:W3CDTF">2025-11-20T16:17:33Z</dcterms:modified>
</cp:coreProperties>
</file>