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18"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5"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8340" w:type="dxa"/>
            <w:vAlign w:val="bottom"/>
            <w:tcBorders>
              <w:bottom w:val="single" w:sz="8" w:color="auto"/>
            </w:tcBorders>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21, 2023</w:t>
            </w:r>
          </w:p>
        </w:tc>
        <w:tc>
          <w:tcPr>
            <w:tcW w:w="2900" w:type="dxa"/>
            <w:vAlign w:val="bottom"/>
            <w:tcBorders>
              <w:bottom w:val="single" w:sz="8" w:color="auto"/>
            </w:tcBorders>
          </w:tcPr>
          <w:p>
            <w:pPr>
              <w:spacing w:after="0"/>
              <w:rPr>
                <w:sz w:val="21"/>
                <w:szCs w:val="21"/>
                <w:color w:val="auto"/>
              </w:rPr>
            </w:pPr>
          </w:p>
        </w:tc>
      </w:tr>
      <w:tr>
        <w:trPr>
          <w:trHeight w:val="598"/>
        </w:trPr>
        <w:tc>
          <w:tcPr>
            <w:tcW w:w="3200" w:type="dxa"/>
            <w:vAlign w:val="bottom"/>
          </w:tcPr>
          <w:p>
            <w:pPr>
              <w:spacing w:after="0"/>
              <w:rPr>
                <w:sz w:val="24"/>
                <w:szCs w:val="24"/>
                <w:color w:val="auto"/>
              </w:rPr>
            </w:pPr>
          </w:p>
        </w:tc>
        <w:tc>
          <w:tcPr>
            <w:tcW w:w="5140" w:type="dxa"/>
            <w:vAlign w:val="bottom"/>
          </w:tcPr>
          <w:p>
            <w:pPr>
              <w:jc w:val="center"/>
              <w:ind w:left="23"/>
              <w:spacing w:after="0"/>
              <w:rPr>
                <w:sz w:val="20"/>
                <w:szCs w:val="20"/>
                <w:color w:val="auto"/>
              </w:rPr>
            </w:pPr>
            <w:r>
              <w:rPr>
                <w:rFonts w:ascii="Times New Roman" w:cs="Times New Roman" w:eastAsia="Times New Roman" w:hAnsi="Times New Roman"/>
                <w:sz w:val="32"/>
                <w:szCs w:val="32"/>
                <w:b w:val="1"/>
                <w:bCs w:val="1"/>
                <w:color w:val="auto"/>
              </w:rPr>
              <w:t>Shutterstock, Inc.</w:t>
            </w:r>
          </w:p>
        </w:tc>
        <w:tc>
          <w:tcPr>
            <w:tcW w:w="2900" w:type="dxa"/>
            <w:vAlign w:val="bottom"/>
          </w:tcPr>
          <w:p>
            <w:pPr>
              <w:spacing w:after="0"/>
              <w:rPr>
                <w:sz w:val="24"/>
                <w:szCs w:val="24"/>
                <w:color w:val="auto"/>
              </w:rPr>
            </w:pPr>
          </w:p>
        </w:tc>
      </w:tr>
      <w:tr>
        <w:trPr>
          <w:trHeight w:val="206"/>
        </w:trPr>
        <w:tc>
          <w:tcPr>
            <w:tcW w:w="3200" w:type="dxa"/>
            <w:vAlign w:val="bottom"/>
            <w:tcBorders>
              <w:bottom w:val="single" w:sz="8" w:color="auto"/>
            </w:tcBorders>
          </w:tcPr>
          <w:p>
            <w:pPr>
              <w:spacing w:after="0"/>
              <w:rPr>
                <w:sz w:val="17"/>
                <w:szCs w:val="17"/>
                <w:color w:val="auto"/>
              </w:rPr>
            </w:pPr>
          </w:p>
        </w:tc>
        <w:tc>
          <w:tcPr>
            <w:tcW w:w="51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r>
      <w:tr>
        <w:trPr>
          <w:trHeight w:val="223"/>
        </w:trPr>
        <w:tc>
          <w:tcPr>
            <w:tcW w:w="320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900" w:type="dxa"/>
            <w:vAlign w:val="bottom"/>
            <w:tcBorders>
              <w:bottom w:val="single" w:sz="8" w:color="auto"/>
            </w:tcBorders>
          </w:tcPr>
          <w:p>
            <w:pPr>
              <w:spacing w:after="0"/>
              <w:rPr>
                <w:sz w:val="19"/>
                <w:szCs w:val="19"/>
                <w:color w:val="auto"/>
              </w:rPr>
            </w:pPr>
          </w:p>
        </w:tc>
      </w:tr>
      <w:tr>
        <w:trPr>
          <w:trHeight w:val="517"/>
        </w:trPr>
        <w:tc>
          <w:tcPr>
            <w:tcW w:w="3200" w:type="dxa"/>
            <w:vAlign w:val="bottom"/>
          </w:tcPr>
          <w:p>
            <w:pPr>
              <w:jc w:val="center"/>
              <w:ind w:left="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4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001-35669</w:t>
            </w:r>
          </w:p>
        </w:tc>
        <w:tc>
          <w:tcPr>
            <w:tcW w:w="2900" w:type="dxa"/>
            <w:vAlign w:val="bottom"/>
          </w:tcPr>
          <w:p>
            <w:pPr>
              <w:jc w:val="center"/>
              <w:ind w:right="382"/>
              <w:spacing w:after="0"/>
              <w:rPr>
                <w:sz w:val="20"/>
                <w:szCs w:val="20"/>
                <w:color w:val="auto"/>
              </w:rPr>
            </w:pPr>
            <w:r>
              <w:rPr>
                <w:rFonts w:ascii="Times New Roman" w:cs="Times New Roman" w:eastAsia="Times New Roman" w:hAnsi="Times New Roman"/>
                <w:sz w:val="18"/>
                <w:szCs w:val="18"/>
                <w:b w:val="1"/>
                <w:bCs w:val="1"/>
                <w:color w:val="auto"/>
              </w:rPr>
              <w:t>80-0812659</w:t>
            </w:r>
          </w:p>
        </w:tc>
      </w:tr>
      <w:tr>
        <w:trPr>
          <w:trHeight w:val="148"/>
        </w:trPr>
        <w:tc>
          <w:tcPr>
            <w:tcW w:w="3200" w:type="dxa"/>
            <w:vAlign w:val="bottom"/>
          </w:tcPr>
          <w:p>
            <w:pPr>
              <w:jc w:val="center"/>
              <w:ind w:left="79"/>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5140" w:type="dxa"/>
            <w:vAlign w:val="bottom"/>
          </w:tcPr>
          <w:p>
            <w:pPr>
              <w:ind w:left="2020"/>
              <w:spacing w:after="0" w:line="149" w:lineRule="exact"/>
              <w:rPr>
                <w:sz w:val="20"/>
                <w:szCs w:val="20"/>
                <w:color w:val="auto"/>
              </w:rPr>
            </w:pPr>
            <w:r>
              <w:rPr>
                <w:rFonts w:ascii="Times New Roman" w:cs="Times New Roman" w:eastAsia="Times New Roman" w:hAnsi="Times New Roman"/>
                <w:sz w:val="14"/>
                <w:szCs w:val="14"/>
                <w:color w:val="auto"/>
              </w:rPr>
              <w:t>(Commission</w:t>
            </w:r>
          </w:p>
        </w:tc>
        <w:tc>
          <w:tcPr>
            <w:tcW w:w="2900" w:type="dxa"/>
            <w:vAlign w:val="bottom"/>
          </w:tcPr>
          <w:p>
            <w:pPr>
              <w:jc w:val="center"/>
              <w:ind w:right="382"/>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200" w:type="dxa"/>
            <w:vAlign w:val="bottom"/>
          </w:tcPr>
          <w:p>
            <w:pPr>
              <w:jc w:val="center"/>
              <w:ind w:left="99"/>
              <w:spacing w:after="0"/>
              <w:rPr>
                <w:sz w:val="20"/>
                <w:szCs w:val="20"/>
                <w:color w:val="auto"/>
              </w:rPr>
            </w:pPr>
            <w:r>
              <w:rPr>
                <w:rFonts w:ascii="Times New Roman" w:cs="Times New Roman" w:eastAsia="Times New Roman" w:hAnsi="Times New Roman"/>
                <w:sz w:val="14"/>
                <w:szCs w:val="14"/>
                <w:color w:val="auto"/>
              </w:rPr>
              <w:t>of incorporation)</w:t>
            </w:r>
          </w:p>
        </w:tc>
        <w:tc>
          <w:tcPr>
            <w:tcW w:w="514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File Number)</w:t>
            </w:r>
          </w:p>
        </w:tc>
        <w:tc>
          <w:tcPr>
            <w:tcW w:w="2900" w:type="dxa"/>
            <w:vAlign w:val="bottom"/>
          </w:tcPr>
          <w:p>
            <w:pPr>
              <w:jc w:val="center"/>
              <w:ind w:right="382"/>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69"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350 Fifth Avenue, 20th Floor</w:t>
      </w:r>
    </w:p>
    <w:p>
      <w:pPr>
        <w:spacing w:after="0" w:line="31"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New York, NY 10118</w:t>
      </w:r>
    </w:p>
    <w:p>
      <w:pPr>
        <w:spacing w:after="0" w:line="9"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5"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(646) 710-3417</w:t>
      </w:r>
    </w:p>
    <w:p>
      <w:pPr>
        <w:spacing w:after="0" w:line="12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ind w:right="280" w:firstLine="405"/>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4660" w:type="dxa"/>
            <w:vAlign w:val="bottom"/>
            <w:tcBorders>
              <w:top w:val="single" w:sz="8" w:color="auto"/>
              <w:bottom w:val="single" w:sz="8" w:color="auto"/>
            </w:tcBorders>
          </w:tcPr>
          <w:p>
            <w:pPr>
              <w:jc w:val="center"/>
              <w:ind w:left="388"/>
              <w:spacing w:after="0" w:line="155" w:lineRule="exact"/>
              <w:rPr>
                <w:sz w:val="20"/>
                <w:szCs w:val="20"/>
                <w:color w:val="auto"/>
              </w:rPr>
            </w:pPr>
            <w:r>
              <w:rPr>
                <w:rFonts w:ascii="Times New Roman" w:cs="Times New Roman" w:eastAsia="Times New Roman" w:hAnsi="Times New Roman"/>
                <w:sz w:val="14"/>
                <w:szCs w:val="14"/>
                <w:b w:val="1"/>
                <w:bCs w:val="1"/>
                <w:color w:val="auto"/>
              </w:rPr>
              <w:t>Class</w:t>
            </w:r>
          </w:p>
        </w:tc>
        <w:tc>
          <w:tcPr>
            <w:tcW w:w="2400" w:type="dxa"/>
            <w:vAlign w:val="bottom"/>
            <w:tcBorders>
              <w:top w:val="single" w:sz="8" w:color="auto"/>
              <w:bottom w:val="single" w:sz="8" w:color="auto"/>
            </w:tcBorders>
          </w:tcPr>
          <w:p>
            <w:pPr>
              <w:jc w:val="center"/>
              <w:ind w:left="108"/>
              <w:spacing w:after="0" w:line="155" w:lineRule="exact"/>
              <w:rPr>
                <w:sz w:val="20"/>
                <w:szCs w:val="20"/>
                <w:color w:val="auto"/>
              </w:rPr>
            </w:pPr>
            <w:r>
              <w:rPr>
                <w:rFonts w:ascii="Times New Roman" w:cs="Times New Roman" w:eastAsia="Times New Roman" w:hAnsi="Times New Roman"/>
                <w:sz w:val="14"/>
                <w:szCs w:val="14"/>
                <w:b w:val="1"/>
                <w:bCs w:val="1"/>
                <w:color w:val="auto"/>
              </w:rPr>
              <w:t>Trading symbol</w:t>
            </w:r>
          </w:p>
        </w:tc>
        <w:tc>
          <w:tcPr>
            <w:tcW w:w="4180" w:type="dxa"/>
            <w:vAlign w:val="bottom"/>
            <w:tcBorders>
              <w:top w:val="single" w:sz="8" w:color="auto"/>
              <w:bottom w:val="single" w:sz="8" w:color="auto"/>
            </w:tcBorders>
          </w:tcPr>
          <w:p>
            <w:pPr>
              <w:jc w:val="center"/>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0"/>
        </w:trPr>
        <w:tc>
          <w:tcPr>
            <w:tcW w:w="466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Common Stock, $0.01 par value per share</w:t>
            </w:r>
          </w:p>
        </w:tc>
        <w:tc>
          <w:tcPr>
            <w:tcW w:w="240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SSTK</w:t>
            </w:r>
          </w:p>
        </w:tc>
        <w:tc>
          <w:tcPr>
            <w:tcW w:w="41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bl>
    <w:p>
      <w:pPr>
        <w:spacing w:after="0" w:line="156" w:lineRule="exact"/>
        <w:rPr>
          <w:sz w:val="24"/>
          <w:szCs w:val="24"/>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500" w:right="20" w:hanging="492"/>
        <w:spacing w:after="0" w:line="282" w:lineRule="auto"/>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ind w:left="42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As previously reported in the Current Report on Form 8-K filed with the U.S. Securities and Exchange Commission (the “SEC”) by Shutterstock, Inc. (the “Company”) on June 23, 2023 (the “Initial Form 8-K”), the Company entered into a Stock Purchase Agreement with Meta Platforms, Inc. (“Meta”) dated May 22, 2023 (the “Purchase Agreement”) to purchase Giphy, Inc. (“Giphy”). On June 23, 2023, the Company completed its purchase of Giphy. The consideration payable by the Company pursuant to the Purchase Agreement was $53 million in net cash, in addition to cash acquired, assumed debt and other working capital adjustments.</w:t>
      </w:r>
    </w:p>
    <w:p>
      <w:pPr>
        <w:spacing w:after="0" w:line="291"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On August 31, 2023, the Company amended the Initial Form 8-K to include the financial statements required by Item 9.01(a) and the pro forma financial information required by Item 9.01(b) (the “Amended Form 8-K/A”).</w:t>
      </w:r>
    </w:p>
    <w:p>
      <w:pPr>
        <w:spacing w:after="0" w:line="270"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filing of a Registration Statement on Form S-3 by the Company on the date hereof, this Current Report on Form 8-K is being filed to provide updated unaudited pro forma condensed combined financial information for the nine months ended September 30, 2023 related to the Company’s acquisition of Giphy (the “Updated Pro Forma Financial Information”). The Updated Pro Forma Financial Information updates and supplements the unaudited pro forma condensed combined financial information of the Company and related disclosures contained in Exhibit 99.3 to the Amended Form 8-K/A. To the extent that information in this Current Report on Form 8-K differs from or updates information contained in the Amended Form 8-K/A , the information in this Current Report on Form 8-K shall supersede or supplement the information in the Amended Form 8-K/A.</w:t>
      </w:r>
    </w:p>
    <w:p>
      <w:pPr>
        <w:spacing w:after="0" w:line="295"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Updated Pro Forma Financial Information included in this Current Report on Form 8-K has been presented for informational purposes only, as required by Form S-3. It does not purport to represent the actual results or project future operating results of the Company following the acquisition of Giphy.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ind w:left="42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35" w:lineRule="exact"/>
        <w:rPr>
          <w:sz w:val="20"/>
          <w:szCs w:val="20"/>
          <w:color w:val="auto"/>
        </w:rPr>
      </w:pPr>
    </w:p>
    <w:p>
      <w:pPr>
        <w:ind w:left="1100" w:hanging="687"/>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227"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for the nine-months ended September 30, 2023 related to the Company’s acquisition of Giphy are attached as Exhibit 99.1 to this Form 8-K and incorporated herein by reference.</w:t>
      </w:r>
    </w:p>
    <w:p>
      <w:pPr>
        <w:spacing w:after="0" w:line="160" w:lineRule="exact"/>
        <w:rPr>
          <w:sz w:val="20"/>
          <w:szCs w:val="20"/>
          <w:color w:val="auto"/>
        </w:rPr>
      </w:pPr>
    </w:p>
    <w:p>
      <w:pPr>
        <w:ind w:left="1120" w:hanging="707"/>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14"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Number</w:t>
            </w:r>
          </w:p>
        </w:tc>
        <w:tc>
          <w:tcPr>
            <w:tcW w:w="8420" w:type="dxa"/>
            <w:vAlign w:val="bottom"/>
            <w:gridSpan w:val="3"/>
          </w:tcPr>
          <w:p>
            <w:pPr>
              <w:ind w:left="45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24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4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Unaudited pro forma condensed combined financial information for the nine months ended September 30, 2023</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4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Cover Page for Interactive Data File</w:t>
            </w:r>
          </w:p>
        </w:tc>
      </w:tr>
    </w:tbl>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Private Securities Litigation Reform Act of 1995. All statements other than statements of historical fact are forward-looking. Examples of forward-looking statements include, but are not limited to, statements regarding guidance, industry prospects, future business, future results of operations or financial condition, new or planned features, products or services, management strategies and our competitive position. You can identify forward-looking statements by words such as “may,” “will,” “would,” “should,” “could,” “expect,” “aim,” “anticipate,” “believe,” “estimate,” “intend,” “plan,” “predict,” “project,” “seek,”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those discussed under the caption “Risk Factors” in our most recent Annual Report on Form 10-K, as well as in other documents that the Company may file from time to time with the SEC. Factors related to the transactions discussed in this document that could cause actual results to differ materially from those contemplated by the forward-looking statements include: potential litigation relating to the transaction that could be instituted; the effects of disruption to our or the target’s respective businesses; our ability to achieve the benefits from the transaction, including monetization; our ability to effectively integrate the acquired operations into our operations; our ability to retain key target personnel; and the effects of any unknown liabilities. As a result of such risks, uncertainties and factors, the Company’s actual results may differ materially from any future results, performance or achievements discussed in or implied by the forward-looking statements contained in this Form 8-K. The forward-looking statements contained in this Form 8-K are made only as of this date and the Company assumes no obligation to update the information included in this press release or revise any forward-looking statements, whether as a result of new information, future developments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80" w:type="dxa"/>
            <w:vAlign w:val="bottom"/>
            <w:gridSpan w:val="2"/>
          </w:tcPr>
          <w:p>
            <w:pPr>
              <w:ind w:left="3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47"/>
        </w:trPr>
        <w:tc>
          <w:tcPr>
            <w:tcW w:w="17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80" w:type="dxa"/>
            <w:vAlign w:val="bottom"/>
            <w:gridSpan w:val="2"/>
          </w:tcPr>
          <w:p>
            <w:pPr>
              <w:ind w:left="42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392"/>
        </w:trPr>
        <w:tc>
          <w:tcPr>
            <w:tcW w:w="13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99.1</w:t>
            </w:r>
          </w:p>
        </w:tc>
        <w:tc>
          <w:tcPr>
            <w:tcW w:w="460" w:type="dxa"/>
            <w:vAlign w:val="bottom"/>
          </w:tcPr>
          <w:p>
            <w:pPr>
              <w:spacing w:after="0"/>
              <w:rPr>
                <w:sz w:val="24"/>
                <w:szCs w:val="24"/>
                <w:color w:val="auto"/>
              </w:rPr>
            </w:pPr>
          </w:p>
        </w:tc>
        <w:tc>
          <w:tcPr>
            <w:tcW w:w="806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information for the nine months ended September 30, 2023</w:t>
            </w:r>
          </w:p>
        </w:tc>
        <w:tc>
          <w:tcPr>
            <w:tcW w:w="1420" w:type="dxa"/>
            <w:vAlign w:val="bottom"/>
            <w:tcBorders>
              <w:top w:val="single" w:sz="8" w:color="auto"/>
            </w:tcBorders>
          </w:tcPr>
          <w:p>
            <w:pPr>
              <w:spacing w:after="0"/>
              <w:rPr>
                <w:sz w:val="24"/>
                <w:szCs w:val="24"/>
                <w:color w:val="auto"/>
              </w:rPr>
            </w:pPr>
          </w:p>
        </w:tc>
      </w:tr>
      <w:tr>
        <w:trPr>
          <w:trHeight w:val="453"/>
        </w:trPr>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83"/>
        </w:trPr>
        <w:tc>
          <w:tcPr>
            <w:tcW w:w="1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December 21, 2023</w:t>
      </w:r>
      <w:r>
        <w:rPr>
          <w:sz w:val="20"/>
          <w:szCs w:val="20"/>
          <w:color w:val="auto"/>
        </w:rPr>
        <w:tab/>
      </w:r>
      <w:r>
        <w:rPr>
          <w:rFonts w:ascii="Times New Roman" w:cs="Times New Roman" w:eastAsia="Times New Roman" w:hAnsi="Times New Roman"/>
          <w:sz w:val="17"/>
          <w:szCs w:val="17"/>
          <w:color w:val="auto"/>
        </w:rPr>
        <w:t>By: /s/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Jarrod Yahes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117" w:right="8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33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May 22, 2023, Shutterstock, Inc. (“Shutterstock” or the “Company”) entered into a Stock Purchase Agreement with Meta Platforms, Inc. (“Meta”) (the “Purchase Agreement”). On June 23, 2023, the Company completed its acquisition (the “Acquisition”) of all of the outstanding shares of Giphy, Inc. (“Giphy”) from Meta. The consideration payable by the Company pursuant to the Purchase Agreement was $53 million in net cash, in addition to cash acquired, assumed debt and other working capital adjustments.</w:t>
      </w:r>
    </w:p>
    <w:p>
      <w:pPr>
        <w:spacing w:after="0" w:line="180"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for the nine months ended September 30, 2023 were prepared as if the Acquisition had occurred on January 1, 2022, and is derived from the historical financial statements of Shutterstock and Giphy, and should be read in conjunction with Shutterstock’s consolidated financial statements included in its Quarterly Report on Form 10-Q filed with the Securities and Exchange Commission (the “SEC”) on October 31, 2023, Giphy’s unaudited condensed consolidated statement of operations for the period from January 1, 2023 through June 23, 2023 and Giphy’s unaudited condensed consolidated financial statements for the quarterly periods ended March 31, 2023 and 2022, which are included in the Company’s Current Report on Form 8-K/A filed with the SEC on August 31, 2023. For all periods after June 23, 2023 Giphy’s results were included in the Shutterstock consolidated financial statements. No unaudited pro forma condensed combined balance sheet is presented herein since the Acquisition is already reflected in the Company’s most recent consolidated balance sheet filed with the SEC.</w:t>
      </w:r>
    </w:p>
    <w:p>
      <w:pPr>
        <w:spacing w:after="0" w:line="8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for illustrative purposes only and are not necessarily indicative of the financial condition or results of operations of future periods or the financial condition or results of operations that would have been realized had the entities been a single entity as of or for the periods presented.</w:t>
      </w:r>
    </w:p>
    <w:p>
      <w:pPr>
        <w:spacing w:after="0" w:line="68"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Assumptions underlying the pro forma adjustments are described in the accompanying notes, which should be read in conjunction with the unaudited pro forma condensed combined financial information. The transaction accounting adjustments are based on available information and assumptions that the Company’s management believes are reasonable. Such adjustments are estimates and actual experience may differ from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jc w:val="center"/>
        <w:ind w:left="780" w:right="182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NINE MONTHS ENDED SEPTEMBER 30, 2023 (In thousands, except per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5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vMerge w:val="continue"/>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Shutterstock</w:t>
            </w:r>
          </w:p>
        </w:tc>
        <w:tc>
          <w:tcPr>
            <w:tcW w:w="44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5"/>
              </w:rPr>
              <w:t>Giphy</w:t>
            </w:r>
          </w:p>
        </w:tc>
        <w:tc>
          <w:tcPr>
            <w:tcW w:w="80" w:type="dxa"/>
            <w:vAlign w:val="bottom"/>
          </w:tcPr>
          <w:p>
            <w:pPr>
              <w:spacing w:after="0"/>
              <w:rPr>
                <w:sz w:val="19"/>
                <w:szCs w:val="19"/>
                <w:color w:val="auto"/>
              </w:rPr>
            </w:pP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4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657,368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7,151</w:t>
            </w:r>
          </w:p>
        </w:tc>
        <w:tc>
          <w:tcPr>
            <w:tcW w:w="9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4A</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256,798</w:t>
            </w:r>
          </w:p>
        </w:tc>
        <w:tc>
          <w:tcPr>
            <w:tcW w:w="4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2,538</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4"/>
              </w:rPr>
              <w:t>4B</w:t>
            </w: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152,084</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11,148</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(829)</w:t>
            </w:r>
          </w:p>
        </w:tc>
        <w:tc>
          <w:tcPr>
            <w:tcW w:w="9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4"/>
              </w:rPr>
              <w:t>4C</w:t>
            </w: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5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72,722</w:t>
            </w:r>
          </w:p>
        </w:tc>
        <w:tc>
          <w:tcPr>
            <w:tcW w:w="4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27,108</w:t>
            </w:r>
          </w:p>
        </w:tc>
        <w:tc>
          <w:tcPr>
            <w:tcW w:w="6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(20,293)</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4"/>
              </w:rPr>
              <w:t>4C</w:t>
            </w: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109,488</w:t>
            </w:r>
          </w:p>
        </w:tc>
        <w:tc>
          <w:tcPr>
            <w:tcW w:w="4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11,874</w:t>
            </w:r>
          </w:p>
        </w:tc>
        <w:tc>
          <w:tcPr>
            <w:tcW w:w="6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(6,559)</w:t>
            </w:r>
          </w:p>
        </w:tc>
        <w:tc>
          <w:tcPr>
            <w:tcW w:w="9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4B, 4C, 4D</w:t>
            </w: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tcPr>
          <w:p>
            <w:pPr>
              <w:ind w:left="42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591,092</w:t>
            </w:r>
          </w:p>
        </w:tc>
        <w:tc>
          <w:tcPr>
            <w:tcW w:w="6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50,130</w:t>
            </w:r>
          </w:p>
        </w:tc>
        <w:tc>
          <w:tcPr>
            <w:tcW w:w="8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(25,143)</w:t>
            </w:r>
          </w:p>
        </w:tc>
        <w:tc>
          <w:tcPr>
            <w:tcW w:w="6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616,079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 (loss) from operations</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32,294</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Bargain purchase gain</w:t>
            </w:r>
          </w:p>
        </w:tc>
        <w:tc>
          <w:tcPr>
            <w:tcW w:w="5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51,804</w:t>
            </w:r>
          </w:p>
        </w:tc>
        <w:tc>
          <w:tcPr>
            <w:tcW w:w="4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(51,804)</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4E</w:t>
            </w: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5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2,328</w:t>
            </w:r>
          </w:p>
        </w:tc>
        <w:tc>
          <w:tcPr>
            <w:tcW w:w="4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6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54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Income / (loss) before income taxes</w:t>
            </w:r>
          </w:p>
        </w:tc>
        <w:tc>
          <w:tcPr>
            <w:tcW w:w="5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120,408</w:t>
            </w:r>
          </w:p>
        </w:tc>
        <w:tc>
          <w:tcPr>
            <w:tcW w:w="6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(50,052)</w:t>
            </w:r>
          </w:p>
        </w:tc>
        <w:tc>
          <w:tcPr>
            <w:tcW w:w="8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(19,510)</w:t>
            </w:r>
          </w:p>
        </w:tc>
        <w:tc>
          <w:tcPr>
            <w:tcW w:w="6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50,846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9,133</w:t>
            </w:r>
          </w:p>
        </w:tc>
        <w:tc>
          <w:tcPr>
            <w:tcW w:w="4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7,104</w:t>
            </w:r>
          </w:p>
        </w:tc>
        <w:tc>
          <w:tcPr>
            <w:tcW w:w="9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4F</w:t>
            </w: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54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income / (loss)</w:t>
            </w:r>
          </w:p>
        </w:tc>
        <w:tc>
          <w:tcPr>
            <w:tcW w:w="5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111,275</w:t>
            </w:r>
          </w:p>
        </w:tc>
        <w:tc>
          <w:tcPr>
            <w:tcW w:w="60" w:type="dxa"/>
            <w:vAlign w:val="bottom"/>
            <w:tcBorders>
              <w:top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(50,052)</w:t>
            </w:r>
          </w:p>
        </w:tc>
        <w:tc>
          <w:tcPr>
            <w:tcW w:w="80" w:type="dxa"/>
            <w:vAlign w:val="bottom"/>
            <w:tcBorders>
              <w:top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(26,614)</w:t>
            </w:r>
          </w:p>
        </w:tc>
        <w:tc>
          <w:tcPr>
            <w:tcW w:w="6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40" w:type="dxa"/>
            <w:vAlign w:val="bottom"/>
          </w:tcPr>
          <w:p>
            <w:pPr>
              <w:ind w:left="180"/>
              <w:spacing w:after="0" w:line="190" w:lineRule="exact"/>
              <w:rPr>
                <w:sz w:val="20"/>
                <w:szCs w:val="20"/>
                <w:color w:val="auto"/>
              </w:rPr>
            </w:pPr>
            <w:r>
              <w:rPr>
                <w:rFonts w:ascii="Times New Roman" w:cs="Times New Roman" w:eastAsia="Times New Roman" w:hAnsi="Times New Roman"/>
                <w:sz w:val="18"/>
                <w:szCs w:val="18"/>
                <w:color w:val="auto"/>
              </w:rPr>
              <w:t>Diluted</w:t>
            </w:r>
          </w:p>
        </w:tc>
        <w:tc>
          <w:tcPr>
            <w:tcW w:w="580" w:type="dxa"/>
            <w:vAlign w:val="bottom"/>
            <w:tcBorders>
              <w:bottom w:val="single" w:sz="8" w:color="auto"/>
            </w:tcBorders>
          </w:tcPr>
          <w:p>
            <w:pPr>
              <w:jc w:val="right"/>
              <w:ind w:right="70"/>
              <w:spacing w:after="0" w:line="190"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3.06</w:t>
            </w:r>
          </w:p>
        </w:tc>
        <w:tc>
          <w:tcPr>
            <w:tcW w:w="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Borders>
              <w:bottom w:val="single" w:sz="8" w:color="auto"/>
            </w:tcBorders>
          </w:tcPr>
          <w:p>
            <w:pPr>
              <w:jc w:val="right"/>
              <w:ind w:right="90"/>
              <w:spacing w:after="0" w:line="190"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0.95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35,938</w:t>
            </w: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40" w:type="dxa"/>
            <w:vAlign w:val="bottom"/>
          </w:tcPr>
          <w:p>
            <w:pPr>
              <w:ind w:left="180"/>
              <w:spacing w:after="0" w:line="190" w:lineRule="exact"/>
              <w:rPr>
                <w:sz w:val="20"/>
                <w:szCs w:val="20"/>
                <w:color w:val="auto"/>
              </w:rPr>
            </w:pPr>
            <w:r>
              <w:rPr>
                <w:rFonts w:ascii="Times New Roman" w:cs="Times New Roman" w:eastAsia="Times New Roman" w:hAnsi="Times New Roman"/>
                <w:sz w:val="18"/>
                <w:szCs w:val="18"/>
                <w:color w:val="auto"/>
              </w:rPr>
              <w:t>Diluted</w:t>
            </w:r>
          </w:p>
        </w:tc>
        <w:tc>
          <w:tcPr>
            <w:tcW w:w="5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36,352</w:t>
            </w:r>
          </w:p>
        </w:tc>
        <w:tc>
          <w:tcPr>
            <w:tcW w:w="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36,352</w:t>
            </w:r>
          </w:p>
        </w:tc>
        <w:tc>
          <w:tcPr>
            <w:tcW w:w="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Pro Forma Presentation</w:t>
      </w:r>
    </w:p>
    <w:p>
      <w:pPr>
        <w:spacing w:after="0" w:line="337"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May 22, 2023, Shutterstock, Inc. (“Shutterstock” or the “Company”) entered into a Stock Purchase Agreement with Meta Platforms, Inc. (“Meta”) (the “Purchase Agreement”)to purchase all of the outstanding shares of Giphy, Inc. (“Giphy”) from Meta (the “Acquisition”). On June 23, 2023, the Company completed the Acquisition. The consideration payable by the Company pursuant to the Purchase Agreement was $53 million in net cash, in addition to cash acquired, assumed debt and other working capital adjustments. Giphy is a New York-based company that operates a collection of GIFs and stickers that supplies casual conversational content.</w:t>
      </w:r>
    </w:p>
    <w:p>
      <w:pPr>
        <w:spacing w:after="0" w:line="3" w:lineRule="exact"/>
        <w:rPr>
          <w:sz w:val="20"/>
          <w:szCs w:val="20"/>
          <w:color w:val="auto"/>
        </w:rPr>
      </w:pPr>
    </w:p>
    <w:p>
      <w:pPr>
        <w:ind w:right="320" w:firstLine="405"/>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for illustrative and informational purposes only and were prepared from the respective historical information of Shutterstock and Giphy and reflect adjustments to the historical information using the acquisition method of accounting.</w:t>
      </w:r>
    </w:p>
    <w:p>
      <w:pPr>
        <w:spacing w:after="0" w:line="7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nine months ended September 30, 2023 was prepared as if the Acquisition had occurred on January 1, 2022, and is derived from Shutterstock’s consolidated financial statements included in its Quarterly Report on Form 10-Q filed with the SEC on October 31, 2023, Giphy’s unaudited condensed consolidated statement of operations for the period from January 1, 2023 through June 23, 2023 and Giphy’s unaudited condensed consolidated financial statements for the quarterly periods ended March 31, 2023 and 2022, which are included in the Company’s Current Report on Form 8-K/A filed with the SEC on August 31, 2023. For all periods after June 23, 2023 Giphy’s results were included in the Shutterstock consolidated financial statements.</w:t>
      </w:r>
    </w:p>
    <w:p>
      <w:pPr>
        <w:spacing w:after="0" w:line="7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Shutterstock’s results of operations would have been had the transaction occurred January 1, 2022, nor is it necessarily indicative of what the results of operations of the combined company will be in future periods. The historical financial information has been adjusted to reflect transaction related adjustments that management believes are necessary to present fairly Shutterstock’s pro forma results of operations following the closing of the transaction for the period indicated. Additionally, the unaudited pro forma condensed combined statement of operations does not reflect any benefits that may result from potential revenue enhancements, anticipated cost savings and expense efficiencies or other synergies that may be achieved from the Acquisition.</w:t>
      </w:r>
    </w:p>
    <w:p>
      <w:pPr>
        <w:spacing w:after="0" w:line="79"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pro forma adjustments are based on certain estimates and assumptions. The actual adjustments and the allocation of the final purchase price will depend on several factors, including additional financial information and completion of the determination of fair value of assets and liabilities of Giphy as of the purchase date. Therefore, the actual adjustments will differ from the pro forma adjustments, and it is possible that the differences may be material.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Giphy Acquisition Consideration</w:t>
      </w:r>
    </w:p>
    <w:p>
      <w:pPr>
        <w:spacing w:after="0" w:line="229" w:lineRule="exact"/>
        <w:rPr>
          <w:sz w:val="20"/>
          <w:szCs w:val="20"/>
          <w:color w:val="auto"/>
        </w:rPr>
      </w:pPr>
    </w:p>
    <w:p>
      <w:pPr>
        <w:ind w:right="80" w:firstLine="405"/>
        <w:spacing w:after="0" w:line="263" w:lineRule="auto"/>
        <w:rPr>
          <w:sz w:val="20"/>
          <w:szCs w:val="20"/>
          <w:color w:val="auto"/>
        </w:rPr>
      </w:pPr>
      <w:r>
        <w:rPr>
          <w:rFonts w:ascii="Times New Roman" w:cs="Times New Roman" w:eastAsia="Times New Roman" w:hAnsi="Times New Roman"/>
          <w:sz w:val="18"/>
          <w:szCs w:val="18"/>
          <w:color w:val="auto"/>
        </w:rPr>
        <w:t>In January 2023, the United Kingdom Competition and Markets Authority (the “CMA”) issued its final order requiring Meta to divest its ownership of Giphy, which Meta acquired in 2020. In connection with the closing of the Acquisition, whose terms were preapproved by the CMA, the Company and Meta entered into a transitional services agreement (the “TSA”) pursuant to which Meta is responsible for certain costs related to retention of Giphy employees, including (i) recurring salary, bonus, and benefits through August 2024, which would be $35.6 million if all employees are retained through August 2024, and (ii) nonrecurring items, totaling $87.9 million, comprised of one-time employment inducement bonuses and the cash value of unvested Meta equity awards (the “Giphy Retention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The Giphy Retention Compensation will be paid to the individuals for being employees of the Company after the completion of the Acquisition. Accordingly, it was determined that the payments by the Company are for future service requirements and will be reflected as operating expenses, less any amounts earned by the employees prior to the Acquisition as pre-combination service, in the Company’s Statements of Operations as incurred. The pro-forma adjustments reflect the change in the historical compensation costs expected to be incurred from the Acquisition date, as if it had occurred on January 1, 2022. If the Giphy employees are no longer employed by the Company, the full amount of the Giphy Retention Compensation may not be paid or recognized as expense.</w:t>
      </w:r>
    </w:p>
    <w:p>
      <w:pPr>
        <w:spacing w:after="0" w:line="79"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In addition, upon closing of the Acquisition, the Company also entered into an agreement with Meta whereby the Company will provide Meta with Giphy content through API services for a period of two years. To reflect this customer arrangement at fair value, the Company allocated and deferred $30 million of the Acquisition proceeds to the API services agreement.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Giphy purchase price, which will result in net cash to be received by the Company, is as follows (in thousands):</w:t>
            </w: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85"/>
        </w:trPr>
        <w:tc>
          <w:tcPr>
            <w:tcW w:w="952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Purchase Price</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8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w:t>
            </w:r>
          </w:p>
        </w:tc>
      </w:tr>
      <w:tr>
        <w:trPr>
          <w:trHeight w:val="223"/>
        </w:trPr>
        <w:tc>
          <w:tcPr>
            <w:tcW w:w="9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acquired and other working capital adjustments</w:t>
            </w:r>
          </w:p>
        </w:tc>
        <w:tc>
          <w:tcPr>
            <w:tcW w:w="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on closing</w:t>
            </w:r>
          </w:p>
        </w:tc>
        <w:tc>
          <w:tcPr>
            <w:tcW w:w="8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57,750</w:t>
            </w:r>
          </w:p>
        </w:tc>
      </w:tr>
    </w:tbl>
    <w:p>
      <w:pPr>
        <w:spacing w:after="0" w:line="188" w:lineRule="exact"/>
        <w:rPr>
          <w:sz w:val="20"/>
          <w:szCs w:val="20"/>
          <w:color w:val="auto"/>
        </w:rPr>
      </w:pPr>
    </w:p>
    <w:p>
      <w:pPr>
        <w:sectPr>
          <w:pgSz w:w="11900" w:h="16838" w:orient="portrait"/>
          <w:cols w:equalWidth="0" w:num="1">
            <w:col w:w="11240"/>
          </w:cols>
          <w:pgMar w:left="320" w:top="121" w:right="339" w:bottom="1440" w:gutter="0" w:footer="0" w:header="0"/>
        </w:sectPr>
      </w:pPr>
    </w:p>
    <w:p>
      <w:pPr>
        <w:ind w:right="4019"/>
        <w:spacing w:after="0" w:line="227" w:lineRule="auto"/>
        <w:rPr>
          <w:sz w:val="20"/>
          <w:szCs w:val="20"/>
          <w:color w:val="auto"/>
        </w:rPr>
      </w:pPr>
      <w:r>
        <w:rPr>
          <w:rFonts w:ascii="Times New Roman" w:cs="Times New Roman" w:eastAsia="Times New Roman" w:hAnsi="Times New Roman"/>
          <w:sz w:val="17"/>
          <w:szCs w:val="17"/>
          <w:color w:val="auto"/>
        </w:rPr>
        <w:t>Fair value of Giphy Retention Compensation contingent consideration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Fair value of consideration attributable to pre-combination service</w:t>
      </w:r>
      <w:r>
        <w:rPr>
          <w:rFonts w:ascii="Times New Roman" w:cs="Times New Roman" w:eastAsia="Times New Roman" w:hAnsi="Times New Roman"/>
          <w:sz w:val="28"/>
          <w:szCs w:val="2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purchase price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(98,723)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34,972</w:t>
      </w:r>
    </w:p>
    <w:p>
      <w:pPr>
        <w:spacing w:after="0" w:line="234" w:lineRule="exact"/>
        <w:rPr>
          <w:sz w:val="20"/>
          <w:szCs w:val="20"/>
          <w:color w:val="auto"/>
        </w:rPr>
      </w:pPr>
    </w:p>
    <w:p>
      <w:pPr>
        <w:ind w:left="841" w:hanging="841"/>
        <w:spacing w:after="0"/>
        <w:tabs>
          <w:tab w:leader="none" w:pos="84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24765</wp:posOffset>
            </wp:positionV>
            <wp:extent cx="10972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9159" w:space="720"/>
            <w:col w:w="1361"/>
          </w:cols>
          <w:pgMar w:left="320" w:top="121" w:right="339" w:bottom="1440" w:gutter="0" w:footer="0" w:header="0"/>
          <w:type w:val="continuous"/>
        </w:sectPr>
      </w:pPr>
    </w:p>
    <w:p>
      <w:pPr>
        <w:ind w:right="660"/>
        <w:spacing w:after="0" w:line="233" w:lineRule="auto"/>
        <w:rPr>
          <w:sz w:val="20"/>
          <w:szCs w:val="20"/>
          <w:color w:val="auto"/>
        </w:rPr>
      </w:pPr>
      <w:r>
        <w:rPr>
          <w:rFonts w:ascii="Times New Roman" w:cs="Times New Roman" w:eastAsia="Times New Roman" w:hAnsi="Times New Roman"/>
          <w:sz w:val="14"/>
          <w:szCs w:val="14"/>
          <w:color w:val="auto"/>
        </w:rPr>
        <w:t>1 — This amount consists of $123.5 million of Giphy Retention Compensation, adjusted for $18.9 million of income tax obligations associated with the receipt of the Giphy Retention Compensation and $5.9 million for the time value of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-191770</wp:posOffset>
            </wp:positionV>
            <wp:extent cx="10972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2 — Relates to the cash value of replaced unvested Meta equity awards attributable to pre-combination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Preliminary Fair Value Allocation of Assets Acquired and Liabilities Assumed</w:t>
      </w:r>
    </w:p>
    <w:p>
      <w:pPr>
        <w:spacing w:after="0" w:line="243" w:lineRule="exact"/>
        <w:rPr>
          <w:sz w:val="20"/>
          <w:szCs w:val="20"/>
          <w:color w:val="auto"/>
        </w:rPr>
      </w:pPr>
    </w:p>
    <w:p>
      <w:pPr>
        <w:ind w:right="440" w:firstLine="405"/>
        <w:spacing w:after="0" w:line="266" w:lineRule="auto"/>
        <w:rPr>
          <w:sz w:val="20"/>
          <w:szCs w:val="20"/>
          <w:color w:val="auto"/>
        </w:rPr>
      </w:pPr>
      <w:r>
        <w:rPr>
          <w:rFonts w:ascii="Times New Roman" w:cs="Times New Roman" w:eastAsia="Times New Roman" w:hAnsi="Times New Roman"/>
          <w:sz w:val="18"/>
          <w:szCs w:val="18"/>
          <w:color w:val="auto"/>
        </w:rPr>
        <w:t>The preliminary fair value of consideration transferred in the Acquisition has been allocated to the intangible and tangible assets acquired and liabilities assumed at the Acquisition date, with the excess of the fair value of the net assets acquired over the net consideration received recorded as a bargain purchase gain. The identifiable intangible assets of these acquisitions are being amortized on a straight-line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6"/>
        </w:trPr>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 and liabilities assumed:</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As of September 30, 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180" w:type="dxa"/>
            <w:vAlign w:val="bottom"/>
            <w:tcBorders>
              <w:top w:val="single" w:sz="8" w:color="auto"/>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Right of use assets</w:t>
            </w:r>
          </w:p>
        </w:tc>
        <w:tc>
          <w:tcPr>
            <w:tcW w:w="10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Trade name</w:t>
            </w:r>
          </w:p>
        </w:tc>
        <w:tc>
          <w:tcPr>
            <w:tcW w:w="10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2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Developed technology</w:t>
            </w:r>
          </w:p>
        </w:tc>
        <w:tc>
          <w:tcPr>
            <w:tcW w:w="10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240" w:type="dxa"/>
            <w:vAlign w:val="bottom"/>
            <w:gridSpan w:val="2"/>
          </w:tcPr>
          <w:p>
            <w:pPr>
              <w:ind w:left="220"/>
              <w:spacing w:after="0" w:line="203" w:lineRule="exact"/>
              <w:rPr>
                <w:sz w:val="20"/>
                <w:szCs w:val="20"/>
                <w:color w:val="auto"/>
              </w:rPr>
            </w:pPr>
            <w:r>
              <w:rPr>
                <w:rFonts w:ascii="Times New Roman" w:cs="Times New Roman" w:eastAsia="Times New Roman" w:hAnsi="Times New Roman"/>
                <w:sz w:val="18"/>
                <w:szCs w:val="18"/>
                <w:color w:val="auto"/>
              </w:rPr>
              <w:t>Intangible assets</w:t>
            </w:r>
          </w:p>
        </w:tc>
        <w:tc>
          <w:tcPr>
            <w:tcW w:w="10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Lease liability</w:t>
            </w:r>
          </w:p>
        </w:tc>
        <w:tc>
          <w:tcPr>
            <w:tcW w:w="1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9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24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assets acquired</w:t>
            </w:r>
          </w:p>
        </w:tc>
        <w:tc>
          <w:tcPr>
            <w:tcW w:w="102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purchase price</w:t>
            </w:r>
          </w:p>
        </w:tc>
        <w:tc>
          <w:tcPr>
            <w:tcW w:w="10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Bargain purchase gain</w:t>
            </w: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The fair value adjustments are preliminary and based on estimates of the fair value and useful lives of the assets and liabilities assumed as of September 30, 2023 and have been prepared to illustrate the effect of the Acquisition. Accordingly, the pro forma purchase price allocation may be subject to further adjustments as additional information becomes available and as additional analyses and final valuations are completed. The final adjustments could be materially different from those reflected herein. The identifiable intangible assets, which include developed technology and the trade name have weighted average useful lives of approximately 4.0 years and 15.0 years, respectively. The fair value of the developed technology was determined using the cost to recreate method, and the fair value of the trade name was determined using the relief-from-royalty method.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Summary Accumulation of Other Pro Forma Adjustments</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following pro forma adjustments result from the Acquisition assuming it occurred on January 1, 2022, and adjusted operating results for the period from January 1, 2023, through June 23, 2023. Operating activity for the period from June 24, 2023, through September 30, 2023 have been reflected in the Company’s condensed consolidated financial statements filed with the SEC on October 31, 2023.</w:t>
      </w:r>
    </w:p>
    <w:p>
      <w:pPr>
        <w:spacing w:after="0" w:line="245" w:lineRule="exact"/>
        <w:rPr>
          <w:sz w:val="20"/>
          <w:szCs w:val="20"/>
          <w:color w:val="auto"/>
        </w:rPr>
      </w:pPr>
    </w:p>
    <w:p>
      <w:pPr>
        <w:jc w:val="center"/>
        <w:ind w:left="740" w:right="240"/>
        <w:spacing w:after="0" w:line="261" w:lineRule="auto"/>
        <w:tabs>
          <w:tab w:leader="none" w:pos="3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To record $7.1 million for the period from January 1, 2023 through June 23, 2023  representing the allocation of the $30 million of Acquisition consideration to the API services agreement, which was deferred on the date of acquisition and will be recorded as revenue.  See Note 2.</w:t>
      </w:r>
    </w:p>
    <w:p>
      <w:pPr>
        <w:ind w:left="660" w:hanging="490"/>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recorded in connection with purchase accounting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line="196" w:lineRule="auto"/>
        <w:framePr w:w="1880" w:h="160" w:wrap="auto" w:vAnchor="page" w:hAnchor="page" w:x="9540" w:y="1708"/>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Period from January 1,</w:t>
      </w:r>
    </w:p>
    <w:p>
      <w:pPr>
        <w:spacing w:after="0" w:line="196" w:lineRule="auto"/>
        <w:framePr w:w="2180" w:h="160" w:wrap="auto" w:vAnchor="page" w:hAnchor="page" w:x="9400" w:y="1924"/>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2023 through June 23, 2023</w:t>
      </w:r>
    </w:p>
    <w:p>
      <w:pPr>
        <w:spacing w:after="0" w:line="196" w:lineRule="auto"/>
        <w:framePr w:w="460" w:h="160" w:wrap="auto" w:vAnchor="page" w:hAnchor="page" w:x="11140" w:y="2167"/>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(829)</w:t>
      </w:r>
    </w:p>
    <w:p>
      <w:pPr>
        <w:spacing w:after="0" w:line="185" w:lineRule="auto"/>
        <w:framePr w:w="700" w:h="160" w:wrap="auto" w:vAnchor="page" w:hAnchor="page" w:x="10900" w:y="2383"/>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(20,293)</w:t>
      </w:r>
    </w:p>
    <w:p>
      <w:pPr>
        <w:spacing w:after="0" w:line="196" w:lineRule="auto"/>
        <w:framePr w:w="600" w:h="160" w:wrap="auto" w:vAnchor="page" w:hAnchor="page" w:x="11000" w:y="2599"/>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(4,251)</w:t>
      </w: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Period from January 1, 2023</w:t>
            </w:r>
          </w:p>
        </w:tc>
      </w:tr>
      <w:tr>
        <w:trPr>
          <w:trHeight w:val="245"/>
        </w:trPr>
        <w:tc>
          <w:tcPr>
            <w:tcW w:w="9020" w:type="dxa"/>
            <w:vAlign w:val="bottom"/>
            <w:tcBorders>
              <w:bottom w:val="single" w:sz="8" w:color="CCEEFF"/>
            </w:tcBorders>
          </w:tcPr>
          <w:p>
            <w:pPr>
              <w:spacing w:after="0"/>
              <w:rPr>
                <w:sz w:val="21"/>
                <w:szCs w:val="21"/>
                <w:color w:val="auto"/>
              </w:rPr>
            </w:pPr>
          </w:p>
        </w:tc>
        <w:tc>
          <w:tcPr>
            <w:tcW w:w="2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through June 23, 2023</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r>
      <w:tr>
        <w:trPr>
          <w:trHeight w:val="234"/>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bl>
    <w:p>
      <w:pPr>
        <w:spacing w:after="0" w:line="206" w:lineRule="exact"/>
        <w:rPr>
          <w:rFonts w:ascii="Times New Roman" w:cs="Times New Roman" w:eastAsia="Times New Roman" w:hAnsi="Times New Roman"/>
          <w:sz w:val="17"/>
          <w:szCs w:val="17"/>
          <w:b w:val="1"/>
          <w:bCs w:val="1"/>
          <w:u w:val="single" w:color="auto"/>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Adjustments to compensation expense resulting from the Giphy Retention Compensation arrangements executed at the closing of the Acquisition.</w:t>
      </w:r>
    </w:p>
    <w:p>
      <w:pPr>
        <w:spacing w:after="0" w:line="27" w:lineRule="exact"/>
        <w:rPr>
          <w:rFonts w:ascii="Times New Roman" w:cs="Times New Roman" w:eastAsia="Times New Roman" w:hAnsi="Times New Roman"/>
          <w:sz w:val="17"/>
          <w:szCs w:val="17"/>
          <w:b w:val="1"/>
          <w:bCs w:val="1"/>
          <w:u w:val="single" w:color="auto"/>
          <w:color w:val="auto"/>
        </w:rPr>
      </w:pPr>
    </w:p>
    <w:p>
      <w:pPr>
        <w:ind w:left="660" w:hanging="490"/>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w:t>
      </w:r>
    </w:p>
    <w:p>
      <w:pPr>
        <w:spacing w:after="0" w:line="200" w:lineRule="exact"/>
        <w:rPr>
          <w:rFonts w:ascii="Times New Roman" w:cs="Times New Roman" w:eastAsia="Times New Roman" w:hAnsi="Times New Roman"/>
          <w:sz w:val="17"/>
          <w:szCs w:val="17"/>
          <w:b w:val="1"/>
          <w:bCs w:val="1"/>
          <w:u w:val="single" w:color="auto"/>
          <w:color w:val="auto"/>
        </w:rPr>
      </w:pPr>
    </w:p>
    <w:p>
      <w:pPr>
        <w:spacing w:after="0" w:line="250" w:lineRule="exact"/>
        <w:rPr>
          <w:rFonts w:ascii="Times New Roman" w:cs="Times New Roman" w:eastAsia="Times New Roman" w:hAnsi="Times New Roman"/>
          <w:sz w:val="17"/>
          <w:szCs w:val="17"/>
          <w:b w:val="1"/>
          <w:bCs w:val="1"/>
          <w:u w:val="single" w:color="auto"/>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0" w:lineRule="exact"/>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rFonts w:ascii="Times New Roman" w:cs="Times New Roman" w:eastAsia="Times New Roman" w:hAnsi="Times New Roman"/>
          <w:sz w:val="17"/>
          <w:szCs w:val="17"/>
          <w:b w:val="1"/>
          <w:bCs w:val="1"/>
          <w:u w:val="single" w:color="auto"/>
          <w:color w:val="auto"/>
        </w:rPr>
      </w:pPr>
    </w:p>
    <w:p>
      <w:pPr>
        <w:spacing w:after="0"/>
        <w:rPr>
          <w:sz w:val="20"/>
          <w:szCs w:val="20"/>
          <w:color w:val="auto"/>
        </w:rPr>
      </w:pPr>
      <w:r>
        <w:rPr>
          <w:rFonts w:ascii="Times New Roman" w:cs="Times New Roman" w:eastAsia="Times New Roman" w:hAnsi="Times New Roman"/>
          <w:sz w:val="18"/>
          <w:szCs w:val="18"/>
          <w:color w:val="auto"/>
        </w:rPr>
        <w:t>Product development</w:t>
      </w:r>
    </w:p>
    <w:p>
      <w:pPr>
        <w:spacing w:after="0" w:line="20" w:lineRule="exact"/>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rFonts w:ascii="Times New Roman" w:cs="Times New Roman" w:eastAsia="Times New Roman" w:hAnsi="Times New Roman"/>
          <w:sz w:val="17"/>
          <w:szCs w:val="17"/>
          <w:b w:val="1"/>
          <w:bCs w:val="1"/>
          <w:u w:val="single" w:color="auto"/>
          <w:color w:val="auto"/>
        </w:rPr>
      </w:pPr>
    </w:p>
    <w:p>
      <w:pPr>
        <w:ind w:left="660" w:hanging="49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remove $3.0 million of transaction costs (e.g. attorneys, bankers, etc.) related to the Giphy Acquisition recorded in 2023.</w:t>
      </w:r>
    </w:p>
    <w:p>
      <w:pPr>
        <w:spacing w:after="0" w:line="22"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removal of bargain purchase gain of $51.8 million, which was calculated as of the Acquisition date.</w:t>
      </w:r>
    </w:p>
    <w:p>
      <w:pPr>
        <w:spacing w:after="0" w:line="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income tax impact of the Transaction Accounting Adjustments, using the statutory tax rate.</w:t>
      </w:r>
    </w:p>
    <w:p>
      <w:pPr>
        <w:spacing w:after="0" w:line="20" w:lineRule="exact"/>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upperLetter"/>
      <w:start w:val="2"/>
    </w:lvl>
  </w:abstractNum>
  <w:abstractNum w:abstractNumId="6">
    <w:nsid w:val="79E2A9E3"/>
    <w:multiLevelType w:val="hybridMultilevel"/>
    <w:lvl w:ilvl="0">
      <w:lvlJc w:val="left"/>
      <w:lvlText w:val="%1."/>
      <w:numFmt w:val="upperLetter"/>
      <w:start w:val="3"/>
    </w:lvl>
  </w:abstractNum>
  <w:abstractNum w:abstractNumId="7">
    <w:nsid w:val="7545E146"/>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2023-12-21T15:53:03Z</dcterms:created>
  <dcterms:modified xsi:type="dcterms:W3CDTF">2023-12-21T15:53:03Z</dcterms:modified>
</cp:coreProperties>
</file>