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8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149860</wp:posOffset>
            </wp:positionH>
            <wp:positionV relativeFrom="page">
              <wp:posOffset>632460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548640</wp:posOffset>
            </wp:positionV>
            <wp:extent cx="726122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15240"/>
                    </a:xfrm>
                    <a:prstGeom prst="rect">
                      <a:avLst/>
                    </a:prstGeom>
                    <a:noFill/>
                  </pic:spPr>
                </pic:pic>
              </a:graphicData>
            </a:graphic>
          </wp:anchor>
        </w:drawing>
        <w:t>UNITED STATES</w:t>
      </w:r>
    </w:p>
    <w:p>
      <w:pPr>
        <w:spacing w:after="0" w:line="99" w:lineRule="exact"/>
        <w:rPr>
          <w:sz w:val="24"/>
          <w:szCs w:val="24"/>
          <w:color w:val="auto"/>
        </w:rPr>
      </w:pPr>
    </w:p>
    <w:p>
      <w:pPr>
        <w:jc w:val="center"/>
        <w:ind w:left="380"/>
        <w:spacing w:after="0"/>
        <w:rPr>
          <w:sz w:val="20"/>
          <w:szCs w:val="20"/>
          <w:color w:val="auto"/>
        </w:rPr>
      </w:pPr>
      <w:r>
        <w:rPr>
          <w:rFonts w:ascii="Arial" w:cs="Arial" w:eastAsia="Arial" w:hAnsi="Arial"/>
          <w:sz w:val="26"/>
          <w:szCs w:val="26"/>
          <w:b w:val="1"/>
          <w:bCs w:val="1"/>
          <w:color w:val="auto"/>
        </w:rPr>
        <w:t>SECURITIES AND EXCHANGE COMMISSION</w:t>
      </w:r>
    </w:p>
    <w:p>
      <w:pPr>
        <w:spacing w:after="0" w:line="113" w:lineRule="exact"/>
        <w:rPr>
          <w:sz w:val="24"/>
          <w:szCs w:val="24"/>
          <w:color w:val="auto"/>
        </w:rPr>
      </w:pPr>
    </w:p>
    <w:p>
      <w:pPr>
        <w:ind w:left="50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154305</wp:posOffset>
            </wp:positionV>
            <wp:extent cx="3883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240665</wp:posOffset>
            </wp:positionV>
            <wp:extent cx="38836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70" w:lineRule="exact"/>
        <w:rPr>
          <w:sz w:val="24"/>
          <w:szCs w:val="24"/>
          <w:color w:val="auto"/>
        </w:rPr>
      </w:pPr>
    </w:p>
    <w:p>
      <w:pPr>
        <w:jc w:val="center"/>
        <w:ind w:right="-198"/>
        <w:spacing w:after="0"/>
        <w:rPr>
          <w:sz w:val="20"/>
          <w:szCs w:val="20"/>
          <w:color w:val="auto"/>
        </w:rPr>
      </w:pPr>
      <w:r>
        <w:rPr>
          <w:rFonts w:ascii="Arial" w:cs="Arial" w:eastAsia="Arial" w:hAnsi="Arial"/>
          <w:sz w:val="19"/>
          <w:szCs w:val="19"/>
          <w:b w:val="1"/>
          <w:bCs w:val="1"/>
          <w:color w:val="auto"/>
        </w:rPr>
        <w:t>CURRENT REPORT</w:t>
      </w:r>
    </w:p>
    <w:p>
      <w:pPr>
        <w:spacing w:after="0" w:line="19" w:lineRule="exact"/>
        <w:rPr>
          <w:sz w:val="24"/>
          <w:szCs w:val="24"/>
          <w:color w:val="auto"/>
        </w:rPr>
      </w:pPr>
    </w:p>
    <w:p>
      <w:pPr>
        <w:jc w:val="center"/>
        <w:ind w:right="-198"/>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198"/>
        <w:spacing w:after="0"/>
        <w:rPr>
          <w:sz w:val="20"/>
          <w:szCs w:val="20"/>
          <w:color w:val="auto"/>
        </w:rPr>
      </w:pPr>
      <w:r>
        <w:rPr>
          <w:rFonts w:ascii="Arial" w:cs="Arial" w:eastAsia="Arial" w:hAnsi="Arial"/>
          <w:sz w:val="19"/>
          <w:szCs w:val="19"/>
          <w:b w:val="1"/>
          <w:bCs w:val="1"/>
          <w:color w:val="auto"/>
        </w:rPr>
        <w:t>Securities Exchange Act of 1934</w:t>
      </w:r>
    </w:p>
    <w:p>
      <w:pPr>
        <w:spacing w:after="0" w:line="33" w:lineRule="exact"/>
        <w:rPr>
          <w:sz w:val="24"/>
          <w:szCs w:val="24"/>
          <w:color w:val="auto"/>
        </w:rPr>
      </w:pPr>
    </w:p>
    <w:p>
      <w:pPr>
        <w:jc w:val="center"/>
        <w:ind w:right="-118"/>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August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836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55" w:lineRule="exact"/>
        <w:rPr>
          <w:sz w:val="24"/>
          <w:szCs w:val="24"/>
          <w:color w:val="auto"/>
        </w:rPr>
      </w:pPr>
    </w:p>
    <w:p>
      <w:pPr>
        <w:jc w:val="center"/>
        <w:ind w:right="-198"/>
        <w:spacing w:after="0"/>
        <w:rPr>
          <w:sz w:val="20"/>
          <w:szCs w:val="20"/>
          <w:color w:val="auto"/>
        </w:rPr>
      </w:pPr>
      <w:r>
        <w:rPr>
          <w:rFonts w:ascii="Arial" w:cs="Arial" w:eastAsia="Arial" w:hAnsi="Arial"/>
          <w:sz w:val="29"/>
          <w:szCs w:val="29"/>
          <w:b w:val="1"/>
          <w:bCs w:val="1"/>
          <w:color w:val="auto"/>
        </w:rPr>
        <w:t>Shutterstock, Inc.</w:t>
      </w:r>
    </w:p>
    <w:p>
      <w:pPr>
        <w:spacing w:after="0" w:line="30" w:lineRule="exact"/>
        <w:rPr>
          <w:sz w:val="24"/>
          <w:szCs w:val="24"/>
          <w:color w:val="auto"/>
        </w:rPr>
      </w:pPr>
    </w:p>
    <w:p>
      <w:pPr>
        <w:jc w:val="center"/>
        <w:ind w:right="-158"/>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142875</wp:posOffset>
            </wp:positionV>
            <wp:extent cx="38836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1019" w:type="dxa"/>
        <w:tblCellMar>
          <w:top w:w="0" w:type="dxa"/>
          <w:left w:w="0" w:type="dxa"/>
          <w:bottom w:w="0" w:type="dxa"/>
          <w:right w:w="0" w:type="dxa"/>
        </w:tblCellMar>
      </w:tblPr>
      <w:tr>
        <w:trPr>
          <w:trHeight w:val="209"/>
        </w:trPr>
        <w:tc>
          <w:tcPr>
            <w:tcW w:w="2820" w:type="dxa"/>
            <w:vAlign w:val="bottom"/>
          </w:tcPr>
          <w:p>
            <w:pPr>
              <w:jc w:val="center"/>
              <w:ind w:right="1390"/>
              <w:spacing w:after="0"/>
              <w:rPr>
                <w:sz w:val="20"/>
                <w:szCs w:val="20"/>
                <w:color w:val="auto"/>
              </w:rPr>
            </w:pPr>
            <w:r>
              <w:rPr>
                <w:rFonts w:ascii="Arial" w:cs="Arial" w:eastAsia="Arial" w:hAnsi="Arial"/>
                <w:sz w:val="16"/>
                <w:szCs w:val="16"/>
                <w:b w:val="1"/>
                <w:bCs w:val="1"/>
                <w:color w:val="auto"/>
                <w:w w:val="91"/>
              </w:rPr>
              <w:t>Delaware</w:t>
            </w:r>
          </w:p>
        </w:tc>
        <w:tc>
          <w:tcPr>
            <w:tcW w:w="3740" w:type="dxa"/>
            <w:vAlign w:val="bottom"/>
          </w:tcPr>
          <w:p>
            <w:pPr>
              <w:ind w:left="1460"/>
              <w:spacing w:after="0"/>
              <w:rPr>
                <w:sz w:val="20"/>
                <w:szCs w:val="20"/>
                <w:color w:val="auto"/>
              </w:rPr>
            </w:pPr>
            <w:r>
              <w:rPr>
                <w:rFonts w:ascii="Arial" w:cs="Arial" w:eastAsia="Arial" w:hAnsi="Arial"/>
                <w:sz w:val="16"/>
                <w:szCs w:val="16"/>
                <w:b w:val="1"/>
                <w:bCs w:val="1"/>
                <w:color w:val="auto"/>
              </w:rPr>
              <w:t>001-35669</w:t>
            </w:r>
          </w:p>
        </w:tc>
        <w:tc>
          <w:tcPr>
            <w:tcW w:w="2540" w:type="dxa"/>
            <w:vAlign w:val="bottom"/>
          </w:tcPr>
          <w:p>
            <w:pPr>
              <w:jc w:val="center"/>
              <w:ind w:left="1530"/>
              <w:spacing w:after="0"/>
              <w:rPr>
                <w:sz w:val="20"/>
                <w:szCs w:val="20"/>
                <w:color w:val="auto"/>
              </w:rPr>
            </w:pPr>
            <w:r>
              <w:rPr>
                <w:rFonts w:ascii="Arial" w:cs="Arial" w:eastAsia="Arial" w:hAnsi="Arial"/>
                <w:sz w:val="16"/>
                <w:szCs w:val="16"/>
                <w:b w:val="1"/>
                <w:bCs w:val="1"/>
                <w:color w:val="auto"/>
                <w:w w:val="91"/>
              </w:rPr>
              <w:t>80-0812659</w:t>
            </w:r>
          </w:p>
        </w:tc>
      </w:tr>
      <w:tr>
        <w:trPr>
          <w:trHeight w:val="165"/>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1"/>
              </w:rPr>
              <w:t>(State or other jurisdiction</w:t>
            </w:r>
          </w:p>
        </w:tc>
        <w:tc>
          <w:tcPr>
            <w:tcW w:w="3740" w:type="dxa"/>
            <w:vAlign w:val="bottom"/>
          </w:tcPr>
          <w:p>
            <w:pPr>
              <w:ind w:left="1460"/>
              <w:spacing w:after="0"/>
              <w:rPr>
                <w:sz w:val="20"/>
                <w:szCs w:val="20"/>
                <w:color w:val="auto"/>
              </w:rPr>
            </w:pPr>
            <w:r>
              <w:rPr>
                <w:rFonts w:ascii="Arial" w:cs="Arial" w:eastAsia="Arial" w:hAnsi="Arial"/>
                <w:sz w:val="13"/>
                <w:szCs w:val="13"/>
                <w:color w:val="auto"/>
              </w:rPr>
              <w:t>(Commission</w:t>
            </w:r>
          </w:p>
        </w:tc>
        <w:tc>
          <w:tcPr>
            <w:tcW w:w="2540" w:type="dxa"/>
            <w:vAlign w:val="bottom"/>
          </w:tcPr>
          <w:p>
            <w:pPr>
              <w:jc w:val="center"/>
              <w:ind w:left="1530"/>
              <w:spacing w:after="0"/>
              <w:rPr>
                <w:sz w:val="20"/>
                <w:szCs w:val="20"/>
                <w:color w:val="auto"/>
              </w:rPr>
            </w:pPr>
            <w:r>
              <w:rPr>
                <w:rFonts w:ascii="Arial" w:cs="Arial" w:eastAsia="Arial" w:hAnsi="Arial"/>
                <w:sz w:val="13"/>
                <w:szCs w:val="13"/>
                <w:color w:val="auto"/>
                <w:w w:val="92"/>
              </w:rPr>
              <w:t>(IRS Employer</w:t>
            </w:r>
          </w:p>
        </w:tc>
      </w:tr>
      <w:tr>
        <w:trPr>
          <w:trHeight w:val="163"/>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3"/>
              </w:rPr>
              <w:t>of incorporation)</w:t>
            </w:r>
          </w:p>
        </w:tc>
        <w:tc>
          <w:tcPr>
            <w:tcW w:w="3740" w:type="dxa"/>
            <w:vAlign w:val="bottom"/>
          </w:tcPr>
          <w:p>
            <w:pPr>
              <w:ind w:left="1460"/>
              <w:spacing w:after="0"/>
              <w:rPr>
                <w:sz w:val="20"/>
                <w:szCs w:val="20"/>
                <w:color w:val="auto"/>
              </w:rPr>
            </w:pPr>
            <w:r>
              <w:rPr>
                <w:rFonts w:ascii="Arial" w:cs="Arial" w:eastAsia="Arial" w:hAnsi="Arial"/>
                <w:sz w:val="13"/>
                <w:szCs w:val="13"/>
                <w:color w:val="auto"/>
              </w:rPr>
              <w:t>File Number)</w:t>
            </w:r>
          </w:p>
        </w:tc>
        <w:tc>
          <w:tcPr>
            <w:tcW w:w="2540" w:type="dxa"/>
            <w:vAlign w:val="bottom"/>
          </w:tcPr>
          <w:p>
            <w:pPr>
              <w:jc w:val="center"/>
              <w:ind w:left="1510"/>
              <w:spacing w:after="0"/>
              <w:rPr>
                <w:sz w:val="20"/>
                <w:szCs w:val="20"/>
                <w:color w:val="auto"/>
              </w:rPr>
            </w:pPr>
            <w:r>
              <w:rPr>
                <w:rFonts w:ascii="Arial" w:cs="Arial" w:eastAsia="Arial" w:hAnsi="Arial"/>
                <w:sz w:val="13"/>
                <w:szCs w:val="13"/>
                <w:color w:val="auto"/>
                <w:w w:val="94"/>
              </w:rPr>
              <w:t>Identification No.)</w:t>
            </w:r>
          </w:p>
        </w:tc>
      </w:tr>
    </w:tbl>
    <w:p>
      <w:pPr>
        <w:spacing w:after="0" w:line="200" w:lineRule="exact"/>
        <w:rPr>
          <w:sz w:val="24"/>
          <w:szCs w:val="24"/>
          <w:color w:val="auto"/>
        </w:rPr>
      </w:pPr>
    </w:p>
    <w:p>
      <w:pPr>
        <w:spacing w:after="0" w:line="228"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350 Fifth Avenue, 21st Floor</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New York, New York 10118</w:t>
      </w:r>
    </w:p>
    <w:p>
      <w:pPr>
        <w:spacing w:after="0" w:line="9"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86"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(646) 766-1855</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198"/>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8"/>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1807845</wp:posOffset>
            </wp:positionH>
            <wp:positionV relativeFrom="paragraph">
              <wp:posOffset>143510</wp:posOffset>
            </wp:positionV>
            <wp:extent cx="3615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5055" cy="7620"/>
                    </a:xfrm>
                    <a:prstGeom prst="rect">
                      <a:avLst/>
                    </a:prstGeom>
                    <a:noFill/>
                  </pic:spPr>
                </pic:pic>
              </a:graphicData>
            </a:graphic>
          </wp:anchor>
        </w:drawing>
      </w:r>
    </w:p>
    <w:p>
      <w:pPr>
        <w:spacing w:after="0" w:line="302" w:lineRule="exact"/>
        <w:rPr>
          <w:sz w:val="24"/>
          <w:szCs w:val="24"/>
          <w:color w:val="auto"/>
        </w:rPr>
      </w:pPr>
    </w:p>
    <w:p>
      <w:pPr>
        <w:ind w:left="33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73" w:lineRule="exact"/>
        <w:rPr>
          <w:sz w:val="24"/>
          <w:szCs w:val="24"/>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7" w:lineRule="exact"/>
        <w:rPr>
          <w:rFonts w:ascii="Arial" w:cs="Arial" w:eastAsia="Arial" w:hAnsi="Arial"/>
          <w:sz w:val="16"/>
          <w:szCs w:val="16"/>
          <w:color w:val="auto"/>
        </w:rPr>
      </w:pPr>
    </w:p>
    <w:p>
      <w:pPr>
        <w:ind w:left="679" w:hanging="679"/>
        <w:spacing w:after="0"/>
        <w:tabs>
          <w:tab w:leader="none" w:pos="679"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243205</wp:posOffset>
            </wp:positionV>
            <wp:extent cx="726122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152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167005</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79"/>
          </w:cols>
          <w:pgMar w:left="261" w:top="1074" w:right="459" w:bottom="1440" w:gutter="0" w:footer="0" w:header="0"/>
        </w:sectPr>
      </w:pPr>
    </w:p>
    <w:bookmarkStart w:id="1" w:name="page2"/>
    <w:bookmarkEnd w:id="1"/>
    <w:p>
      <w:pPr>
        <w:ind w:left="20"/>
        <w:spacing w:after="0"/>
        <w:tabs>
          <w:tab w:leader="none" w:pos="126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34" w:lineRule="exact"/>
        <w:rPr>
          <w:sz w:val="20"/>
          <w:szCs w:val="20"/>
          <w:color w:val="auto"/>
        </w:rPr>
      </w:pPr>
    </w:p>
    <w:p>
      <w:pPr>
        <w:ind w:right="100" w:firstLine="402"/>
        <w:spacing w:after="0" w:line="320" w:lineRule="auto"/>
        <w:rPr>
          <w:sz w:val="20"/>
          <w:szCs w:val="20"/>
          <w:color w:val="auto"/>
        </w:rPr>
      </w:pPr>
      <w:r>
        <w:rPr>
          <w:rFonts w:ascii="Arial" w:cs="Arial" w:eastAsia="Arial" w:hAnsi="Arial"/>
          <w:sz w:val="14"/>
          <w:szCs w:val="14"/>
          <w:color w:val="auto"/>
        </w:rPr>
        <w:t>On August 4, 2016, Shutterstock, Inc. (the “Company”) issued a press release announcing its financial results for the fiscal period ended June 30, 2016. A copy of the press release is furnished as Exhibit 99.1 to this current report and is incorporated herein by reference. In addition, a copy of the presentation slides which will be referenced on the Company’s earnings call at 8:30 a.m. Eastern Time on Thursday, August 4, 2016 is furnished as Exhibit 99.2 to this current report and incorporated herein by reference.</w:t>
      </w:r>
    </w:p>
    <w:p>
      <w:pPr>
        <w:spacing w:after="0" w:line="32" w:lineRule="exact"/>
        <w:rPr>
          <w:sz w:val="20"/>
          <w:szCs w:val="20"/>
          <w:color w:val="auto"/>
        </w:rPr>
      </w:pPr>
    </w:p>
    <w:p>
      <w:pPr>
        <w:ind w:firstLine="362"/>
        <w:spacing w:after="0" w:line="261" w:lineRule="auto"/>
        <w:rPr>
          <w:sz w:val="20"/>
          <w:szCs w:val="20"/>
          <w:color w:val="auto"/>
        </w:rPr>
      </w:pPr>
      <w:r>
        <w:rPr>
          <w:rFonts w:ascii="Arial" w:cs="Arial" w:eastAsia="Arial" w:hAnsi="Arial"/>
          <w:sz w:val="16"/>
          <w:szCs w:val="16"/>
          <w:color w:val="auto"/>
        </w:rPr>
        <w:t>In accordance with General Instruction B.2 of Form 8-K, the information in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774" w:right="259" w:bottom="1440" w:gutter="0" w:footer="0" w:header="0"/>
        </w:sectPr>
      </w:pPr>
    </w:p>
    <w:bookmarkStart w:id="2" w:name="page3"/>
    <w:bookmarkEnd w:id="2"/>
    <w:p>
      <w:pPr>
        <w:spacing w:after="0"/>
        <w:tabs>
          <w:tab w:leader="none" w:pos="12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provided above in “Item 2.02 Results of Operations and Financial Condition” is incorporated by reference in this Item 7.01.</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34" w:lineRule="exact"/>
        <w:rPr>
          <w:sz w:val="20"/>
          <w:szCs w:val="20"/>
          <w:color w:val="auto"/>
        </w:rPr>
      </w:pPr>
    </w:p>
    <w:p>
      <w:pPr>
        <w:ind w:left="640" w:hanging="3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99.1</w:t>
            </w:r>
          </w:p>
        </w:tc>
        <w:tc>
          <w:tcPr>
            <w:tcW w:w="6420" w:type="dxa"/>
            <w:vAlign w:val="bottom"/>
          </w:tcPr>
          <w:p>
            <w:pPr>
              <w:ind w:left="300"/>
              <w:spacing w:after="0"/>
              <w:rPr>
                <w:sz w:val="20"/>
                <w:szCs w:val="20"/>
                <w:color w:val="auto"/>
              </w:rPr>
            </w:pPr>
            <w:r>
              <w:rPr>
                <w:rFonts w:ascii="Arial" w:cs="Arial" w:eastAsia="Arial" w:hAnsi="Arial"/>
                <w:sz w:val="16"/>
                <w:szCs w:val="16"/>
                <w:color w:val="auto"/>
              </w:rPr>
              <w:t>Press release dated August 4, 2016</w:t>
            </w:r>
          </w:p>
        </w:tc>
      </w:tr>
      <w:tr>
        <w:trPr>
          <w:trHeight w:val="326"/>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99.2</w:t>
            </w:r>
          </w:p>
        </w:tc>
        <w:tc>
          <w:tcPr>
            <w:tcW w:w="6420" w:type="dxa"/>
            <w:vAlign w:val="bottom"/>
          </w:tcPr>
          <w:p>
            <w:pPr>
              <w:ind w:left="300"/>
              <w:spacing w:after="0"/>
              <w:rPr>
                <w:sz w:val="20"/>
                <w:szCs w:val="20"/>
                <w:color w:val="auto"/>
              </w:rPr>
            </w:pPr>
            <w:r>
              <w:rPr>
                <w:rFonts w:ascii="Arial" w:cs="Arial" w:eastAsia="Arial" w:hAnsi="Arial"/>
                <w:sz w:val="16"/>
                <w:szCs w:val="16"/>
                <w:color w:val="auto"/>
                <w:w w:val="90"/>
              </w:rPr>
              <w:t>Presentation slides referenced on the earnings call held by Shutterstock, Inc. on August 4, 2016</w:t>
            </w:r>
          </w:p>
        </w:tc>
      </w:tr>
    </w:tbl>
    <w:p>
      <w:pPr>
        <w:spacing w:after="0" w:line="3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99"/>
          </w:cols>
          <w:pgMar w:left="260" w:top="774" w:right="1440"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6"/>
          <w:szCs w:val="16"/>
          <w:b w:val="1"/>
          <w:bCs w:val="1"/>
          <w:color w:val="auto"/>
        </w:rPr>
        <w:t>SIGNATURE</w:t>
      </w:r>
    </w:p>
    <w:p>
      <w:pPr>
        <w:spacing w:after="0" w:line="25" w:lineRule="exact"/>
        <w:rPr>
          <w:sz w:val="20"/>
          <w:szCs w:val="20"/>
          <w:color w:val="auto"/>
        </w:rPr>
      </w:pPr>
    </w:p>
    <w:p>
      <w:pPr>
        <w:ind w:firstLine="402"/>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SHUTTERSTOCK, INC.</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00" w:val="left"/>
          <w:tab w:leader="none" w:pos="6160" w:val="left"/>
        </w:tabs>
        <w:rPr>
          <w:sz w:val="20"/>
          <w:szCs w:val="20"/>
          <w:color w:val="auto"/>
        </w:rPr>
      </w:pPr>
      <w:r>
        <w:rPr>
          <w:rFonts w:ascii="Arial" w:cs="Arial" w:eastAsia="Arial" w:hAnsi="Arial"/>
          <w:sz w:val="16"/>
          <w:szCs w:val="16"/>
          <w:color w:val="auto"/>
        </w:rPr>
        <w:t>Dated: August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29210</wp:posOffset>
            </wp:positionV>
            <wp:extent cx="33318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1845" cy="7620"/>
                    </a:xfrm>
                    <a:prstGeom prst="rect">
                      <a:avLst/>
                    </a:prstGeom>
                    <a:noFill/>
                  </pic:spPr>
                </pic:pic>
              </a:graphicData>
            </a:graphic>
          </wp:anchor>
        </w:drawing>
      </w:r>
    </w:p>
    <w:p>
      <w:pPr>
        <w:spacing w:after="0" w:line="4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Steven Berns</w:t>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40"/>
          </w:cols>
          <w:pgMar w:left="240" w:top="63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80"/>
              <w:spacing w:after="0"/>
              <w:rPr>
                <w:sz w:val="20"/>
                <w:szCs w:val="20"/>
                <w:color w:val="auto"/>
              </w:rPr>
            </w:pPr>
            <w:r>
              <w:rPr>
                <w:rFonts w:ascii="Arial" w:cs="Arial" w:eastAsia="Arial" w:hAnsi="Arial"/>
                <w:sz w:val="16"/>
                <w:szCs w:val="16"/>
                <w:b w:val="1"/>
                <w:bCs w:val="1"/>
                <w:color w:val="auto"/>
              </w:rPr>
              <w:t>EXHIBIT INDEX</w:t>
            </w:r>
          </w:p>
        </w:tc>
      </w:tr>
      <w:tr>
        <w:trPr>
          <w:trHeight w:val="297"/>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580" w:type="dxa"/>
            <w:vAlign w:val="bottom"/>
          </w:tcPr>
          <w:p>
            <w:pPr>
              <w:ind w:left="4260"/>
              <w:spacing w:after="0"/>
              <w:rPr>
                <w:sz w:val="20"/>
                <w:szCs w:val="20"/>
                <w:color w:val="auto"/>
              </w:rPr>
            </w:pPr>
            <w:r>
              <w:rPr>
                <w:rFonts w:ascii="Arial" w:cs="Arial" w:eastAsia="Arial" w:hAnsi="Arial"/>
                <w:sz w:val="13"/>
                <w:szCs w:val="13"/>
                <w:b w:val="1"/>
                <w:bCs w:val="1"/>
                <w:color w:val="auto"/>
              </w:rPr>
              <w:t>Exhibit Description</w:t>
            </w:r>
          </w:p>
        </w:tc>
      </w:tr>
      <w:tr>
        <w:trPr>
          <w:trHeight w:val="455"/>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dated August 4, 2016</w:t>
            </w:r>
          </w:p>
        </w:tc>
      </w:tr>
      <w:tr>
        <w:trPr>
          <w:trHeight w:val="350"/>
        </w:trPr>
        <w:tc>
          <w:tcPr>
            <w:tcW w:w="1260" w:type="dxa"/>
            <w:vAlign w:val="bottom"/>
          </w:tcPr>
          <w:p>
            <w:pPr>
              <w:ind w:left="20"/>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6"/>
                <w:szCs w:val="16"/>
                <w:color w:val="auto"/>
              </w:rPr>
              <w:t>Presentation slides referenced on the earnings call held by Shutterstock, Inc. on August 4, 2016</w:t>
            </w:r>
          </w:p>
        </w:tc>
      </w:tr>
      <w:tr>
        <w:trPr>
          <w:trHeight w:val="531"/>
        </w:trPr>
        <w:tc>
          <w:tcPr>
            <w:tcW w:w="1260" w:type="dxa"/>
            <w:vAlign w:val="bottom"/>
          </w:tcPr>
          <w:p>
            <w:pPr>
              <w:jc w:val="right"/>
              <w:ind w:right="744"/>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24"/>
                <w:szCs w:val="24"/>
                <w:color w:val="auto"/>
              </w:rPr>
            </w:pPr>
          </w:p>
        </w:tc>
        <w:tc>
          <w:tcPr>
            <w:tcW w:w="9580" w:type="dxa"/>
            <w:vAlign w:val="bottom"/>
          </w:tcPr>
          <w:p>
            <w:pPr>
              <w:spacing w:after="0"/>
              <w:rPr>
                <w:sz w:val="24"/>
                <w:szCs w:val="24"/>
                <w:color w:val="auto"/>
              </w:rPr>
            </w:pPr>
          </w:p>
        </w:tc>
      </w:tr>
    </w:tbl>
    <w:p>
      <w:pPr>
        <w:sectPr>
          <w:pgSz w:w="11900" w:h="16838" w:orient="portrait"/>
          <w:cols w:equalWidth="0" w:num="1">
            <w:col w:w="11400"/>
          </w:cols>
          <w:pgMar w:left="240" w:top="63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77470</wp:posOffset>
            </wp:positionV>
            <wp:extent cx="3140710" cy="44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0710"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Shutterstock Reports Second Quarter 2016 Financial Results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2016 Highlights:</w:t>
      </w:r>
    </w:p>
    <w:p>
      <w:pPr>
        <w:spacing w:after="0" w:line="206"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increased 19% to $124.4 million</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Income from operations increased 8% to $10.5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increased 9% to $22.5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Repurchased an additional $16.3 million of stock</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Paid downloads increased 21%</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Image collection expanded 61% to 92.1 million images and video collection expanded 69% to 4.9 million clips</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color w:val="auto"/>
        </w:rPr>
        <w:t xml:space="preserve">New York - August 4, 2016 - </w:t>
      </w:r>
      <w:r>
        <w:rPr>
          <w:rFonts w:ascii="Arial" w:cs="Arial" w:eastAsia="Arial" w:hAnsi="Arial"/>
          <w:sz w:val="16"/>
          <w:szCs w:val="16"/>
          <w:color w:val="auto"/>
        </w:rPr>
        <w:t>Shutterstock, Inc. (NYSE: SSTK), a leading global provider of commercial imagery and music, today announced financial results for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June 30, 2016.</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Founder and CEO Jon Oringer said “Shutterstock’s strong second quarter growth once again demonstrates the power of the network model we have built and the sustained momentum we are generating across both sides of our marketplace. The quality and breadth of our content library combined with an unparalleled search experience continues to attract a diverse customer base that today downloads over 5.5 images per second. We remain committed to expanding our content offerings and investing in innovative technology solutions to further build our customer base, increase overall engagement and deliver sustained financial growth.”</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0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Second quarter revenue of $124.4 million increased $20.1 million or 19% as compared to the second quarter of 2015, primarily due to a 21% increase in the number of paid downloads, mainly due to new customers, and increased activity by enterprise clients. The negative impact of foreign currency movements versus the US dollar partially offset this growth. Excluding the impact of foreign currency movements, total Company revenue growth was approximately 22% in the second quarter.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from Operations</w:t>
      </w:r>
    </w:p>
    <w:p>
      <w:pPr>
        <w:spacing w:after="0" w:line="20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Income from Operations of $10.5 million increased $0.8 million or 8% as compared to the second quarter of 2015 driven by the 19% revenue growth, partially offset by an increase in operating expenses primarily from higher royalty costs associated with the increase in paid downloads.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Adjusted EBITDA of $22.5 million increased $1.8 million or 9% as compared to the second quarter of 2015. Excluding the impact of foreign currency, Adjusted EBITDA growth was approximately 15% in the second quarter as compared to the second quarter of 2015. Adjusted EBITDA is defined as income from operations adjusted for depreciation, amortization, disposals, non-cash equity-based compensation and accelerated change in fair value of contingent consideration related to acquisitions.</w:t>
      </w:r>
    </w:p>
    <w:p>
      <w:pPr>
        <w:sectPr>
          <w:pgSz w:w="11900" w:h="16838" w:orient="portrait"/>
          <w:cols w:equalWidth="0" w:num="1">
            <w:col w:w="11440"/>
          </w:cols>
          <w:pgMar w:left="240" w:top="533"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Net Income</w:t>
      </w:r>
    </w:p>
    <w:p>
      <w:pPr>
        <w:spacing w:after="0" w:line="206"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Net income available to common stockholders of $7.2 million, $0.20 per diluted share, for the second quarter increased $1.9 million as compared with $5.3 million, $0.15 per diluted share, in the second quarter a year ago primarily due to the improved operating performance, lower income tax expense and a decrease in non-cash equity based compensation expense.</w:t>
      </w:r>
    </w:p>
    <w:p>
      <w:pPr>
        <w:spacing w:after="0" w:line="163"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Non-GAAP net income, which excludes the after-tax impact of non-cash equity-based compensation, amortization of acquisition-related intangible assets and changes in fair value of contingent consideration related to acquisitions was $12.7 million, $0.36 per diluted share, for the second quarter as compared to $11.2 million, $0.31 per diluted share, in the second quarter of 2015.</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LIQUIDITY</w:t>
      </w:r>
    </w:p>
    <w:p>
      <w:pPr>
        <w:spacing w:after="0" w:line="206"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The Company’s cash, cash equivalents and short term investments totaled $265.9 million at June 30, 2016 as compared with $288.4 million at December 31, 2015 primarily reflecting the $41.6 million of cash generated from operations, which was more than offset by capital expenditures and content acquisitions of $17.8 million and by cash used to repurchase shares of approximately $44.5 million.</w:t>
      </w:r>
    </w:p>
    <w:p>
      <w:pPr>
        <w:spacing w:after="0" w:line="163"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Free cash flow was $9.3 million for the second quarter, a decrease of $4.8 million from the second quarter of 2015, as the improved operating performance was more than offset by increased spending on capital expenditures and content acquisitions as well as working capital fluctuations. Free cash flow is defined as cash provided by operating activities adjusted for capital expenditures and content acquisition.</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 REPURCHASE PROGRAM</w:t>
      </w:r>
    </w:p>
    <w:p>
      <w:pPr>
        <w:spacing w:after="0" w:line="206"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During the second quarter of 2016, the Company repurchased approximately 399,000 shares of its stock, pursuant to its existing $100 million stock repurchase program, at an average price per share of $40.73 for a total of $16.3 million. Through June 30, 2016, the Company has repurchased 1.7 million shares of its stock for a total of $59.7 million under the stock repurchase program. The stock repurchase program, which commenced in November 2015, authorizes management to purchase shares from time to time through open market purchases or privately negotiated transactions at prevailing prices as permitted by securities laws and other legal requirements. The timing and amount of any shares repurchased will be determined by the Company’s management based on its evaluation of market conditions and other factors. The repurchase program may be suspended or discontinued at any time.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OPERATING METRICS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4700" w:type="dxa"/>
            <w:vAlign w:val="bottom"/>
          </w:tcPr>
          <w:p>
            <w:pPr>
              <w:spacing w:after="0"/>
              <w:rPr>
                <w:sz w:val="13"/>
                <w:szCs w:val="13"/>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233"/>
        </w:trPr>
        <w:tc>
          <w:tcPr>
            <w:tcW w:w="4700" w:type="dxa"/>
            <w:vAlign w:val="bottom"/>
          </w:tcPr>
          <w:p>
            <w:pPr>
              <w:spacing w:after="0"/>
              <w:rPr>
                <w:sz w:val="20"/>
                <w:szCs w:val="20"/>
                <w:color w:val="auto"/>
              </w:rPr>
            </w:pPr>
          </w:p>
        </w:tc>
        <w:tc>
          <w:tcPr>
            <w:tcW w:w="2420" w:type="dxa"/>
            <w:vAlign w:val="bottom"/>
            <w:tcBorders>
              <w:bottom w:val="single" w:sz="8" w:color="auto"/>
            </w:tcBorders>
          </w:tcPr>
          <w:p>
            <w:pPr>
              <w:jc w:val="right"/>
              <w:ind w:right="1434"/>
              <w:spacing w:after="0"/>
              <w:rPr>
                <w:sz w:val="20"/>
                <w:szCs w:val="20"/>
                <w:color w:val="auto"/>
              </w:rPr>
            </w:pPr>
            <w:r>
              <w:rPr>
                <w:rFonts w:ascii="Arial" w:cs="Arial" w:eastAsia="Arial" w:hAnsi="Arial"/>
                <w:sz w:val="11"/>
                <w:szCs w:val="11"/>
                <w:b w:val="1"/>
                <w:bCs w:val="1"/>
                <w:color w:val="auto"/>
              </w:rPr>
              <w:t>2016</w:t>
            </w:r>
          </w:p>
        </w:tc>
        <w:tc>
          <w:tcPr>
            <w:tcW w:w="90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w w:val="81"/>
              </w:rPr>
              <w:t>2015</w:t>
            </w: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1374"/>
              <w:spacing w:after="0"/>
              <w:rPr>
                <w:sz w:val="20"/>
                <w:szCs w:val="20"/>
                <w:color w:val="auto"/>
              </w:rPr>
            </w:pPr>
            <w:r>
              <w:rPr>
                <w:rFonts w:ascii="Arial" w:cs="Arial" w:eastAsia="Arial" w:hAnsi="Arial"/>
                <w:sz w:val="11"/>
                <w:szCs w:val="11"/>
                <w:b w:val="1"/>
                <w:bCs w:val="1"/>
                <w:color w:val="auto"/>
              </w:rPr>
              <w:t>2016</w:t>
            </w:r>
          </w:p>
        </w:tc>
        <w:tc>
          <w:tcPr>
            <w:tcW w:w="9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w w:val="97"/>
              </w:rPr>
              <w:t>2015</w:t>
            </w:r>
          </w:p>
        </w:tc>
      </w:tr>
      <w:tr>
        <w:trPr>
          <w:trHeight w:val="224"/>
        </w:trPr>
        <w:tc>
          <w:tcPr>
            <w:tcW w:w="4700" w:type="dxa"/>
            <w:vAlign w:val="bottom"/>
          </w:tcPr>
          <w:p>
            <w:pPr>
              <w:spacing w:after="0"/>
              <w:rPr>
                <w:sz w:val="19"/>
                <w:szCs w:val="19"/>
                <w:color w:val="auto"/>
              </w:rPr>
            </w:pPr>
          </w:p>
        </w:tc>
        <w:tc>
          <w:tcPr>
            <w:tcW w:w="5780" w:type="dxa"/>
            <w:vAlign w:val="bottom"/>
            <w:gridSpan w:val="4"/>
          </w:tcPr>
          <w:p>
            <w:pPr>
              <w:jc w:val="right"/>
              <w:ind w:right="1174"/>
              <w:spacing w:after="0"/>
              <w:rPr>
                <w:sz w:val="20"/>
                <w:szCs w:val="20"/>
                <w:color w:val="auto"/>
              </w:rPr>
            </w:pPr>
            <w:r>
              <w:rPr>
                <w:rFonts w:ascii="Arial" w:cs="Arial" w:eastAsia="Arial" w:hAnsi="Arial"/>
                <w:sz w:val="13"/>
                <w:szCs w:val="13"/>
                <w:b w:val="1"/>
                <w:bCs w:val="1"/>
                <w:color w:val="auto"/>
              </w:rPr>
              <w:t>(in millions, except revenue per download)</w:t>
            </w:r>
          </w:p>
        </w:tc>
        <w:tc>
          <w:tcPr>
            <w:tcW w:w="960" w:type="dxa"/>
            <w:vAlign w:val="bottom"/>
          </w:tcPr>
          <w:p>
            <w:pPr>
              <w:spacing w:after="0"/>
              <w:rPr>
                <w:sz w:val="19"/>
                <w:szCs w:val="19"/>
                <w:color w:val="auto"/>
              </w:rPr>
            </w:pPr>
          </w:p>
        </w:tc>
      </w:tr>
      <w:tr>
        <w:trPr>
          <w:trHeight w:val="22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242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4"/>
                <w:szCs w:val="14"/>
                <w:color w:val="auto"/>
              </w:rPr>
              <w:t>43.4</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4"/>
                <w:szCs w:val="14"/>
                <w:color w:val="auto"/>
              </w:rPr>
              <w:t>84.6</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69.3</w:t>
            </w:r>
          </w:p>
        </w:tc>
      </w:tr>
      <w:tr>
        <w:trPr>
          <w:trHeight w:val="241"/>
        </w:trPr>
        <w:tc>
          <w:tcPr>
            <w:tcW w:w="470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2420" w:type="dxa"/>
            <w:vAlign w:val="bottom"/>
          </w:tcPr>
          <w:p>
            <w:pPr>
              <w:jc w:val="right"/>
              <w:ind w:right="854"/>
              <w:spacing w:after="0"/>
              <w:rPr>
                <w:sz w:val="20"/>
                <w:szCs w:val="20"/>
                <w:color w:val="auto"/>
              </w:rPr>
            </w:pPr>
            <w:r>
              <w:rPr>
                <w:rFonts w:ascii="Arial" w:cs="Arial" w:eastAsia="Arial" w:hAnsi="Arial"/>
                <w:sz w:val="14"/>
                <w:szCs w:val="14"/>
                <w:color w:val="auto"/>
              </w:rPr>
              <w:t>$2.81</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0"/>
                <w:szCs w:val="20"/>
                <w:color w:val="auto"/>
              </w:rPr>
            </w:pPr>
          </w:p>
        </w:tc>
        <w:tc>
          <w:tcPr>
            <w:tcW w:w="2340" w:type="dxa"/>
            <w:vAlign w:val="bottom"/>
          </w:tcPr>
          <w:p>
            <w:pPr>
              <w:jc w:val="right"/>
              <w:ind w:right="794"/>
              <w:spacing w:after="0"/>
              <w:rPr>
                <w:sz w:val="20"/>
                <w:szCs w:val="20"/>
                <w:color w:val="auto"/>
              </w:rPr>
            </w:pPr>
            <w:r>
              <w:rPr>
                <w:rFonts w:ascii="Arial" w:cs="Arial" w:eastAsia="Arial" w:hAnsi="Arial"/>
                <w:sz w:val="14"/>
                <w:szCs w:val="14"/>
                <w:color w:val="auto"/>
              </w:rPr>
              <w:t>$2.79</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$2.86</w:t>
            </w:r>
          </w:p>
        </w:tc>
      </w:tr>
      <w:tr>
        <w:trPr>
          <w:trHeight w:val="241"/>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Images in our collection (end of period) </w:t>
            </w:r>
            <w:r>
              <w:rPr>
                <w:rFonts w:ascii="Arial" w:cs="Arial" w:eastAsia="Arial" w:hAnsi="Arial"/>
                <w:sz w:val="19"/>
                <w:szCs w:val="19"/>
                <w:color w:val="auto"/>
                <w:vertAlign w:val="superscript"/>
              </w:rPr>
              <w:t>(2)</w:t>
            </w:r>
          </w:p>
        </w:tc>
        <w:tc>
          <w:tcPr>
            <w:tcW w:w="242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92.1</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92.1</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57.2</w:t>
            </w:r>
          </w:p>
        </w:tc>
      </w:tr>
    </w:tbl>
    <w:p>
      <w:pPr>
        <w:spacing w:after="0" w:line="27"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spacing w:after="0" w:line="38" w:lineRule="exact"/>
        <w:rPr>
          <w:sz w:val="20"/>
          <w:szCs w:val="20"/>
          <w:color w:val="auto"/>
        </w:rPr>
      </w:pPr>
    </w:p>
    <w:p>
      <w:pPr>
        <w:ind w:left="184" w:hanging="184"/>
        <w:spacing w:after="0"/>
        <w:tabs>
          <w:tab w:leader="none" w:pos="184" w:val="left"/>
        </w:tabs>
        <w:numPr>
          <w:ilvl w:val="0"/>
          <w:numId w:val="4"/>
        </w:numPr>
        <w:rPr>
          <w:rFonts w:ascii="Arial" w:cs="Arial" w:eastAsia="Arial" w:hAnsi="Arial"/>
          <w:sz w:val="11"/>
          <w:szCs w:val="11"/>
          <w:color w:val="auto"/>
        </w:rPr>
      </w:pPr>
      <w:r>
        <w:rPr>
          <w:rFonts w:ascii="Arial" w:cs="Arial" w:eastAsia="Arial" w:hAnsi="Arial"/>
          <w:sz w:val="11"/>
          <w:szCs w:val="11"/>
          <w:color w:val="auto"/>
        </w:rPr>
        <w:t>Revenue per download metric excludes the impact of revenue not associated with content downloads.</w:t>
      </w:r>
    </w:p>
    <w:p>
      <w:pPr>
        <w:spacing w:after="0" w:line="15" w:lineRule="exact"/>
        <w:rPr>
          <w:rFonts w:ascii="Arial" w:cs="Arial" w:eastAsia="Arial" w:hAnsi="Arial"/>
          <w:sz w:val="11"/>
          <w:szCs w:val="11"/>
          <w:color w:val="auto"/>
        </w:rPr>
      </w:pPr>
    </w:p>
    <w:p>
      <w:pPr>
        <w:ind w:left="4" w:right="60" w:hanging="4"/>
        <w:spacing w:after="0" w:line="263" w:lineRule="auto"/>
        <w:tabs>
          <w:tab w:leader="none" w:pos="163" w:val="left"/>
        </w:tabs>
        <w:numPr>
          <w:ilvl w:val="0"/>
          <w:numId w:val="4"/>
        </w:numPr>
        <w:rPr>
          <w:rFonts w:ascii="Arial" w:cs="Arial" w:eastAsia="Arial" w:hAnsi="Arial"/>
          <w:sz w:val="11"/>
          <w:szCs w:val="11"/>
          <w:color w:val="auto"/>
        </w:rPr>
      </w:pPr>
      <w:r>
        <w:rPr>
          <w:rFonts w:ascii="Arial" w:cs="Arial" w:eastAsia="Arial" w:hAnsi="Arial"/>
          <w:sz w:val="11"/>
          <w:szCs w:val="11"/>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ectPr>
          <w:pgSz w:w="11900" w:h="16838" w:orient="portrait"/>
          <w:cols w:equalWidth="0" w:num="1">
            <w:col w:w="11444"/>
          </w:cols>
          <w:pgMar w:left="236" w:top="726"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FINANCIAL OUTLOOK</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Company’s current expectations for the full year 2016 are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2016</w:t>
      </w:r>
    </w:p>
    <w:p>
      <w:pPr>
        <w:spacing w:after="0" w:line="202" w:lineRule="exact"/>
        <w:rPr>
          <w:sz w:val="20"/>
          <w:szCs w:val="20"/>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of $495 - $510 million (17% - 20% growth)</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Income from operations of $43 - $51 million (5% - 24% growth)</w:t>
      </w:r>
    </w:p>
    <w:p>
      <w:pPr>
        <w:spacing w:after="0" w:line="20" w:lineRule="exact"/>
        <w:rPr>
          <w:rFonts w:ascii="Arial" w:cs="Arial" w:eastAsia="Arial" w:hAnsi="Arial"/>
          <w:sz w:val="15"/>
          <w:szCs w:val="15"/>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of $95 - $100 million (12% - 18% growth)</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Non-cash equity-based compensation expense of $28 - $33 million</w:t>
      </w:r>
    </w:p>
    <w:p>
      <w:pPr>
        <w:spacing w:after="0" w:line="32" w:lineRule="exact"/>
        <w:rPr>
          <w:rFonts w:ascii="Arial" w:cs="Arial" w:eastAsia="Arial" w:hAnsi="Arial"/>
          <w:sz w:val="14"/>
          <w:szCs w:val="14"/>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of $30 - $35 million</w:t>
      </w:r>
    </w:p>
    <w:p>
      <w:pPr>
        <w:sectPr>
          <w:pgSz w:w="11900" w:h="16838" w:orient="portrait"/>
          <w:cols w:equalWidth="0" w:num="1">
            <w:col w:w="10219"/>
          </w:cols>
          <w:pgMar w:left="240" w:top="533" w:right="1440" w:bottom="1440" w:gutter="0" w:footer="0" w:header="0"/>
        </w:sectPr>
      </w:pPr>
    </w:p>
    <w:bookmarkStart w:id="8" w:name="page9"/>
    <w:bookmarkEnd w:id="8"/>
    <w:p>
      <w:pPr>
        <w:ind w:left="4"/>
        <w:spacing w:after="0"/>
        <w:rPr>
          <w:sz w:val="20"/>
          <w:szCs w:val="20"/>
          <w:color w:val="auto"/>
        </w:rPr>
      </w:pPr>
      <w:r>
        <w:rPr>
          <w:rFonts w:ascii="Arial" w:cs="Arial" w:eastAsia="Arial" w:hAnsi="Arial"/>
          <w:sz w:val="16"/>
          <w:szCs w:val="16"/>
          <w:b w:val="1"/>
          <w:bCs w:val="1"/>
          <w:color w:val="auto"/>
        </w:rPr>
        <w:t>NON-GAAP FINANCIAL MEASURES</w:t>
      </w:r>
    </w:p>
    <w:p>
      <w:pPr>
        <w:spacing w:after="0" w:line="206" w:lineRule="exact"/>
        <w:rPr>
          <w:sz w:val="20"/>
          <w:szCs w:val="20"/>
          <w:color w:val="auto"/>
        </w:rPr>
      </w:pPr>
    </w:p>
    <w:p>
      <w:pPr>
        <w:ind w:left="4" w:right="20"/>
        <w:spacing w:after="0" w:line="274" w:lineRule="auto"/>
        <w:rPr>
          <w:sz w:val="20"/>
          <w:szCs w:val="20"/>
          <w:color w:val="auto"/>
        </w:rPr>
      </w:pPr>
      <w:r>
        <w:rPr>
          <w:rFonts w:ascii="Arial" w:cs="Arial" w:eastAsia="Arial" w:hAnsi="Arial"/>
          <w:sz w:val="15"/>
          <w:szCs w:val="15"/>
          <w:color w:val="auto"/>
        </w:rPr>
        <w:t>Shutterstock defines Adjusted EBITDA as income from operations adjusted for depreciation, amortization, disposals, non-cash equity-based compensation and the accelerated change in fair value of contingent consideration; non-GAAP net income as net income excluding the after-tax impact of non-cash equity-based compensation, the amortization of acquisition-related intangible assets and changes in the fair value of contingent consideration related to acquisitions; and free cash flow as cash provided by/(used in) operating activities adjusted for capital expenditures and content acquisition. These figures have not been calculated in accordance with United States generally accepted accounting principles (GAAP) and should be considered in addition to results prepared in accordance with GAAP and should not be considered as a substitute for, or superior to, GAAP results. In addition, Adjusted EBITDA, non-GAAP net income,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58" w:lineRule="exact"/>
        <w:rPr>
          <w:sz w:val="20"/>
          <w:szCs w:val="20"/>
          <w:color w:val="auto"/>
        </w:rPr>
      </w:pPr>
    </w:p>
    <w:p>
      <w:pPr>
        <w:ind w:left="4" w:right="60"/>
        <w:spacing w:after="0" w:line="276" w:lineRule="auto"/>
        <w:rPr>
          <w:sz w:val="20"/>
          <w:szCs w:val="20"/>
          <w:color w:val="auto"/>
        </w:rPr>
      </w:pPr>
      <w:r>
        <w:rPr>
          <w:rFonts w:ascii="Arial" w:cs="Arial" w:eastAsia="Arial" w:hAnsi="Arial"/>
          <w:sz w:val="15"/>
          <w:szCs w:val="15"/>
          <w:color w:val="auto"/>
        </w:rPr>
        <w:t>Shutterstock’s management uses Adjusted EBITDA, non-GAAP net income, and free cash flow as operating performance measures (in conjunction with GAAP financial measures), as an integral part of its reporting and planning processes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155" w:lineRule="exact"/>
        <w:rPr>
          <w:sz w:val="20"/>
          <w:szCs w:val="20"/>
          <w:color w:val="auto"/>
        </w:rPr>
      </w:pPr>
    </w:p>
    <w:p>
      <w:pPr>
        <w:ind w:left="4" w:right="80"/>
        <w:spacing w:after="0" w:line="276" w:lineRule="auto"/>
        <w:rPr>
          <w:sz w:val="20"/>
          <w:szCs w:val="20"/>
          <w:color w:val="auto"/>
        </w:rPr>
      </w:pPr>
      <w:r>
        <w:rPr>
          <w:rFonts w:ascii="Arial" w:cs="Arial" w:eastAsia="Arial" w:hAnsi="Arial"/>
          <w:sz w:val="15"/>
          <w:szCs w:val="15"/>
          <w:color w:val="auto"/>
        </w:rPr>
        <w:t>Management believes that Adjusted EBITDA and non-GAAP net income are useful to investors to provide them with disclosures of Shutterstock’s operating results on the same basis as that used by management. Additionally, management believes that Adjusted EBITDA and non-GAAP net income provide useful information to investors about the performance of the Company's overall business because such measures eliminate the effects of unusual or other infrequent charges that are not directly attributable to Shutterstock’s underlying operating performance. Additionally, management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155" w:lineRule="exact"/>
        <w:rPr>
          <w:sz w:val="20"/>
          <w:szCs w:val="20"/>
          <w:color w:val="auto"/>
        </w:rPr>
      </w:pPr>
    </w:p>
    <w:p>
      <w:pPr>
        <w:ind w:left="4" w:right="100"/>
        <w:spacing w:after="0" w:line="265" w:lineRule="auto"/>
        <w:rPr>
          <w:sz w:val="20"/>
          <w:szCs w:val="20"/>
          <w:color w:val="auto"/>
        </w:rPr>
      </w:pPr>
      <w:r>
        <w:rPr>
          <w:rFonts w:ascii="Arial" w:cs="Arial" w:eastAsia="Arial" w:hAnsi="Arial"/>
          <w:sz w:val="16"/>
          <w:szCs w:val="16"/>
          <w:color w:val="auto"/>
        </w:rPr>
        <w:t>A reconciliation of the differences between Adjusted EBITDA, non-GAAP net income, and free cash flow, and the most comparable financial measure calculated and presented in accordance with GAAP, is presented under the heading “Reconciliation of Non-GAAP Financial Information to GAAP” immediately following the Consolidated Balance Sheets.</w:t>
      </w:r>
    </w:p>
    <w:p>
      <w:pPr>
        <w:spacing w:after="0" w:line="159" w:lineRule="exact"/>
        <w:rPr>
          <w:sz w:val="20"/>
          <w:szCs w:val="20"/>
          <w:color w:val="auto"/>
        </w:rPr>
      </w:pPr>
    </w:p>
    <w:p>
      <w:pPr>
        <w:ind w:left="44"/>
        <w:spacing w:after="0"/>
        <w:rPr>
          <w:sz w:val="20"/>
          <w:szCs w:val="20"/>
          <w:color w:val="auto"/>
        </w:rPr>
      </w:pPr>
      <w:r>
        <w:rPr>
          <w:rFonts w:ascii="Arial" w:cs="Arial" w:eastAsia="Arial" w:hAnsi="Arial"/>
          <w:sz w:val="16"/>
          <w:szCs w:val="16"/>
          <w:b w:val="1"/>
          <w:bCs w:val="1"/>
          <w:color w:val="auto"/>
        </w:rPr>
        <w:t>EARNINGS TELECONFERENCE INFORMATION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Company will discuss its second quarter financial results during a teleconference today, August 4, 2016, at 8:30 AM ET. The conference call can be accessed in the U.S. at</w:t>
      </w:r>
    </w:p>
    <w:p>
      <w:pPr>
        <w:spacing w:after="0" w:line="44" w:lineRule="exact"/>
        <w:rPr>
          <w:sz w:val="20"/>
          <w:szCs w:val="20"/>
          <w:color w:val="auto"/>
        </w:rPr>
      </w:pPr>
    </w:p>
    <w:p>
      <w:pPr>
        <w:ind w:left="4" w:right="20" w:hanging="4"/>
        <w:spacing w:after="0" w:line="263" w:lineRule="auto"/>
        <w:tabs>
          <w:tab w:leader="none" w:pos="428" w:val="left"/>
        </w:tabs>
        <w:numPr>
          <w:ilvl w:val="0"/>
          <w:numId w:val="6"/>
        </w:numPr>
        <w:rPr>
          <w:rFonts w:ascii="Arial" w:cs="Arial" w:eastAsia="Arial" w:hAnsi="Arial"/>
          <w:sz w:val="16"/>
          <w:szCs w:val="16"/>
          <w:color w:val="auto"/>
        </w:rPr>
      </w:pPr>
      <w:r>
        <w:rPr>
          <w:rFonts w:ascii="Arial" w:cs="Arial" w:eastAsia="Arial" w:hAnsi="Arial"/>
          <w:sz w:val="16"/>
          <w:szCs w:val="16"/>
          <w:color w:val="auto"/>
        </w:rPr>
        <w:t>634-1442 or outside the U.S. at (615) 247-0239 with the conference ID# 42300823. A live audio webcast of the call will also be available simultaneously at http://investor.shutterstock.com.</w:t>
      </w:r>
    </w:p>
    <w:p>
      <w:pPr>
        <w:spacing w:after="0" w:line="163" w:lineRule="exact"/>
        <w:rPr>
          <w:sz w:val="20"/>
          <w:szCs w:val="20"/>
          <w:color w:val="auto"/>
        </w:rPr>
      </w:pPr>
    </w:p>
    <w:p>
      <w:pPr>
        <w:ind w:left="4" w:right="20"/>
        <w:spacing w:after="0" w:line="279" w:lineRule="auto"/>
        <w:rPr>
          <w:sz w:val="20"/>
          <w:szCs w:val="20"/>
          <w:color w:val="auto"/>
        </w:rPr>
      </w:pPr>
      <w:r>
        <w:rPr>
          <w:rFonts w:ascii="Arial" w:cs="Arial" w:eastAsia="Arial" w:hAnsi="Arial"/>
          <w:sz w:val="16"/>
          <w:szCs w:val="16"/>
          <w:color w:val="auto"/>
        </w:rPr>
        <w:t>Following completion of the call, a recorded replay of the webcast will be available in the investor relations section of Shutterstock’s website. A telephone replay of the call will also be available until August 11, 2016 in the U.S. at (855) 859-2056 or outside the U.S. at (404) 537-3406 with the conference ID# 42300823.</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Additional investor information can be accessed at http://investor.shutterstock.com.</w:t>
      </w:r>
    </w:p>
    <w:p>
      <w:pPr>
        <w:sectPr>
          <w:pgSz w:w="11900" w:h="16838" w:orient="portrait"/>
          <w:cols w:equalWidth="0" w:num="1">
            <w:col w:w="11444"/>
          </w:cols>
          <w:pgMar w:left="236" w:top="533"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ABOUT SHUTTERSTOCK</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Shutterstock, Inc. (NYSE: SSTK) is a leading global provider of high-quality licensed photographs, vectors, illustrations, videos and music to businesses, marketing agencies and media organizations around the world. Working with its growing community of over 140,000 contributors, Shutterstock adds hundreds of thousands of images each week, and currently has more than 90 million images and over 5 million video clips available.</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Headquartered in New York City, with offices in Amsterdam, Berlin, Chicago, Dallas, Denver, London, Los Angeles, Montreal, Paris, San Francisco and Silicon Valley, Shutterstock has customers in more than 150 countries. The Company also owns Bigstock, a value-oriented stock media agency; Offset, a high-end image collection; PremiumBeat a curated royalty-free music library; Rex Features, a premier source of editorial images for the world’s media; and WebDAM, a cloud-based digital asset management service for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visit www.shutterstock.com, and follow Shutterstock on Twitter or Facebook.</w:t>
      </w:r>
    </w:p>
    <w:p>
      <w:pPr>
        <w:sectPr>
          <w:pgSz w:w="11900" w:h="16838" w:orient="portrait"/>
          <w:cols w:equalWidth="0" w:num="1">
            <w:col w:w="11420"/>
          </w:cols>
          <w:pgMar w:left="240" w:top="533"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SAFE HARBOR PROVISION</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Statements in this press release regarding management’s future expectations, predictions, beliefs, goals, intentions, plans, prospects or strategies, including statements regarding Shutterstock’s future financial and operating performance on both a GAAP and non-GAAP basis and statements regarding Shutterstock’s ability to deliver sustained financial growth, may constitute forward looking statements within the meaning of the Private Securities Litigation Reform Act of 1995 and other federal securities laws. Such forward-looking statements involve known and unknown risks, uncertainties and other factors including risks related to any unforeseen changes to or the effects on liabilities, financial condition, future capital expenditures, revenue, expenses, net income or loss, synergies and future prospects; our inability to continue to attract and retain customers and contributors to our online marketplace for commercial digital imagery and music; a decrease in repeat customer purchases or in content contributed to our online marketplace; our inability to successfully operate in a new and rapidly changing market and to evaluate our future prospects; competitive factors; assertions by third parties of infringement or other violations of intellectual property rights by Shutterstock; our inability to increase market awareness of Shutterstock and our services; our inability to effectively manage our growth: failure to respond to technological changes or upgrade Shutterstock’s website and technology systems; Shutterstock’s inability to increase the percentage of its revenues that come from larger companies; our inability to continue expansion into international markets and the additional risks associated with operating internationally, including fluctuations in currency exchange rates; general economic conditions worldwide; our ability to successfully integrate acquisitions and the associated technology and achieve operational efficiencies; and other factors and risks discussed under the heading “Risk Factors” in our 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Shutterstock is providing the information in this press release as of this date and assumes no obligation to update the information included in this press release or revise any forward-looking statements, whether as a result of new information, future developments or otherwise.</w:t>
      </w:r>
    </w:p>
    <w:p>
      <w:pPr>
        <w:sectPr>
          <w:pgSz w:w="11900" w:h="16838" w:orient="portrait"/>
          <w:cols w:equalWidth="0" w:num="1">
            <w:col w:w="11440"/>
          </w:cols>
          <w:pgMar w:left="240" w:top="533" w:right="219" w:bottom="1440" w:gutter="0" w:footer="0" w:header="0"/>
        </w:sect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Media Contact: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Contact:</w:t>
      </w:r>
    </w:p>
    <w:p>
      <w:pPr>
        <w:spacing w:after="0" w:line="80"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Niamh Hughes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Craig Felenstein</w:t>
      </w:r>
    </w:p>
    <w:p>
      <w:pPr>
        <w:spacing w:after="0" w:line="84"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917 563 4991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212 598 9440</w:t>
      </w:r>
    </w:p>
    <w:p>
      <w:pPr>
        <w:spacing w:after="0" w:line="80" w:lineRule="exact"/>
        <w:rPr>
          <w:sz w:val="20"/>
          <w:szCs w:val="20"/>
          <w:color w:val="auto"/>
        </w:rPr>
      </w:pPr>
    </w:p>
    <w:p>
      <w:pPr>
        <w:sectPr>
          <w:pgSz w:w="11900" w:h="16838" w:orient="portrait"/>
          <w:cols w:equalWidth="0" w:num="2">
            <w:col w:w="2960" w:space="720"/>
            <w:col w:w="7760"/>
          </w:cols>
          <w:pgMar w:left="240" w:top="533" w:right="2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press@shutterstock.com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ir@shutterstock.com</w:t>
      </w:r>
    </w:p>
    <w:p>
      <w:pPr>
        <w:sectPr>
          <w:pgSz w:w="11900" w:h="16838" w:orient="portrait"/>
          <w:cols w:equalWidth="0" w:num="2">
            <w:col w:w="2960" w:space="720"/>
            <w:col w:w="7760"/>
          </w:cols>
          <w:pgMar w:left="240" w:top="533" w:right="21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 thousands, except for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3"/>
                <w:szCs w:val="13"/>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3"/>
                <w:szCs w:val="13"/>
                <w:b w:val="1"/>
                <w:bCs w:val="1"/>
                <w:color w:val="auto"/>
              </w:rPr>
              <w:t>Six Months Ended June 30,</w:t>
            </w:r>
          </w:p>
        </w:tc>
      </w:tr>
      <w:tr>
        <w:trPr>
          <w:trHeight w:val="233"/>
        </w:trPr>
        <w:tc>
          <w:tcPr>
            <w:tcW w:w="5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2015</w:t>
            </w:r>
          </w:p>
        </w:tc>
      </w:tr>
      <w:tr>
        <w:trPr>
          <w:trHeight w:val="263"/>
        </w:trPr>
        <w:tc>
          <w:tcPr>
            <w:tcW w:w="5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124,419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104,365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241,071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201,887</w:t>
            </w:r>
          </w:p>
        </w:tc>
      </w:tr>
      <w:tr>
        <w:trPr>
          <w:trHeight w:val="137"/>
        </w:trPr>
        <w:tc>
          <w:tcPr>
            <w:tcW w:w="5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52,245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42,545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82,070</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31,571</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27,429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58,659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52,534</w:t>
            </w:r>
          </w:p>
        </w:tc>
      </w:tr>
      <w:tr>
        <w:trPr>
          <w:trHeight w:val="211"/>
        </w:trPr>
        <w:tc>
          <w:tcPr>
            <w:tcW w:w="516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11,971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20,873</w:t>
            </w:r>
          </w:p>
        </w:tc>
      </w:tr>
      <w:tr>
        <w:trPr>
          <w:trHeight w:val="30"/>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18,155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14,536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37,609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28,508</w:t>
            </w: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0"/>
              </w:rPr>
              <w:t>113,942</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94,699</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219,772</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183,985</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10,477</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9,666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21,299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17,902</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(2,619)</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10,265</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9,609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21,075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15,283</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6,703</w:t>
            </w:r>
          </w:p>
        </w:tc>
      </w:tr>
      <w:tr>
        <w:trPr>
          <w:trHeight w:val="30"/>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7,249</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13,382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8,580</w:t>
            </w:r>
          </w:p>
        </w:tc>
      </w:tr>
      <w:tr>
        <w:trPr>
          <w:trHeight w:val="199"/>
        </w:trPr>
        <w:tc>
          <w:tcPr>
            <w:tcW w:w="5160" w:type="dxa"/>
            <w:vAlign w:val="bottom"/>
          </w:tcPr>
          <w:p>
            <w:pPr>
              <w:ind w:left="20"/>
              <w:spacing w:after="0"/>
              <w:rPr>
                <w:sz w:val="20"/>
                <w:szCs w:val="20"/>
                <w:color w:val="auto"/>
              </w:rPr>
            </w:pPr>
            <w:r>
              <w:rPr>
                <w:rFonts w:ascii="Arial" w:cs="Arial" w:eastAsia="Arial" w:hAnsi="Arial"/>
                <w:sz w:val="14"/>
                <w:szCs w:val="14"/>
                <w:color w:val="auto"/>
              </w:rPr>
              <w:t>Less: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2"/>
        </w:trPr>
        <w:tc>
          <w:tcPr>
            <w:tcW w:w="5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Undistributed earnings to participating stockholder</w:t>
            </w:r>
          </w:p>
        </w:tc>
        <w:tc>
          <w:tcPr>
            <w:tcW w:w="9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r>
      <w:tr>
        <w:trPr>
          <w:trHeight w:val="191"/>
        </w:trPr>
        <w:tc>
          <w:tcPr>
            <w:tcW w:w="5160" w:type="dxa"/>
            <w:vAlign w:val="bottom"/>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900" w:type="dxa"/>
            <w:vAlign w:val="bottom"/>
            <w:tcBorders>
              <w:top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7,249</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5,337</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13,382</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8,578</w:t>
            </w:r>
          </w:p>
        </w:tc>
      </w:tr>
      <w:tr>
        <w:trPr>
          <w:trHeight w:val="30"/>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3"/>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available to common stockholders: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7"/>
                <w:szCs w:val="17"/>
                <w:color w:val="auto"/>
              </w:rPr>
            </w:pPr>
          </w:p>
        </w:tc>
        <w:tc>
          <w:tcPr>
            <w:tcW w:w="9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0.24</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5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199"/>
        </w:trPr>
        <w:tc>
          <w:tcPr>
            <w:tcW w:w="51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34,957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35,864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35,166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35,750</w:t>
            </w:r>
          </w:p>
        </w:tc>
      </w:tr>
      <w:tr>
        <w:trPr>
          <w:trHeight w:val="70"/>
        </w:trPr>
        <w:tc>
          <w:tcPr>
            <w:tcW w:w="51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0"/>
        </w:trPr>
        <w:tc>
          <w:tcPr>
            <w:tcW w:w="51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35,642</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36,340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35,870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36,267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par value amount)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2016</w:t>
            </w:r>
          </w:p>
        </w:tc>
        <w:tc>
          <w:tcPr>
            <w:tcW w:w="2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Arial" w:cs="Arial" w:eastAsia="Arial" w:hAnsi="Arial"/>
                <w:sz w:val="13"/>
                <w:szCs w:val="13"/>
                <w:b w:val="1"/>
                <w:bCs w:val="1"/>
                <w:color w:val="auto"/>
                <w:w w:val="97"/>
              </w:rPr>
              <w:t>December 31, 2015</w:t>
            </w:r>
          </w:p>
        </w:tc>
      </w:tr>
      <w:tr>
        <w:trPr>
          <w:trHeight w:val="250"/>
        </w:trPr>
        <w:tc>
          <w:tcPr>
            <w:tcW w:w="79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210,918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241,304</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54,974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47,078</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Credit card receivables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2,811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33,347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25,653</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18,238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11,713</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Deferred tax assets, net</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7,116</w:t>
            </w:r>
          </w:p>
        </w:tc>
      </w:tr>
      <w:tr>
        <w:trPr>
          <w:trHeight w:val="30"/>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328,815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335,675</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41,347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32,094</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Intangibles assets, net</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27,618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29,781</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51,423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50,934</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assets, net</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16,367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18,691</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1,946</w:t>
            </w:r>
          </w:p>
        </w:tc>
      </w:tr>
      <w:tr>
        <w:trPr>
          <w:trHeight w:val="30"/>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468,377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469,121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6,816</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31,247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30,696</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Contributor royalties payable</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19,270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17,822</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953</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111,258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98,239</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Other liabilities</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10,936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6,258</w:t>
            </w:r>
          </w:p>
        </w:tc>
      </w:tr>
      <w:tr>
        <w:trPr>
          <w:trHeight w:val="30"/>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183,817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160,784</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 liability, net</w:t>
            </w:r>
          </w:p>
        </w:tc>
        <w:tc>
          <w:tcPr>
            <w:tcW w:w="30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2,908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3,778</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15,994</w:t>
            </w:r>
          </w:p>
        </w:tc>
      </w:tr>
      <w:tr>
        <w:trPr>
          <w:trHeight w:val="191"/>
        </w:trPr>
        <w:tc>
          <w:tcPr>
            <w:tcW w:w="790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194,244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180,556</w:t>
            </w:r>
          </w:p>
        </w:tc>
      </w:tr>
      <w:tr>
        <w:trPr>
          <w:trHeight w:val="30"/>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Commitment and contingencies</w:t>
            </w:r>
          </w:p>
        </w:tc>
        <w:tc>
          <w:tcPr>
            <w:tcW w:w="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197"/>
        </w:trPr>
        <w:tc>
          <w:tcPr>
            <w:tcW w:w="79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Common stock, $0.01 par value; 200,000 shares authorized; 36,648 and 36,146 shares issued and 34,909 and 35,686 shares</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3"/>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outstanding as of June 30, 2016 and December 31, 2015, respectively</w:t>
            </w:r>
          </w:p>
        </w:tc>
        <w:tc>
          <w:tcPr>
            <w:tcW w:w="3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Treasury stock, at cost; 1,739 and 460 shares as of June 30, 2016 and December 31, 2015, respectively</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(15,635)</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232,312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213,851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(6,449)</w:t>
            </w:r>
          </w:p>
        </w:tc>
      </w:tr>
      <w:tr>
        <w:trPr>
          <w:trHeight w:val="30"/>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109,819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96,437</w:t>
            </w:r>
          </w:p>
        </w:tc>
      </w:tr>
      <w:tr>
        <w:trPr>
          <w:trHeight w:val="191"/>
        </w:trPr>
        <w:tc>
          <w:tcPr>
            <w:tcW w:w="7900" w:type="dxa"/>
            <w:vAlign w:val="bottom"/>
          </w:tcPr>
          <w:p>
            <w:pPr>
              <w:ind w:left="5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274,133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288,565</w:t>
            </w:r>
          </w:p>
        </w:tc>
      </w:tr>
      <w:tr>
        <w:trPr>
          <w:trHeight w:val="30"/>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468,377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469,121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Reconciliation of Non-GAAP Financial Information to GAAP</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thousands, except per share information)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w:t>
      </w:r>
    </w:p>
    <w:p>
      <w:pPr>
        <w:spacing w:after="0" w:line="97"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4"/>
          <w:szCs w:val="14"/>
          <w:color w:val="auto"/>
        </w:rPr>
        <w:t>The following information is not a financial measure under United States generally accepted accounting principles (GAAP). In addition, it should not be construed as an alternative to any other measures of performance determined in accordance with GAAP, or as an indicator of our operating performance, liquidity or cash flows generated by operating, investing and financing activities as there may be significant factors or trends that it fails to address. We present this financial information because we believe that it is helpful to some investors as one measure of our operations. We caution investors that non-GAAP financial information, by its nature, departs from traditional accounting conventions; accordingly, its use can make it difficult to compare our results with our results from other reporting periods and with the results of other companies.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60" w:type="dxa"/>
            <w:vAlign w:val="bottom"/>
            <w:gridSpan w:val="5"/>
          </w:tcPr>
          <w:p>
            <w:pPr>
              <w:ind w:left="480"/>
              <w:spacing w:after="0"/>
              <w:rPr>
                <w:sz w:val="20"/>
                <w:szCs w:val="20"/>
                <w:color w:val="auto"/>
              </w:rPr>
            </w:pPr>
            <w:r>
              <w:rPr>
                <w:rFonts w:ascii="Arial" w:cs="Arial" w:eastAsia="Arial" w:hAnsi="Arial"/>
                <w:sz w:val="11"/>
                <w:szCs w:val="11"/>
                <w:b w:val="1"/>
                <w:bCs w:val="1"/>
                <w:color w:val="auto"/>
              </w:rPr>
              <w:t>Three Months Ended June 30,</w:t>
            </w:r>
          </w:p>
        </w:tc>
        <w:tc>
          <w:tcPr>
            <w:tcW w:w="360" w:type="dxa"/>
            <w:vAlign w:val="bottom"/>
          </w:tcPr>
          <w:p>
            <w:pPr>
              <w:spacing w:after="0"/>
              <w:rPr>
                <w:sz w:val="13"/>
                <w:szCs w:val="13"/>
                <w:color w:val="auto"/>
              </w:rPr>
            </w:pPr>
          </w:p>
        </w:tc>
        <w:tc>
          <w:tcPr>
            <w:tcW w:w="1840" w:type="dxa"/>
            <w:vAlign w:val="bottom"/>
            <w:gridSpan w:val="4"/>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2016</w:t>
            </w: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w w:val="81"/>
              </w:rPr>
              <w:t>2015</w:t>
            </w:r>
          </w:p>
        </w:tc>
        <w:tc>
          <w:tcPr>
            <w:tcW w:w="0" w:type="dxa"/>
            <w:vAlign w:val="bottom"/>
          </w:tcPr>
          <w:p>
            <w:pPr>
              <w:spacing w:after="0"/>
              <w:rPr>
                <w:sz w:val="1"/>
                <w:szCs w:val="1"/>
                <w:color w:val="auto"/>
              </w:rPr>
            </w:pPr>
          </w:p>
        </w:tc>
      </w:tr>
      <w:tr>
        <w:trPr>
          <w:trHeight w:val="15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10,477</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9,666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21,299</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17,902</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Add: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4,801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3,499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9,005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6,494</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tcPr>
          <w:p>
            <w:pPr>
              <w:ind w:left="140"/>
              <w:spacing w:after="0"/>
              <w:rPr>
                <w:sz w:val="20"/>
                <w:szCs w:val="20"/>
                <w:color w:val="auto"/>
              </w:rPr>
            </w:pPr>
            <w:r>
              <w:rPr>
                <w:rFonts w:ascii="Arial" w:cs="Arial" w:eastAsia="Arial" w:hAnsi="Arial"/>
                <w:sz w:val="13"/>
                <w:szCs w:val="13"/>
                <w:color w:val="auto"/>
              </w:rPr>
              <w:t>(b)</w:t>
            </w:r>
          </w:p>
        </w:tc>
        <w:tc>
          <w:tcPr>
            <w:tcW w:w="4840" w:type="dxa"/>
            <w:vAlign w:val="bottom"/>
          </w:tcPr>
          <w:p>
            <w:pPr>
              <w:ind w:left="40"/>
              <w:spacing w:after="0"/>
              <w:rPr>
                <w:sz w:val="20"/>
                <w:szCs w:val="20"/>
                <w:color w:val="auto"/>
              </w:rPr>
            </w:pPr>
            <w:r>
              <w:rPr>
                <w:rFonts w:ascii="Arial" w:cs="Arial" w:eastAsia="Arial" w:hAnsi="Arial"/>
                <w:sz w:val="13"/>
                <w:szCs w:val="13"/>
                <w:color w:val="auto"/>
              </w:rPr>
              <w:t>Non-cash equity-based compensation</w:t>
            </w:r>
          </w:p>
        </w:tc>
        <w:tc>
          <w:tcPr>
            <w:tcW w:w="360" w:type="dxa"/>
            <w:vAlign w:val="bottom"/>
          </w:tcPr>
          <w:p>
            <w:pPr>
              <w:spacing w:after="0"/>
              <w:rPr>
                <w:sz w:val="14"/>
                <w:szCs w:val="14"/>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7,252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7,580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14,605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15,088</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 Accelerated change in fair value of contingent consideration</w:t>
            </w:r>
            <w:r>
              <w:rPr>
                <w:rFonts w:ascii="Arial" w:cs="Arial" w:eastAsia="Arial" w:hAnsi="Arial"/>
                <w:sz w:val="8"/>
                <w:szCs w:val="8"/>
                <w:color w:val="auto"/>
              </w:rPr>
              <w:t>(1)</w:t>
            </w:r>
          </w:p>
        </w:tc>
        <w:tc>
          <w:tcPr>
            <w:tcW w:w="3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1,651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5"/>
        </w:trPr>
        <w:tc>
          <w:tcPr>
            <w:tcW w:w="320" w:type="dxa"/>
            <w:vAlign w:val="bottom"/>
            <w:shd w:val="clear" w:color="auto" w:fill="CCEEFF"/>
          </w:tcPr>
          <w:p>
            <w:pPr>
              <w:spacing w:after="0"/>
              <w:rPr>
                <w:sz w:val="5"/>
                <w:szCs w:val="5"/>
                <w:color w:val="auto"/>
              </w:rPr>
            </w:pPr>
          </w:p>
        </w:tc>
        <w:tc>
          <w:tcPr>
            <w:tcW w:w="4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Adjusted EBITDA</w:t>
            </w:r>
            <w:r>
              <w:rPr>
                <w:rFonts w:ascii="Arial" w:cs="Arial" w:eastAsia="Arial" w:hAnsi="Arial"/>
                <w:sz w:val="8"/>
                <w:szCs w:val="8"/>
                <w:color w:val="auto"/>
              </w:rPr>
              <w:t>(2)</w:t>
            </w: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22,530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20,745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46,560</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39,484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ind w:left="480"/>
              <w:spacing w:after="0"/>
              <w:rPr>
                <w:sz w:val="20"/>
                <w:szCs w:val="20"/>
                <w:color w:val="auto"/>
              </w:rPr>
            </w:pPr>
            <w:r>
              <w:rPr>
                <w:rFonts w:ascii="Arial" w:cs="Arial" w:eastAsia="Arial" w:hAnsi="Arial"/>
                <w:sz w:val="11"/>
                <w:szCs w:val="11"/>
                <w:b w:val="1"/>
                <w:bCs w:val="1"/>
                <w:color w:val="auto"/>
              </w:rPr>
              <w:t>Three Months Ended June 30,</w:t>
            </w:r>
          </w:p>
        </w:tc>
        <w:tc>
          <w:tcPr>
            <w:tcW w:w="3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2016</w:t>
            </w: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w w:val="81"/>
              </w:rPr>
              <w:t>2015</w:t>
            </w:r>
          </w:p>
        </w:tc>
        <w:tc>
          <w:tcPr>
            <w:tcW w:w="0" w:type="dxa"/>
            <w:vAlign w:val="bottom"/>
          </w:tcPr>
          <w:p>
            <w:pPr>
              <w:spacing w:after="0"/>
              <w:rPr>
                <w:sz w:val="1"/>
                <w:szCs w:val="1"/>
                <w:color w:val="auto"/>
              </w:rPr>
            </w:pPr>
          </w:p>
        </w:tc>
      </w:tr>
      <w:tr>
        <w:trPr>
          <w:trHeight w:val="15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7,249</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5,337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13,382</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8,580</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Add/(less):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516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 Non-cash equity-based compensation</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7,252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7,580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14,605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15,088</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(b) Acquisition-related amortization expense</w:t>
            </w:r>
          </w:p>
        </w:tc>
        <w:tc>
          <w:tcPr>
            <w:tcW w:w="360" w:type="dxa"/>
            <w:vAlign w:val="bottom"/>
          </w:tcPr>
          <w:p>
            <w:pPr>
              <w:spacing w:after="0"/>
              <w:rPr>
                <w:sz w:val="14"/>
                <w:szCs w:val="14"/>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1,086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1,170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2,257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2,113</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 Change in fair value of contingent consideration</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2,495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(d) Tax effect of net income adjustments</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(3,057)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(3,258)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(6,944)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(6,513)</w:t>
            </w:r>
          </w:p>
        </w:tc>
        <w:tc>
          <w:tcPr>
            <w:tcW w:w="0" w:type="dxa"/>
            <w:vAlign w:val="bottom"/>
          </w:tcPr>
          <w:p>
            <w:pPr>
              <w:spacing w:after="0"/>
              <w:rPr>
                <w:sz w:val="1"/>
                <w:szCs w:val="1"/>
                <w:color w:val="auto"/>
              </w:rPr>
            </w:pPr>
          </w:p>
        </w:tc>
      </w:tr>
      <w:tr>
        <w:trPr>
          <w:trHeight w:val="65"/>
        </w:trPr>
        <w:tc>
          <w:tcPr>
            <w:tcW w:w="320" w:type="dxa"/>
            <w:vAlign w:val="bottom"/>
            <w:tcBorders>
              <w:bottom w:val="single" w:sz="8" w:color="CCEEFF"/>
            </w:tcBorders>
          </w:tcPr>
          <w:p>
            <w:pPr>
              <w:spacing w:after="0"/>
              <w:rPr>
                <w:sz w:val="5"/>
                <w:szCs w:val="5"/>
                <w:color w:val="auto"/>
              </w:rPr>
            </w:pPr>
          </w:p>
        </w:tc>
        <w:tc>
          <w:tcPr>
            <w:tcW w:w="48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Non-GAAP net income</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12,660</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11,212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25,795</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20,168</w:t>
            </w:r>
          </w:p>
        </w:tc>
        <w:tc>
          <w:tcPr>
            <w:tcW w:w="0" w:type="dxa"/>
            <w:vAlign w:val="bottom"/>
          </w:tcPr>
          <w:p>
            <w:pPr>
              <w:spacing w:after="0"/>
              <w:rPr>
                <w:sz w:val="1"/>
                <w:szCs w:val="1"/>
                <w:color w:val="auto"/>
              </w:rPr>
            </w:pPr>
          </w:p>
        </w:tc>
      </w:tr>
      <w:tr>
        <w:trPr>
          <w:trHeight w:val="53"/>
        </w:trPr>
        <w:tc>
          <w:tcPr>
            <w:tcW w:w="320" w:type="dxa"/>
            <w:vAlign w:val="bottom"/>
            <w:tcBorders>
              <w:bottom w:val="single" w:sz="8" w:color="CCEEFF"/>
            </w:tcBorders>
            <w:shd w:val="clear" w:color="auto" w:fill="CCEEFF"/>
          </w:tcPr>
          <w:p>
            <w:pPr>
              <w:spacing w:after="0"/>
              <w:rPr>
                <w:sz w:val="4"/>
                <w:szCs w:val="4"/>
                <w:color w:val="auto"/>
              </w:rPr>
            </w:pPr>
          </w:p>
        </w:tc>
        <w:tc>
          <w:tcPr>
            <w:tcW w:w="48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0"/>
              <w:spacing w:after="0"/>
              <w:rPr>
                <w:sz w:val="20"/>
                <w:szCs w:val="20"/>
                <w:color w:val="auto"/>
              </w:rPr>
            </w:pPr>
            <w:r>
              <w:rPr>
                <w:rFonts w:ascii="Arial" w:cs="Arial" w:eastAsia="Arial" w:hAnsi="Arial"/>
                <w:sz w:val="13"/>
                <w:szCs w:val="13"/>
                <w:color w:val="auto"/>
              </w:rPr>
              <w:t>Non-GAAP net income per diluted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60" w:type="dxa"/>
            <w:vAlign w:val="bottom"/>
            <w:gridSpan w:val="2"/>
            <w:vMerge w:val="continue"/>
          </w:tcPr>
          <w:p>
            <w:pPr>
              <w:spacing w:after="0"/>
              <w:rPr>
                <w:sz w:val="11"/>
                <w:szCs w:val="11"/>
                <w:color w:val="auto"/>
              </w:rPr>
            </w:pPr>
          </w:p>
        </w:tc>
        <w:tc>
          <w:tcPr>
            <w:tcW w:w="360" w:type="dxa"/>
            <w:vAlign w:val="bottom"/>
            <w:vMerge w:val="restart"/>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0.36</w:t>
            </w:r>
          </w:p>
        </w:tc>
        <w:tc>
          <w:tcPr>
            <w:tcW w:w="120" w:type="dxa"/>
            <w:vAlign w:val="bottom"/>
          </w:tcPr>
          <w:p>
            <w:pPr>
              <w:spacing w:after="0"/>
              <w:rPr>
                <w:sz w:val="11"/>
                <w:szCs w:val="11"/>
                <w:color w:val="auto"/>
              </w:rPr>
            </w:pPr>
          </w:p>
        </w:tc>
        <w:tc>
          <w:tcPr>
            <w:tcW w:w="360" w:type="dxa"/>
            <w:vAlign w:val="bottom"/>
            <w:vMerge w:val="restart"/>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0.31</w:t>
            </w:r>
          </w:p>
        </w:tc>
        <w:tc>
          <w:tcPr>
            <w:tcW w:w="100" w:type="dxa"/>
            <w:vAlign w:val="bottom"/>
          </w:tcPr>
          <w:p>
            <w:pPr>
              <w:spacing w:after="0"/>
              <w:rPr>
                <w:sz w:val="11"/>
                <w:szCs w:val="11"/>
                <w:color w:val="auto"/>
              </w:rPr>
            </w:pPr>
          </w:p>
        </w:tc>
        <w:tc>
          <w:tcPr>
            <w:tcW w:w="360" w:type="dxa"/>
            <w:vAlign w:val="bottom"/>
            <w:vMerge w:val="restart"/>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0.72</w:t>
            </w:r>
          </w:p>
        </w:tc>
        <w:tc>
          <w:tcPr>
            <w:tcW w:w="100" w:type="dxa"/>
            <w:vAlign w:val="bottom"/>
          </w:tcPr>
          <w:p>
            <w:pPr>
              <w:spacing w:after="0"/>
              <w:rPr>
                <w:sz w:val="11"/>
                <w:szCs w:val="11"/>
                <w:color w:val="auto"/>
              </w:rPr>
            </w:pPr>
          </w:p>
        </w:tc>
        <w:tc>
          <w:tcPr>
            <w:tcW w:w="620" w:type="dxa"/>
            <w:vAlign w:val="bottom"/>
            <w:vMerge w:val="restart"/>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58"/>
        </w:trPr>
        <w:tc>
          <w:tcPr>
            <w:tcW w:w="3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20" w:type="dxa"/>
            <w:vAlign w:val="bottom"/>
          </w:tcPr>
          <w:p>
            <w:pPr>
              <w:spacing w:after="0"/>
              <w:rPr>
                <w:sz w:val="7"/>
                <w:szCs w:val="7"/>
                <w:color w:val="auto"/>
              </w:rPr>
            </w:pPr>
          </w:p>
        </w:tc>
        <w:tc>
          <w:tcPr>
            <w:tcW w:w="4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diluted shares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35,642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36,340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35,870</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36,267</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ind w:left="480"/>
              <w:spacing w:after="0"/>
              <w:rPr>
                <w:sz w:val="20"/>
                <w:szCs w:val="20"/>
                <w:color w:val="auto"/>
              </w:rPr>
            </w:pPr>
            <w:r>
              <w:rPr>
                <w:rFonts w:ascii="Arial" w:cs="Arial" w:eastAsia="Arial" w:hAnsi="Arial"/>
                <w:sz w:val="11"/>
                <w:szCs w:val="11"/>
                <w:b w:val="1"/>
                <w:bCs w:val="1"/>
                <w:color w:val="auto"/>
              </w:rPr>
              <w:t>Three Months Ended June 30,</w:t>
            </w:r>
          </w:p>
        </w:tc>
        <w:tc>
          <w:tcPr>
            <w:tcW w:w="3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1"/>
                <w:szCs w:val="11"/>
                <w:b w:val="1"/>
                <w:bCs w:val="1"/>
                <w:color w:val="auto"/>
              </w:rPr>
              <w:t>2016</w:t>
            </w: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w w:val="81"/>
              </w:rPr>
              <w:t>2015</w:t>
            </w:r>
          </w:p>
        </w:tc>
        <w:tc>
          <w:tcPr>
            <w:tcW w:w="0" w:type="dxa"/>
            <w:vAlign w:val="bottom"/>
          </w:tcPr>
          <w:p>
            <w:pPr>
              <w:spacing w:after="0"/>
              <w:rPr>
                <w:sz w:val="1"/>
                <w:szCs w:val="1"/>
                <w:color w:val="auto"/>
              </w:rPr>
            </w:pPr>
          </w:p>
        </w:tc>
      </w:tr>
      <w:tr>
        <w:trPr>
          <w:trHeight w:val="15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18,622</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18,629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41,603</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40,099</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Capital expenditures and content acquisition</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(9,338)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(4,526)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(17,756)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(7,557)</w:t>
            </w:r>
          </w:p>
        </w:tc>
        <w:tc>
          <w:tcPr>
            <w:tcW w:w="0" w:type="dxa"/>
            <w:vAlign w:val="bottom"/>
          </w:tcPr>
          <w:p>
            <w:pPr>
              <w:spacing w:after="0"/>
              <w:rPr>
                <w:sz w:val="1"/>
                <w:szCs w:val="1"/>
                <w:color w:val="auto"/>
              </w:rPr>
            </w:pPr>
          </w:p>
        </w:tc>
      </w:tr>
      <w:tr>
        <w:trPr>
          <w:trHeight w:val="65"/>
        </w:trPr>
        <w:tc>
          <w:tcPr>
            <w:tcW w:w="320" w:type="dxa"/>
            <w:vAlign w:val="bottom"/>
            <w:tcBorders>
              <w:bottom w:val="single" w:sz="8" w:color="CCEEFF"/>
            </w:tcBorders>
          </w:tcPr>
          <w:p>
            <w:pPr>
              <w:spacing w:after="0"/>
              <w:rPr>
                <w:sz w:val="5"/>
                <w:szCs w:val="5"/>
                <w:color w:val="auto"/>
              </w:rPr>
            </w:pPr>
          </w:p>
        </w:tc>
        <w:tc>
          <w:tcPr>
            <w:tcW w:w="48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Free cash flow</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9,284</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14,103</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23,847</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32,542</w:t>
            </w:r>
          </w:p>
        </w:tc>
        <w:tc>
          <w:tcPr>
            <w:tcW w:w="0" w:type="dxa"/>
            <w:vAlign w:val="bottom"/>
          </w:tcPr>
          <w:p>
            <w:pPr>
              <w:spacing w:after="0"/>
              <w:rPr>
                <w:sz w:val="1"/>
                <w:szCs w:val="1"/>
                <w:color w:val="auto"/>
              </w:rPr>
            </w:pPr>
          </w:p>
        </w:tc>
      </w:tr>
      <w:tr>
        <w:trPr>
          <w:trHeight w:val="53"/>
        </w:trPr>
        <w:tc>
          <w:tcPr>
            <w:tcW w:w="320" w:type="dxa"/>
            <w:vAlign w:val="bottom"/>
            <w:tcBorders>
              <w:bottom w:val="single" w:sz="8" w:color="CCEEFF"/>
            </w:tcBorders>
            <w:shd w:val="clear" w:color="auto" w:fill="CCEEFF"/>
          </w:tcPr>
          <w:p>
            <w:pPr>
              <w:spacing w:after="0"/>
              <w:rPr>
                <w:sz w:val="4"/>
                <w:szCs w:val="4"/>
                <w:color w:val="auto"/>
              </w:rPr>
            </w:pPr>
          </w:p>
        </w:tc>
        <w:tc>
          <w:tcPr>
            <w:tcW w:w="48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20" w:type="dxa"/>
            <w:vAlign w:val="bottom"/>
          </w:tcPr>
          <w:p>
            <w:pPr>
              <w:spacing w:after="0"/>
              <w:rPr>
                <w:sz w:val="7"/>
                <w:szCs w:val="7"/>
                <w:color w:val="auto"/>
              </w:rPr>
            </w:pPr>
          </w:p>
        </w:tc>
        <w:tc>
          <w:tcPr>
            <w:tcW w:w="4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Adjusted EBITDA </w:t>
            </w:r>
            <w:r>
              <w:rPr>
                <w:rFonts w:ascii="Arial" w:cs="Arial" w:eastAsia="Arial" w:hAnsi="Arial"/>
                <w:sz w:val="8"/>
                <w:szCs w:val="8"/>
                <w:color w:val="auto"/>
              </w:rPr>
              <w:t>(2)</w:t>
            </w: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22,530</w:t>
            </w:r>
          </w:p>
        </w:tc>
        <w:tc>
          <w:tcPr>
            <w:tcW w:w="12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20,745</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46,560</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39,484</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Add/(less):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(953)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4,901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11,728</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tcPr>
          <w:p>
            <w:pPr>
              <w:ind w:left="140"/>
              <w:spacing w:after="0"/>
              <w:rPr>
                <w:sz w:val="20"/>
                <w:szCs w:val="20"/>
                <w:color w:val="auto"/>
              </w:rPr>
            </w:pPr>
            <w:r>
              <w:rPr>
                <w:rFonts w:ascii="Arial" w:cs="Arial" w:eastAsia="Arial" w:hAnsi="Arial"/>
                <w:sz w:val="13"/>
                <w:szCs w:val="13"/>
                <w:color w:val="auto"/>
              </w:rPr>
              <w:t>(b)</w:t>
            </w:r>
          </w:p>
        </w:tc>
        <w:tc>
          <w:tcPr>
            <w:tcW w:w="4840" w:type="dxa"/>
            <w:vAlign w:val="bottom"/>
          </w:tcPr>
          <w:p>
            <w:pPr>
              <w:ind w:left="40"/>
              <w:spacing w:after="0"/>
              <w:rPr>
                <w:sz w:val="20"/>
                <w:szCs w:val="20"/>
                <w:color w:val="auto"/>
              </w:rPr>
            </w:pPr>
            <w:r>
              <w:rPr>
                <w:rFonts w:ascii="Arial" w:cs="Arial" w:eastAsia="Arial" w:hAnsi="Arial"/>
                <w:sz w:val="13"/>
                <w:szCs w:val="13"/>
                <w:color w:val="auto"/>
              </w:rPr>
              <w:t>Provision for income taxes</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(3,016)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(4,272)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(7,693)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(6,703)</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(1,740)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1,792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(1,825)</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tcPr>
          <w:p>
            <w:pPr>
              <w:ind w:left="140"/>
              <w:spacing w:after="0"/>
              <w:rPr>
                <w:sz w:val="20"/>
                <w:szCs w:val="20"/>
                <w:color w:val="auto"/>
              </w:rPr>
            </w:pPr>
            <w:r>
              <w:rPr>
                <w:rFonts w:ascii="Arial" w:cs="Arial" w:eastAsia="Arial" w:hAnsi="Arial"/>
                <w:sz w:val="13"/>
                <w:szCs w:val="13"/>
                <w:color w:val="auto"/>
              </w:rPr>
              <w:t>(d)</w:t>
            </w:r>
          </w:p>
        </w:tc>
        <w:tc>
          <w:tcPr>
            <w:tcW w:w="4840" w:type="dxa"/>
            <w:vAlign w:val="bottom"/>
          </w:tcPr>
          <w:p>
            <w:pPr>
              <w:ind w:left="40"/>
              <w:spacing w:after="0"/>
              <w:rPr>
                <w:sz w:val="20"/>
                <w:szCs w:val="20"/>
                <w:color w:val="auto"/>
              </w:rPr>
            </w:pPr>
            <w:r>
              <w:rPr>
                <w:rFonts w:ascii="Arial" w:cs="Arial" w:eastAsia="Arial" w:hAnsi="Arial"/>
                <w:sz w:val="13"/>
                <w:szCs w:val="13"/>
                <w:color w:val="auto"/>
              </w:rPr>
              <w:t>Excess tax benefit from exercise of stock options</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1,363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w:t>
            </w:r>
          </w:p>
        </w:tc>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doubtful accounts/chargeback/sales refund reserves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1,427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2,610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834</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 w:type="dxa"/>
            <w:vAlign w:val="bottom"/>
          </w:tcPr>
          <w:p>
            <w:pPr>
              <w:ind w:left="140"/>
              <w:spacing w:after="0"/>
              <w:rPr>
                <w:sz w:val="20"/>
                <w:szCs w:val="20"/>
                <w:color w:val="auto"/>
              </w:rPr>
            </w:pPr>
            <w:r>
              <w:rPr>
                <w:rFonts w:ascii="Arial" w:cs="Arial" w:eastAsia="Arial" w:hAnsi="Arial"/>
                <w:sz w:val="13"/>
                <w:szCs w:val="13"/>
                <w:color w:val="auto"/>
              </w:rPr>
              <w:t>(f)</w:t>
            </w:r>
          </w:p>
        </w:tc>
        <w:tc>
          <w:tcPr>
            <w:tcW w:w="4840" w:type="dxa"/>
            <w:vAlign w:val="bottom"/>
          </w:tcPr>
          <w:p>
            <w:pPr>
              <w:ind w:left="20"/>
              <w:spacing w:after="0"/>
              <w:rPr>
                <w:sz w:val="20"/>
                <w:szCs w:val="20"/>
                <w:color w:val="auto"/>
              </w:rPr>
            </w:pPr>
            <w:r>
              <w:rPr>
                <w:rFonts w:ascii="Arial" w:cs="Arial" w:eastAsia="Arial" w:hAnsi="Arial"/>
                <w:sz w:val="13"/>
                <w:szCs w:val="13"/>
                <w:color w:val="auto"/>
              </w:rPr>
              <w:t>Other adjustments, net</w:t>
            </w:r>
            <w:r>
              <w:rPr>
                <w:rFonts w:ascii="Arial" w:cs="Arial" w:eastAsia="Arial" w:hAnsi="Arial"/>
                <w:sz w:val="8"/>
                <w:szCs w:val="8"/>
                <w:color w:val="auto"/>
              </w:rPr>
              <w:t>(3)</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16"/>
              <w:spacing w:after="0"/>
              <w:rPr>
                <w:sz w:val="20"/>
                <w:szCs w:val="20"/>
                <w:color w:val="auto"/>
              </w:rPr>
            </w:pPr>
            <w:r>
              <w:rPr>
                <w:rFonts w:ascii="Arial" w:cs="Arial" w:eastAsia="Arial" w:hAnsi="Arial"/>
                <w:sz w:val="13"/>
                <w:szCs w:val="13"/>
                <w:color w:val="auto"/>
              </w:rPr>
              <w:t>(2,619)</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 Change in fair value of contingent consideration</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2,495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71"/>
        </w:trPr>
        <w:tc>
          <w:tcPr>
            <w:tcW w:w="32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ind w:left="140"/>
              <w:spacing w:after="0"/>
              <w:rPr>
                <w:sz w:val="20"/>
                <w:szCs w:val="20"/>
                <w:color w:val="auto"/>
              </w:rPr>
            </w:pPr>
            <w:r>
              <w:rPr>
                <w:rFonts w:ascii="Arial" w:cs="Arial" w:eastAsia="Arial" w:hAnsi="Arial"/>
                <w:sz w:val="13"/>
                <w:szCs w:val="13"/>
                <w:color w:val="auto"/>
                <w:w w:val="98"/>
              </w:rPr>
              <w:t>(h) Settlement of contingent consideration liability in excess of acquisition-date fair value</w:t>
            </w:r>
          </w:p>
        </w:tc>
        <w:tc>
          <w:tcPr>
            <w:tcW w:w="360" w:type="dxa"/>
            <w:vAlign w:val="bottom"/>
          </w:tcPr>
          <w:p>
            <w:pPr>
              <w:spacing w:after="0"/>
              <w:rPr>
                <w:sz w:val="14"/>
                <w:szCs w:val="14"/>
                <w:color w:val="auto"/>
              </w:rPr>
            </w:pPr>
          </w:p>
        </w:tc>
        <w:tc>
          <w:tcPr>
            <w:tcW w:w="1140" w:type="dxa"/>
            <w:vAlign w:val="bottom"/>
            <w:vMerge w:val="restart"/>
          </w:tcPr>
          <w:p>
            <w:pPr>
              <w:jc w:val="right"/>
              <w:ind w:right="17"/>
              <w:spacing w:after="0"/>
              <w:rPr>
                <w:sz w:val="20"/>
                <w:szCs w:val="20"/>
                <w:color w:val="auto"/>
              </w:rPr>
            </w:pPr>
            <w:r>
              <w:rPr>
                <w:rFonts w:ascii="Arial" w:cs="Arial" w:eastAsia="Arial" w:hAnsi="Arial"/>
                <w:sz w:val="13"/>
                <w:szCs w:val="13"/>
                <w:color w:val="auto"/>
              </w:rPr>
              <w:t>(1,640)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(1,640)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tcBorders>
              <w:top w:val="single" w:sz="8" w:color="auto"/>
            </w:tcBorders>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18,622</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18,629</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41,603</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40,099</w:t>
            </w:r>
          </w:p>
        </w:tc>
        <w:tc>
          <w:tcPr>
            <w:tcW w:w="0" w:type="dxa"/>
            <w:vAlign w:val="bottom"/>
          </w:tcPr>
          <w:p>
            <w:pPr>
              <w:spacing w:after="0"/>
              <w:rPr>
                <w:sz w:val="1"/>
                <w:szCs w:val="1"/>
                <w:color w:val="auto"/>
              </w:rPr>
            </w:pPr>
          </w:p>
        </w:tc>
      </w:tr>
      <w:tr>
        <w:trPr>
          <w:trHeight w:val="53"/>
        </w:trPr>
        <w:tc>
          <w:tcPr>
            <w:tcW w:w="320" w:type="dxa"/>
            <w:vAlign w:val="bottom"/>
            <w:tcBorders>
              <w:bottom w:val="single" w:sz="8" w:color="CCEEFF"/>
            </w:tcBorders>
            <w:shd w:val="clear" w:color="auto" w:fill="CCEEFF"/>
          </w:tcPr>
          <w:p>
            <w:pPr>
              <w:spacing w:after="0"/>
              <w:rPr>
                <w:sz w:val="4"/>
                <w:szCs w:val="4"/>
                <w:color w:val="auto"/>
              </w:rPr>
            </w:pPr>
          </w:p>
        </w:tc>
        <w:tc>
          <w:tcPr>
            <w:tcW w:w="48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auto"/>
            </w:tcBorders>
            <w:vMerge w:val="continue"/>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3"/>
                <w:szCs w:val="13"/>
                <w:b w:val="1"/>
                <w:bCs w:val="1"/>
                <w:color w:val="auto"/>
              </w:rPr>
              <w:t>2016 Outlook</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676"/>
              <w:spacing w:after="0"/>
              <w:rPr>
                <w:sz w:val="20"/>
                <w:szCs w:val="20"/>
                <w:color w:val="auto"/>
              </w:rPr>
            </w:pPr>
            <w:r>
              <w:rPr>
                <w:rFonts w:ascii="Arial" w:cs="Arial" w:eastAsia="Arial" w:hAnsi="Arial"/>
                <w:sz w:val="10"/>
                <w:szCs w:val="10"/>
                <w:b w:val="1"/>
                <w:bCs w:val="1"/>
                <w:color w:val="auto"/>
              </w:rPr>
              <w:t>(in millions)</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43.3 - 51.3</w:t>
            </w:r>
          </w:p>
        </w:tc>
        <w:tc>
          <w:tcPr>
            <w:tcW w:w="0" w:type="dxa"/>
            <w:vAlign w:val="bottom"/>
          </w:tcPr>
          <w:p>
            <w:pPr>
              <w:spacing w:after="0"/>
              <w:rPr>
                <w:sz w:val="1"/>
                <w:szCs w:val="1"/>
                <w:color w:val="auto"/>
              </w:rPr>
            </w:pPr>
          </w:p>
        </w:tc>
      </w:tr>
      <w:tr>
        <w:trPr>
          <w:trHeight w:val="236"/>
        </w:trPr>
        <w:tc>
          <w:tcPr>
            <w:tcW w:w="5160" w:type="dxa"/>
            <w:vAlign w:val="bottom"/>
            <w:gridSpan w:val="2"/>
          </w:tcPr>
          <w:p>
            <w:pPr>
              <w:ind w:left="140"/>
              <w:spacing w:after="0"/>
              <w:rPr>
                <w:sz w:val="20"/>
                <w:szCs w:val="20"/>
                <w:color w:val="auto"/>
              </w:rPr>
            </w:pPr>
            <w:r>
              <w:rPr>
                <w:rFonts w:ascii="Arial" w:cs="Arial" w:eastAsia="Arial" w:hAnsi="Arial"/>
                <w:sz w:val="13"/>
                <w:szCs w:val="13"/>
                <w:color w:val="auto"/>
              </w:rPr>
              <w:t>Accelerated change in fair value of contingent consideration</w:t>
            </w:r>
            <w:r>
              <w:rPr>
                <w:rFonts w:ascii="Arial" w:cs="Arial" w:eastAsia="Arial" w:hAnsi="Arial"/>
                <w:sz w:val="8"/>
                <w:szCs w:val="8"/>
                <w:color w:val="auto"/>
              </w:rPr>
              <w:t>(1)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1.7 - 1.7</w:t>
            </w:r>
          </w:p>
        </w:tc>
        <w:tc>
          <w:tcPr>
            <w:tcW w:w="0" w:type="dxa"/>
            <w:vAlign w:val="bottom"/>
          </w:tcPr>
          <w:p>
            <w:pPr>
              <w:spacing w:after="0"/>
              <w:rPr>
                <w:sz w:val="1"/>
                <w:szCs w:val="1"/>
                <w:color w:val="auto"/>
              </w:rPr>
            </w:pPr>
          </w:p>
        </w:tc>
      </w:tr>
      <w:tr>
        <w:trPr>
          <w:trHeight w:val="241"/>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amortization and non-cash equity-based compensation costs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50.0 - 47.0</w:t>
            </w:r>
          </w:p>
        </w:tc>
        <w:tc>
          <w:tcPr>
            <w:tcW w:w="0" w:type="dxa"/>
            <w:vAlign w:val="bottom"/>
          </w:tcPr>
          <w:p>
            <w:pPr>
              <w:spacing w:after="0"/>
              <w:rPr>
                <w:sz w:val="1"/>
                <w:szCs w:val="1"/>
                <w:color w:val="auto"/>
              </w:rPr>
            </w:pPr>
          </w:p>
        </w:tc>
      </w:tr>
      <w:tr>
        <w:trPr>
          <w:trHeight w:val="178"/>
        </w:trPr>
        <w:tc>
          <w:tcPr>
            <w:tcW w:w="5160" w:type="dxa"/>
            <w:vAlign w:val="bottom"/>
            <w:gridSpan w:val="2"/>
          </w:tcPr>
          <w:p>
            <w:pPr>
              <w:ind w:left="20"/>
              <w:spacing w:after="0"/>
              <w:rPr>
                <w:sz w:val="20"/>
                <w:szCs w:val="20"/>
                <w:color w:val="auto"/>
              </w:rPr>
            </w:pPr>
            <w:r>
              <w:rPr>
                <w:rFonts w:ascii="Arial" w:cs="Arial" w:eastAsia="Arial" w:hAnsi="Arial"/>
                <w:sz w:val="13"/>
                <w:szCs w:val="13"/>
                <w:color w:val="auto"/>
              </w:rPr>
              <w:t>Adjusted EBITDA</w:t>
            </w:r>
            <w:r>
              <w:rPr>
                <w:rFonts w:ascii="Arial" w:cs="Arial" w:eastAsia="Arial" w:hAnsi="Arial"/>
                <w:sz w:val="8"/>
                <w:szCs w:val="8"/>
                <w:color w:val="auto"/>
              </w:rPr>
              <w:t>(2)</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96"/>
              <w:spacing w:after="0"/>
              <w:rPr>
                <w:sz w:val="20"/>
                <w:szCs w:val="20"/>
                <w:color w:val="auto"/>
              </w:rPr>
            </w:pPr>
            <w:r>
              <w:rPr>
                <w:rFonts w:ascii="Arial" w:cs="Arial" w:eastAsia="Arial" w:hAnsi="Arial"/>
                <w:sz w:val="13"/>
                <w:szCs w:val="13"/>
                <w:color w:val="auto"/>
                <w:w w:val="97"/>
              </w:rPr>
              <w:t>95.0 - 100.0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164" w:hanging="164"/>
        <w:spacing w:after="0" w:line="229" w:lineRule="auto"/>
        <w:tabs>
          <w:tab w:leader="none" w:pos="164" w:val="left"/>
        </w:tabs>
        <w:numPr>
          <w:ilvl w:val="0"/>
          <w:numId w:val="7"/>
        </w:numPr>
        <w:rPr>
          <w:rFonts w:ascii="Arial" w:cs="Arial" w:eastAsia="Arial" w:hAnsi="Arial"/>
          <w:sz w:val="10"/>
          <w:szCs w:val="10"/>
          <w:color w:val="auto"/>
        </w:rPr>
      </w:pPr>
      <w:r>
        <w:rPr>
          <w:rFonts w:ascii="Arial" w:cs="Arial" w:eastAsia="Arial" w:hAnsi="Arial"/>
          <w:sz w:val="10"/>
          <w:szCs w:val="10"/>
          <w:color w:val="auto"/>
        </w:rPr>
        <w:t>Change in fair value of contingent consideration that is recorded as a component of general and administrative expense</w:t>
      </w:r>
    </w:p>
    <w:p>
      <w:pPr>
        <w:ind w:left="164" w:hanging="164"/>
        <w:spacing w:after="0"/>
        <w:tabs>
          <w:tab w:leader="none" w:pos="164" w:val="left"/>
        </w:tabs>
        <w:numPr>
          <w:ilvl w:val="0"/>
          <w:numId w:val="7"/>
        </w:numPr>
        <w:rPr>
          <w:rFonts w:ascii="Arial" w:cs="Arial" w:eastAsia="Arial" w:hAnsi="Arial"/>
          <w:sz w:val="8"/>
          <w:szCs w:val="8"/>
          <w:color w:val="auto"/>
        </w:rPr>
      </w:pPr>
      <w:r>
        <w:rPr>
          <w:rFonts w:ascii="Arial" w:cs="Arial" w:eastAsia="Arial" w:hAnsi="Arial"/>
          <w:sz w:val="8"/>
          <w:szCs w:val="8"/>
          <w:color w:val="auto"/>
        </w:rPr>
        <w:t>Earnings/(loss) before foreign currency transaction gains and losses, changes in fair value of contingent consideration related to acquisitions, interest income and expense, income taxes, depreciation, amortization, disposals and non-cash equity-based compensation.</w:t>
      </w:r>
    </w:p>
    <w:p>
      <w:pPr>
        <w:spacing w:after="0" w:line="16" w:lineRule="exact"/>
        <w:rPr>
          <w:rFonts w:ascii="Arial" w:cs="Arial" w:eastAsia="Arial" w:hAnsi="Arial"/>
          <w:sz w:val="8"/>
          <w:szCs w:val="8"/>
          <w:color w:val="auto"/>
        </w:rPr>
      </w:pPr>
    </w:p>
    <w:p>
      <w:pPr>
        <w:ind w:left="144" w:hanging="144"/>
        <w:spacing w:after="0" w:line="237" w:lineRule="auto"/>
        <w:tabs>
          <w:tab w:leader="none" w:pos="144" w:val="left"/>
        </w:tabs>
        <w:numPr>
          <w:ilvl w:val="0"/>
          <w:numId w:val="7"/>
        </w:numPr>
        <w:rPr>
          <w:rFonts w:ascii="Arial" w:cs="Arial" w:eastAsia="Arial" w:hAnsi="Arial"/>
          <w:sz w:val="10"/>
          <w:szCs w:val="10"/>
          <w:color w:val="auto"/>
        </w:rPr>
      </w:pPr>
      <w:r>
        <w:rPr>
          <w:rFonts w:ascii="Arial" w:cs="Arial" w:eastAsia="Arial" w:hAnsi="Arial"/>
          <w:sz w:val="10"/>
          <w:szCs w:val="10"/>
          <w:color w:val="auto"/>
        </w:rPr>
        <w:t>Included in other adjustments, net is foreign currency transaction gains and losses, changes in fair value of contingent consideration related to acquisitions, and interest income and expense.</w:t>
      </w:r>
    </w:p>
    <w:p>
      <w:pPr>
        <w:sectPr>
          <w:pgSz w:w="11900" w:h="16838" w:orient="portrait"/>
          <w:cols w:equalWidth="0" w:num="1">
            <w:col w:w="11444"/>
          </w:cols>
          <w:pgMar w:left="236" w:top="533" w:right="21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Supplemental Financial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thousands)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Non-Cash Equity-Based Compensation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non-cash equity-based compensation,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6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w w:val="81"/>
              </w:rPr>
              <w:t>2015</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1,054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948</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1,357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2,746</w:t>
            </w:r>
          </w:p>
        </w:tc>
      </w:tr>
      <w:tr>
        <w:trPr>
          <w:trHeight w:val="30"/>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2,003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4,152</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4,120</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3,371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3,935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6,851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7,274</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7,252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14,605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15,088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Amortization of Intangible Assets and Depreciation of Property and Equipment</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the amortization of intangible assets,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Six Months Ended June 30,</w:t>
            </w:r>
          </w:p>
        </w:tc>
        <w:tc>
          <w:tcPr>
            <w:tcW w:w="86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w w:val="81"/>
              </w:rPr>
              <w:t>2015</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861</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668</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1,538</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1,264</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2,521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2,206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the depreciation of property and equipment, as follows:</w:t>
      </w:r>
    </w:p>
    <w:p>
      <w:pPr>
        <w:spacing w:after="0" w:line="200" w:lineRule="exact"/>
        <w:rPr>
          <w:sz w:val="20"/>
          <w:szCs w:val="20"/>
          <w:color w:val="auto"/>
        </w:rPr>
      </w:pP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Six Months Ended June 30,</w:t>
            </w:r>
          </w:p>
        </w:tc>
        <w:tc>
          <w:tcPr>
            <w:tcW w:w="860" w:type="dxa"/>
            <w:vAlign w:val="bottom"/>
            <w:tcBorders>
              <w:bottom w:val="single" w:sz="8" w:color="auto"/>
            </w:tcBorders>
          </w:tcPr>
          <w:p>
            <w:pPr>
              <w:spacing w:after="0"/>
              <w:rPr>
                <w:sz w:val="13"/>
                <w:szCs w:val="13"/>
                <w:color w:val="auto"/>
              </w:rPr>
            </w:pPr>
          </w:p>
        </w:tc>
      </w:tr>
      <w:tr>
        <w:trPr>
          <w:trHeight w:val="233"/>
        </w:trPr>
        <w:tc>
          <w:tcPr>
            <w:tcW w:w="5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w w:val="81"/>
              </w:rPr>
              <w:t>2015</w:t>
            </w: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1,617</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1,201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3,002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2,348</w:t>
            </w:r>
          </w:p>
        </w:tc>
      </w:tr>
      <w:tr>
        <w:trPr>
          <w:trHeight w:val="211"/>
        </w:trPr>
        <w:tc>
          <w:tcPr>
            <w:tcW w:w="5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3,482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1,940</w:t>
            </w:r>
          </w:p>
        </w:tc>
      </w:tr>
      <w:tr>
        <w:trPr>
          <w:trHeight w:val="30"/>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3,521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6,484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4,288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Historical Operating Metrics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6/30/14</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9/30/14</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12/31/14</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3/31/15</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6/30/15</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9/30/15</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rPr>
              <w:t>12/31/15</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3/31/16</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6/30/16</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right"/>
              <w:ind w:right="332"/>
              <w:spacing w:after="0"/>
              <w:rPr>
                <w:sz w:val="20"/>
                <w:szCs w:val="20"/>
                <w:color w:val="auto"/>
              </w:rPr>
            </w:pPr>
            <w:r>
              <w:rPr>
                <w:rFonts w:ascii="Arial" w:cs="Arial" w:eastAsia="Arial" w:hAnsi="Arial"/>
                <w:sz w:val="13"/>
                <w:szCs w:val="13"/>
                <w:b w:val="1"/>
                <w:bCs w:val="1"/>
                <w:color w:val="auto"/>
                <w:w w:val="90"/>
              </w:rPr>
              <w:t>(in millions, except revenue per download)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31.2</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33.5</w:t>
            </w: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33.4</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35.9</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38.1</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39.8</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41.2</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57"/>
        </w:trPr>
        <w:tc>
          <w:tcPr>
            <w:tcW w:w="230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2.52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2.65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2.68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2.87</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2.85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2.76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2.86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2.77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Images in collection (end of period)</w:t>
            </w:r>
          </w:p>
        </w:tc>
        <w:tc>
          <w:tcPr>
            <w:tcW w:w="20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38.8</w:t>
            </w:r>
          </w:p>
        </w:tc>
        <w:tc>
          <w:tcPr>
            <w:tcW w:w="30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46.8</w:t>
            </w:r>
          </w:p>
        </w:tc>
        <w:tc>
          <w:tcPr>
            <w:tcW w:w="30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51.6</w:t>
            </w:r>
          </w:p>
        </w:tc>
        <w:tc>
          <w:tcPr>
            <w:tcW w:w="32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57.2</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63.7</w:t>
            </w:r>
          </w:p>
        </w:tc>
        <w:tc>
          <w:tcPr>
            <w:tcW w:w="26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71.4</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81.0</w:t>
            </w:r>
          </w:p>
        </w:tc>
        <w:tc>
          <w:tcPr>
            <w:tcW w:w="280" w:type="dxa"/>
            <w:vAlign w:val="bottom"/>
          </w:tcPr>
          <w:p>
            <w:pPr>
              <w:spacing w:after="0"/>
              <w:rPr>
                <w:sz w:val="15"/>
                <w:szCs w:val="15"/>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261225"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214630"/>
                    </a:xfrm>
                    <a:prstGeom prst="rect">
                      <a:avLst/>
                    </a:prstGeom>
                    <a:noFill/>
                  </pic:spPr>
                </pic:pic>
              </a:graphicData>
            </a:graphic>
          </wp:anchor>
        </w:drawing>
      </w: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144" w:hanging="144"/>
        <w:spacing w:after="0" w:line="229" w:lineRule="auto"/>
        <w:tabs>
          <w:tab w:leader="none" w:pos="144" w:val="left"/>
        </w:tabs>
        <w:numPr>
          <w:ilvl w:val="0"/>
          <w:numId w:val="8"/>
        </w:numPr>
        <w:rPr>
          <w:rFonts w:ascii="Arial" w:cs="Arial" w:eastAsia="Arial" w:hAnsi="Arial"/>
          <w:sz w:val="10"/>
          <w:szCs w:val="10"/>
          <w:color w:val="auto"/>
        </w:rPr>
      </w:pPr>
      <w:r>
        <w:rPr>
          <w:rFonts w:ascii="Arial" w:cs="Arial" w:eastAsia="Arial" w:hAnsi="Arial"/>
          <w:sz w:val="10"/>
          <w:szCs w:val="10"/>
          <w:color w:val="auto"/>
        </w:rPr>
        <w:t>Revenue per download metric excludes the impact of revenue not associated with content downloads.</w:t>
      </w:r>
    </w:p>
    <w:p>
      <w:pPr>
        <w:ind w:left="4" w:right="80" w:hanging="4"/>
        <w:spacing w:after="0" w:line="232" w:lineRule="auto"/>
        <w:tabs>
          <w:tab w:leader="none" w:pos="140" w:val="left"/>
        </w:tabs>
        <w:numPr>
          <w:ilvl w:val="0"/>
          <w:numId w:val="8"/>
        </w:numPr>
        <w:rPr>
          <w:rFonts w:ascii="Arial" w:cs="Arial" w:eastAsia="Arial" w:hAnsi="Arial"/>
          <w:sz w:val="10"/>
          <w:szCs w:val="10"/>
          <w:color w:val="auto"/>
        </w:rPr>
      </w:pPr>
      <w:r>
        <w:rPr>
          <w:rFonts w:ascii="Arial" w:cs="Arial" w:eastAsia="Arial" w:hAnsi="Arial"/>
          <w:sz w:val="10"/>
          <w:szCs w:val="10"/>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ectPr>
          <w:pgSz w:w="11900" w:h="16838" w:orient="portrait"/>
          <w:cols w:equalWidth="0" w:num="1">
            <w:col w:w="11444"/>
          </w:cols>
          <w:pgMar w:left="236" w:top="533" w:right="219" w:bottom="1440" w:gutter="0" w:footer="0" w:header="0"/>
        </w:sectPr>
      </w:pPr>
    </w:p>
    <w:bookmarkStart w:id="15" w:name="page16"/>
    <w:bookmarkEnd w:id="15"/>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32" w:lineRule="auto"/>
        <w:tabs>
          <w:tab w:leader="none" w:pos="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84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2019-12-08T22:21:28Z</dcterms:created>
  <dcterms:modified xsi:type="dcterms:W3CDTF">2019-12-08T22:21:28Z</dcterms:modified>
</cp:coreProperties>
</file>