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8"/>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487045</wp:posOffset>
            </wp:positionV>
            <wp:extent cx="726122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225" cy="1524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-203200</wp:posOffset>
            </wp:positionV>
            <wp:extent cx="72612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pacing w:after="0" w:line="15" w:lineRule="exact"/>
        <w:rPr>
          <w:sz w:val="24"/>
          <w:szCs w:val="24"/>
          <w:color w:val="auto"/>
        </w:rPr>
      </w:pPr>
    </w:p>
    <w:p>
      <w:pPr>
        <w:jc w:val="center"/>
        <w:ind w:right="-518"/>
        <w:spacing w:after="0"/>
        <w:rPr>
          <w:sz w:val="20"/>
          <w:szCs w:val="20"/>
          <w:color w:val="auto"/>
        </w:rPr>
      </w:pPr>
      <w:r>
        <w:rPr>
          <w:rFonts w:ascii="Arial" w:cs="Arial" w:eastAsia="Arial" w:hAnsi="Arial"/>
          <w:sz w:val="29"/>
          <w:szCs w:val="29"/>
          <w:b w:val="1"/>
          <w:bCs w:val="1"/>
          <w:color w:val="auto"/>
        </w:rPr>
        <w:t>SECURITIES AND EXCHANGE COMMISSION</w:t>
      </w:r>
    </w:p>
    <w:p>
      <w:pPr>
        <w:ind w:left="48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203835</wp:posOffset>
            </wp:positionV>
            <wp:extent cx="38836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8366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49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240665</wp:posOffset>
            </wp:positionV>
            <wp:extent cx="38836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83660" cy="762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538"/>
        <w:spacing w:after="0"/>
        <w:rPr>
          <w:sz w:val="20"/>
          <w:szCs w:val="20"/>
          <w:color w:val="auto"/>
        </w:rPr>
      </w:pPr>
      <w:r>
        <w:rPr>
          <w:rFonts w:ascii="Arial" w:cs="Arial" w:eastAsia="Arial" w:hAnsi="Arial"/>
          <w:sz w:val="19"/>
          <w:szCs w:val="19"/>
          <w:b w:val="1"/>
          <w:bCs w:val="1"/>
          <w:color w:val="auto"/>
        </w:rPr>
        <w:t>CURRENT REPORT</w:t>
      </w:r>
    </w:p>
    <w:p>
      <w:pPr>
        <w:spacing w:after="0" w:line="19" w:lineRule="exact"/>
        <w:rPr>
          <w:sz w:val="24"/>
          <w:szCs w:val="24"/>
          <w:color w:val="auto"/>
        </w:rPr>
      </w:pPr>
    </w:p>
    <w:p>
      <w:pPr>
        <w:jc w:val="center"/>
        <w:ind w:right="-538"/>
        <w:spacing w:after="0"/>
        <w:rPr>
          <w:sz w:val="20"/>
          <w:szCs w:val="20"/>
          <w:color w:val="auto"/>
        </w:rPr>
      </w:pPr>
      <w:r>
        <w:rPr>
          <w:rFonts w:ascii="Arial" w:cs="Arial" w:eastAsia="Arial" w:hAnsi="Arial"/>
          <w:sz w:val="19"/>
          <w:szCs w:val="19"/>
          <w:b w:val="1"/>
          <w:bCs w:val="1"/>
          <w:color w:val="auto"/>
        </w:rPr>
        <w:t>Pursuant to Section 13 or 15(d) of the</w:t>
      </w:r>
    </w:p>
    <w:p>
      <w:pPr>
        <w:jc w:val="center"/>
        <w:ind w:right="-538"/>
        <w:spacing w:after="0"/>
        <w:rPr>
          <w:sz w:val="20"/>
          <w:szCs w:val="20"/>
          <w:color w:val="auto"/>
        </w:rPr>
      </w:pPr>
      <w:r>
        <w:rPr>
          <w:rFonts w:ascii="Arial" w:cs="Arial" w:eastAsia="Arial" w:hAnsi="Arial"/>
          <w:sz w:val="19"/>
          <w:szCs w:val="19"/>
          <w:b w:val="1"/>
          <w:bCs w:val="1"/>
          <w:color w:val="auto"/>
        </w:rPr>
        <w:t>Securities Exchange Act of 1934</w:t>
      </w:r>
    </w:p>
    <w:p>
      <w:pPr>
        <w:spacing w:after="0" w:line="226" w:lineRule="exact"/>
        <w:rPr>
          <w:sz w:val="24"/>
          <w:szCs w:val="24"/>
          <w:color w:val="auto"/>
        </w:rPr>
      </w:pPr>
    </w:p>
    <w:p>
      <w:pPr>
        <w:ind w:left="357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February 24,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31750</wp:posOffset>
            </wp:positionV>
            <wp:extent cx="38836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83660" cy="7620"/>
                    </a:xfrm>
                    <a:prstGeom prst="rect">
                      <a:avLst/>
                    </a:prstGeom>
                    <a:noFill/>
                  </pic:spPr>
                </pic:pic>
              </a:graphicData>
            </a:graphic>
          </wp:anchor>
        </w:drawing>
      </w:r>
    </w:p>
    <w:p>
      <w:pPr>
        <w:spacing w:after="0" w:line="355" w:lineRule="exact"/>
        <w:rPr>
          <w:sz w:val="24"/>
          <w:szCs w:val="24"/>
          <w:color w:val="auto"/>
        </w:rPr>
      </w:pPr>
    </w:p>
    <w:p>
      <w:pPr>
        <w:jc w:val="center"/>
        <w:ind w:right="-538"/>
        <w:spacing w:after="0"/>
        <w:rPr>
          <w:sz w:val="20"/>
          <w:szCs w:val="20"/>
          <w:color w:val="auto"/>
        </w:rPr>
      </w:pPr>
      <w:r>
        <w:rPr>
          <w:rFonts w:ascii="Arial" w:cs="Arial" w:eastAsia="Arial" w:hAnsi="Arial"/>
          <w:sz w:val="29"/>
          <w:szCs w:val="29"/>
          <w:b w:val="1"/>
          <w:bCs w:val="1"/>
          <w:color w:val="auto"/>
        </w:rPr>
        <w:t>Shutterstock, Inc.</w:t>
      </w:r>
    </w:p>
    <w:p>
      <w:pPr>
        <w:spacing w:after="0" w:line="30" w:lineRule="exact"/>
        <w:rPr>
          <w:sz w:val="24"/>
          <w:szCs w:val="24"/>
          <w:color w:val="auto"/>
        </w:rPr>
      </w:pPr>
    </w:p>
    <w:p>
      <w:pPr>
        <w:ind w:left="40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142875</wp:posOffset>
            </wp:positionV>
            <wp:extent cx="38836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83660" cy="7620"/>
                    </a:xfrm>
                    <a:prstGeom prst="rect">
                      <a:avLst/>
                    </a:prstGeom>
                    <a:noFill/>
                  </pic:spPr>
                </pic:pic>
              </a:graphicData>
            </a:graphic>
          </wp:anchor>
        </w:drawing>
      </w:r>
    </w:p>
    <w:p>
      <w:pPr>
        <w:spacing w:after="0" w:line="345" w:lineRule="exact"/>
        <w:rPr>
          <w:sz w:val="24"/>
          <w:szCs w:val="24"/>
          <w:color w:val="auto"/>
        </w:rPr>
      </w:pPr>
    </w:p>
    <w:tbl>
      <w:tblPr>
        <w:tblLayout w:type="fixed"/>
        <w:tblInd w:w="839" w:type="dxa"/>
        <w:tblCellMar>
          <w:top w:w="0" w:type="dxa"/>
          <w:left w:w="0" w:type="dxa"/>
          <w:bottom w:w="0" w:type="dxa"/>
          <w:right w:w="0" w:type="dxa"/>
        </w:tblCellMar>
      </w:tblPr>
      <w:tr>
        <w:trPr>
          <w:trHeight w:val="209"/>
        </w:trPr>
        <w:tc>
          <w:tcPr>
            <w:tcW w:w="2000" w:type="dxa"/>
            <w:vAlign w:val="bottom"/>
          </w:tcPr>
          <w:p>
            <w:pPr>
              <w:jc w:val="center"/>
              <w:ind w:right="200"/>
              <w:spacing w:after="0"/>
              <w:rPr>
                <w:sz w:val="20"/>
                <w:szCs w:val="20"/>
                <w:color w:val="auto"/>
              </w:rPr>
            </w:pPr>
            <w:r>
              <w:rPr>
                <w:rFonts w:ascii="Arial" w:cs="Arial" w:eastAsia="Arial" w:hAnsi="Arial"/>
                <w:sz w:val="16"/>
                <w:szCs w:val="16"/>
                <w:b w:val="1"/>
                <w:bCs w:val="1"/>
                <w:color w:val="auto"/>
                <w:w w:val="91"/>
              </w:rPr>
              <w:t>Delaware</w:t>
            </w:r>
          </w:p>
        </w:tc>
        <w:tc>
          <w:tcPr>
            <w:tcW w:w="5700" w:type="dxa"/>
            <w:vAlign w:val="bottom"/>
          </w:tcPr>
          <w:p>
            <w:pPr>
              <w:jc w:val="center"/>
              <w:spacing w:after="0"/>
              <w:rPr>
                <w:sz w:val="20"/>
                <w:szCs w:val="20"/>
                <w:color w:val="auto"/>
              </w:rPr>
            </w:pPr>
            <w:r>
              <w:rPr>
                <w:rFonts w:ascii="Arial" w:cs="Arial" w:eastAsia="Arial" w:hAnsi="Arial"/>
                <w:sz w:val="16"/>
                <w:szCs w:val="16"/>
                <w:b w:val="1"/>
                <w:bCs w:val="1"/>
                <w:color w:val="auto"/>
                <w:w w:val="91"/>
              </w:rPr>
              <w:t>001-35669</w:t>
            </w:r>
          </w:p>
        </w:tc>
        <w:tc>
          <w:tcPr>
            <w:tcW w:w="1700" w:type="dxa"/>
            <w:vAlign w:val="bottom"/>
          </w:tcPr>
          <w:p>
            <w:pPr>
              <w:jc w:val="center"/>
              <w:ind w:left="440"/>
              <w:spacing w:after="0"/>
              <w:rPr>
                <w:sz w:val="20"/>
                <w:szCs w:val="20"/>
                <w:color w:val="auto"/>
              </w:rPr>
            </w:pPr>
            <w:r>
              <w:rPr>
                <w:rFonts w:ascii="Arial" w:cs="Arial" w:eastAsia="Arial" w:hAnsi="Arial"/>
                <w:sz w:val="16"/>
                <w:szCs w:val="16"/>
                <w:b w:val="1"/>
                <w:bCs w:val="1"/>
                <w:color w:val="auto"/>
                <w:w w:val="91"/>
              </w:rPr>
              <w:t>80-0812659</w:t>
            </w:r>
          </w:p>
        </w:tc>
      </w:tr>
      <w:tr>
        <w:trPr>
          <w:trHeight w:val="229"/>
        </w:trPr>
        <w:tc>
          <w:tcPr>
            <w:tcW w:w="2000" w:type="dxa"/>
            <w:vAlign w:val="bottom"/>
          </w:tcPr>
          <w:p>
            <w:pPr>
              <w:jc w:val="center"/>
              <w:ind w:right="220"/>
              <w:spacing w:after="0"/>
              <w:rPr>
                <w:sz w:val="20"/>
                <w:szCs w:val="20"/>
                <w:color w:val="auto"/>
              </w:rPr>
            </w:pPr>
            <w:r>
              <w:rPr>
                <w:rFonts w:ascii="Arial" w:cs="Arial" w:eastAsia="Arial" w:hAnsi="Arial"/>
                <w:sz w:val="16"/>
                <w:szCs w:val="16"/>
                <w:color w:val="auto"/>
                <w:w w:val="93"/>
              </w:rPr>
              <w:t>(State or other jurisdiction</w:t>
            </w:r>
          </w:p>
        </w:tc>
        <w:tc>
          <w:tcPr>
            <w:tcW w:w="5700" w:type="dxa"/>
            <w:vAlign w:val="bottom"/>
          </w:tcPr>
          <w:p>
            <w:pPr>
              <w:jc w:val="center"/>
              <w:spacing w:after="0"/>
              <w:rPr>
                <w:sz w:val="20"/>
                <w:szCs w:val="20"/>
                <w:color w:val="auto"/>
              </w:rPr>
            </w:pPr>
            <w:r>
              <w:rPr>
                <w:rFonts w:ascii="Arial" w:cs="Arial" w:eastAsia="Arial" w:hAnsi="Arial"/>
                <w:sz w:val="16"/>
                <w:szCs w:val="16"/>
                <w:color w:val="auto"/>
                <w:w w:val="92"/>
              </w:rPr>
              <w:t>(Commission</w:t>
            </w:r>
          </w:p>
        </w:tc>
        <w:tc>
          <w:tcPr>
            <w:tcW w:w="1700" w:type="dxa"/>
            <w:vAlign w:val="bottom"/>
          </w:tcPr>
          <w:p>
            <w:pPr>
              <w:jc w:val="center"/>
              <w:ind w:left="440"/>
              <w:spacing w:after="0"/>
              <w:rPr>
                <w:sz w:val="20"/>
                <w:szCs w:val="20"/>
                <w:color w:val="auto"/>
              </w:rPr>
            </w:pPr>
            <w:r>
              <w:rPr>
                <w:rFonts w:ascii="Arial" w:cs="Arial" w:eastAsia="Arial" w:hAnsi="Arial"/>
                <w:sz w:val="16"/>
                <w:szCs w:val="16"/>
                <w:color w:val="auto"/>
                <w:w w:val="94"/>
              </w:rPr>
              <w:t>(IRS Employer</w:t>
            </w:r>
          </w:p>
        </w:tc>
      </w:tr>
      <w:tr>
        <w:trPr>
          <w:trHeight w:val="205"/>
        </w:trPr>
        <w:tc>
          <w:tcPr>
            <w:tcW w:w="2000" w:type="dxa"/>
            <w:vAlign w:val="bottom"/>
          </w:tcPr>
          <w:p>
            <w:pPr>
              <w:jc w:val="center"/>
              <w:ind w:right="220"/>
              <w:spacing w:after="0"/>
              <w:rPr>
                <w:sz w:val="20"/>
                <w:szCs w:val="20"/>
                <w:color w:val="auto"/>
              </w:rPr>
            </w:pPr>
            <w:r>
              <w:rPr>
                <w:rFonts w:ascii="Arial" w:cs="Arial" w:eastAsia="Arial" w:hAnsi="Arial"/>
                <w:sz w:val="16"/>
                <w:szCs w:val="16"/>
                <w:color w:val="auto"/>
                <w:w w:val="95"/>
              </w:rPr>
              <w:t>of incorporation)</w:t>
            </w:r>
          </w:p>
        </w:tc>
        <w:tc>
          <w:tcPr>
            <w:tcW w:w="5700" w:type="dxa"/>
            <w:vAlign w:val="bottom"/>
          </w:tcPr>
          <w:p>
            <w:pPr>
              <w:jc w:val="center"/>
              <w:spacing w:after="0"/>
              <w:rPr>
                <w:sz w:val="20"/>
                <w:szCs w:val="20"/>
                <w:color w:val="auto"/>
              </w:rPr>
            </w:pPr>
            <w:r>
              <w:rPr>
                <w:rFonts w:ascii="Arial" w:cs="Arial" w:eastAsia="Arial" w:hAnsi="Arial"/>
                <w:sz w:val="16"/>
                <w:szCs w:val="16"/>
                <w:color w:val="auto"/>
                <w:w w:val="92"/>
              </w:rPr>
              <w:t>File Number)</w:t>
            </w:r>
          </w:p>
        </w:tc>
        <w:tc>
          <w:tcPr>
            <w:tcW w:w="1700" w:type="dxa"/>
            <w:vAlign w:val="bottom"/>
          </w:tcPr>
          <w:p>
            <w:pPr>
              <w:jc w:val="center"/>
              <w:ind w:left="420"/>
              <w:spacing w:after="0"/>
              <w:rPr>
                <w:sz w:val="20"/>
                <w:szCs w:val="20"/>
                <w:color w:val="auto"/>
              </w:rPr>
            </w:pPr>
            <w:r>
              <w:rPr>
                <w:rFonts w:ascii="Arial" w:cs="Arial" w:eastAsia="Arial" w:hAnsi="Arial"/>
                <w:sz w:val="16"/>
                <w:szCs w:val="16"/>
                <w:color w:val="auto"/>
                <w:w w:val="96"/>
              </w:rPr>
              <w:t>Identification No.)</w:t>
            </w:r>
          </w:p>
        </w:tc>
      </w:tr>
      <w:tr>
        <w:trPr>
          <w:trHeight w:val="539"/>
        </w:trPr>
        <w:tc>
          <w:tcPr>
            <w:tcW w:w="20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6"/>
                <w:szCs w:val="16"/>
                <w:b w:val="1"/>
                <w:bCs w:val="1"/>
                <w:color w:val="auto"/>
                <w:w w:val="90"/>
              </w:rPr>
              <w:t>350 Fifth Avenue, 21st Floor</w:t>
            </w:r>
          </w:p>
        </w:tc>
        <w:tc>
          <w:tcPr>
            <w:tcW w:w="1700" w:type="dxa"/>
            <w:vAlign w:val="bottom"/>
          </w:tcPr>
          <w:p>
            <w:pPr>
              <w:spacing w:after="0"/>
              <w:rPr>
                <w:sz w:val="24"/>
                <w:szCs w:val="24"/>
                <w:color w:val="auto"/>
              </w:rPr>
            </w:pPr>
          </w:p>
        </w:tc>
      </w:tr>
      <w:tr>
        <w:trPr>
          <w:trHeight w:val="197"/>
        </w:trPr>
        <w:tc>
          <w:tcPr>
            <w:tcW w:w="2000" w:type="dxa"/>
            <w:vAlign w:val="bottom"/>
          </w:tcPr>
          <w:p>
            <w:pPr>
              <w:spacing w:after="0"/>
              <w:rPr>
                <w:sz w:val="17"/>
                <w:szCs w:val="17"/>
                <w:color w:val="auto"/>
              </w:rPr>
            </w:pPr>
          </w:p>
        </w:tc>
        <w:tc>
          <w:tcPr>
            <w:tcW w:w="5700" w:type="dxa"/>
            <w:vAlign w:val="bottom"/>
          </w:tcPr>
          <w:p>
            <w:pPr>
              <w:jc w:val="center"/>
              <w:spacing w:after="0"/>
              <w:rPr>
                <w:sz w:val="20"/>
                <w:szCs w:val="20"/>
                <w:color w:val="auto"/>
              </w:rPr>
            </w:pPr>
            <w:r>
              <w:rPr>
                <w:rFonts w:ascii="Arial" w:cs="Arial" w:eastAsia="Arial" w:hAnsi="Arial"/>
                <w:sz w:val="16"/>
                <w:szCs w:val="16"/>
                <w:b w:val="1"/>
                <w:bCs w:val="1"/>
                <w:color w:val="auto"/>
                <w:w w:val="92"/>
              </w:rPr>
              <w:t>New York, New York 10118</w:t>
            </w:r>
          </w:p>
        </w:tc>
        <w:tc>
          <w:tcPr>
            <w:tcW w:w="1700" w:type="dxa"/>
            <w:vAlign w:val="bottom"/>
          </w:tcPr>
          <w:p>
            <w:pPr>
              <w:spacing w:after="0"/>
              <w:rPr>
                <w:sz w:val="17"/>
                <w:szCs w:val="17"/>
                <w:color w:val="auto"/>
              </w:rPr>
            </w:pPr>
          </w:p>
        </w:tc>
      </w:tr>
      <w:tr>
        <w:trPr>
          <w:trHeight w:val="205"/>
        </w:trPr>
        <w:tc>
          <w:tcPr>
            <w:tcW w:w="2000" w:type="dxa"/>
            <w:vAlign w:val="bottom"/>
          </w:tcPr>
          <w:p>
            <w:pPr>
              <w:spacing w:after="0"/>
              <w:rPr>
                <w:sz w:val="17"/>
                <w:szCs w:val="17"/>
                <w:color w:val="auto"/>
              </w:rPr>
            </w:pPr>
          </w:p>
        </w:tc>
        <w:tc>
          <w:tcPr>
            <w:tcW w:w="5700" w:type="dxa"/>
            <w:vAlign w:val="bottom"/>
          </w:tcPr>
          <w:p>
            <w:pPr>
              <w:jc w:val="center"/>
              <w:spacing w:after="0"/>
              <w:rPr>
                <w:sz w:val="20"/>
                <w:szCs w:val="20"/>
                <w:color w:val="auto"/>
              </w:rPr>
            </w:pPr>
            <w:r>
              <w:rPr>
                <w:rFonts w:ascii="Arial" w:cs="Arial" w:eastAsia="Arial" w:hAnsi="Arial"/>
                <w:sz w:val="16"/>
                <w:szCs w:val="16"/>
                <w:color w:val="auto"/>
                <w:w w:val="93"/>
              </w:rPr>
              <w:t>(Address of principal executive offices, including zip code)</w:t>
            </w:r>
          </w:p>
        </w:tc>
        <w:tc>
          <w:tcPr>
            <w:tcW w:w="1700" w:type="dxa"/>
            <w:vAlign w:val="bottom"/>
          </w:tcPr>
          <w:p>
            <w:pPr>
              <w:spacing w:after="0"/>
              <w:rPr>
                <w:sz w:val="17"/>
                <w:szCs w:val="17"/>
                <w:color w:val="auto"/>
              </w:rPr>
            </w:pPr>
          </w:p>
        </w:tc>
      </w:tr>
      <w:tr>
        <w:trPr>
          <w:trHeight w:val="374"/>
        </w:trPr>
        <w:tc>
          <w:tcPr>
            <w:tcW w:w="20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6"/>
                <w:szCs w:val="16"/>
                <w:b w:val="1"/>
                <w:bCs w:val="1"/>
                <w:color w:val="auto"/>
                <w:w w:val="91"/>
              </w:rPr>
              <w:t>(646) 766-1855</w:t>
            </w:r>
          </w:p>
        </w:tc>
        <w:tc>
          <w:tcPr>
            <w:tcW w:w="1700" w:type="dxa"/>
            <w:vAlign w:val="bottom"/>
          </w:tcPr>
          <w:p>
            <w:pPr>
              <w:spacing w:after="0"/>
              <w:rPr>
                <w:sz w:val="24"/>
                <w:szCs w:val="24"/>
                <w:color w:val="auto"/>
              </w:rPr>
            </w:pPr>
          </w:p>
        </w:tc>
      </w:tr>
      <w:tr>
        <w:trPr>
          <w:trHeight w:val="205"/>
        </w:trPr>
        <w:tc>
          <w:tcPr>
            <w:tcW w:w="2000" w:type="dxa"/>
            <w:vAlign w:val="bottom"/>
          </w:tcPr>
          <w:p>
            <w:pPr>
              <w:spacing w:after="0"/>
              <w:rPr>
                <w:sz w:val="17"/>
                <w:szCs w:val="17"/>
                <w:color w:val="auto"/>
              </w:rPr>
            </w:pPr>
          </w:p>
        </w:tc>
        <w:tc>
          <w:tcPr>
            <w:tcW w:w="5700" w:type="dxa"/>
            <w:vAlign w:val="bottom"/>
          </w:tcPr>
          <w:p>
            <w:pPr>
              <w:jc w:val="center"/>
              <w:spacing w:after="0"/>
              <w:rPr>
                <w:sz w:val="20"/>
                <w:szCs w:val="20"/>
                <w:color w:val="auto"/>
              </w:rPr>
            </w:pPr>
            <w:r>
              <w:rPr>
                <w:rFonts w:ascii="Arial" w:cs="Arial" w:eastAsia="Arial" w:hAnsi="Arial"/>
                <w:sz w:val="16"/>
                <w:szCs w:val="16"/>
                <w:color w:val="auto"/>
                <w:w w:val="90"/>
              </w:rPr>
              <w:t>(Registrant’s telephone number, including area code)</w:t>
            </w:r>
          </w:p>
        </w:tc>
        <w:tc>
          <w:tcPr>
            <w:tcW w:w="1700" w:type="dxa"/>
            <w:vAlign w:val="bottom"/>
          </w:tcPr>
          <w:p>
            <w:pPr>
              <w:spacing w:after="0"/>
              <w:rPr>
                <w:sz w:val="17"/>
                <w:szCs w:val="17"/>
                <w:color w:val="auto"/>
              </w:rPr>
            </w:pPr>
          </w:p>
        </w:tc>
      </w:tr>
      <w:tr>
        <w:trPr>
          <w:trHeight w:val="374"/>
        </w:trPr>
        <w:tc>
          <w:tcPr>
            <w:tcW w:w="20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6"/>
                <w:szCs w:val="16"/>
                <w:b w:val="1"/>
                <w:bCs w:val="1"/>
                <w:color w:val="auto"/>
                <w:w w:val="91"/>
              </w:rPr>
              <w:t>Not Applicable</w:t>
            </w:r>
          </w:p>
        </w:tc>
        <w:tc>
          <w:tcPr>
            <w:tcW w:w="1700" w:type="dxa"/>
            <w:vAlign w:val="bottom"/>
          </w:tcPr>
          <w:p>
            <w:pPr>
              <w:spacing w:after="0"/>
              <w:rPr>
                <w:sz w:val="24"/>
                <w:szCs w:val="24"/>
                <w:color w:val="auto"/>
              </w:rPr>
            </w:pPr>
          </w:p>
        </w:tc>
      </w:tr>
      <w:tr>
        <w:trPr>
          <w:trHeight w:val="205"/>
        </w:trPr>
        <w:tc>
          <w:tcPr>
            <w:tcW w:w="2000" w:type="dxa"/>
            <w:vAlign w:val="bottom"/>
          </w:tcPr>
          <w:p>
            <w:pPr>
              <w:spacing w:after="0"/>
              <w:rPr>
                <w:sz w:val="17"/>
                <w:szCs w:val="17"/>
                <w:color w:val="auto"/>
              </w:rPr>
            </w:pPr>
          </w:p>
        </w:tc>
        <w:tc>
          <w:tcPr>
            <w:tcW w:w="5700" w:type="dxa"/>
            <w:vAlign w:val="bottom"/>
          </w:tcPr>
          <w:p>
            <w:pPr>
              <w:jc w:val="center"/>
              <w:spacing w:after="0"/>
              <w:rPr>
                <w:sz w:val="20"/>
                <w:szCs w:val="20"/>
                <w:color w:val="auto"/>
              </w:rPr>
            </w:pPr>
            <w:r>
              <w:rPr>
                <w:rFonts w:ascii="Arial" w:cs="Arial" w:eastAsia="Arial" w:hAnsi="Arial"/>
                <w:sz w:val="16"/>
                <w:szCs w:val="16"/>
                <w:color w:val="auto"/>
                <w:w w:val="90"/>
              </w:rPr>
              <w:t>(Former name or former address, if changed since last report)</w:t>
            </w:r>
          </w:p>
        </w:tc>
        <w:tc>
          <w:tcPr>
            <w:tcW w:w="1700" w:type="dxa"/>
            <w:vAlign w:val="bottom"/>
          </w:tcPr>
          <w:p>
            <w:pPr>
              <w:spacing w:after="0"/>
              <w:rPr>
                <w:sz w:val="17"/>
                <w:szCs w:val="17"/>
                <w:color w:val="auto"/>
              </w:rPr>
            </w:pPr>
          </w:p>
        </w:tc>
      </w:tr>
      <w:tr>
        <w:trPr>
          <w:trHeight w:val="217"/>
        </w:trPr>
        <w:tc>
          <w:tcPr>
            <w:tcW w:w="2000" w:type="dxa"/>
            <w:vAlign w:val="bottom"/>
          </w:tcPr>
          <w:p>
            <w:pPr>
              <w:spacing w:after="0"/>
              <w:rPr>
                <w:sz w:val="18"/>
                <w:szCs w:val="18"/>
                <w:color w:val="auto"/>
              </w:rPr>
            </w:pPr>
          </w:p>
        </w:tc>
        <w:tc>
          <w:tcPr>
            <w:tcW w:w="5700" w:type="dxa"/>
            <w:vAlign w:val="bottom"/>
            <w:tcBorders>
              <w:bottom w:val="single" w:sz="8" w:color="auto"/>
            </w:tcBorders>
          </w:tcPr>
          <w:p>
            <w:pPr>
              <w:spacing w:after="0"/>
              <w:rPr>
                <w:sz w:val="18"/>
                <w:szCs w:val="18"/>
                <w:color w:val="auto"/>
              </w:rPr>
            </w:pPr>
          </w:p>
        </w:tc>
        <w:tc>
          <w:tcPr>
            <w:tcW w:w="1700" w:type="dxa"/>
            <w:vAlign w:val="bottom"/>
          </w:tcPr>
          <w:p>
            <w:pPr>
              <w:spacing w:after="0"/>
              <w:rPr>
                <w:sz w:val="18"/>
                <w:szCs w:val="18"/>
                <w:color w:val="auto"/>
              </w:rPr>
            </w:pPr>
          </w:p>
        </w:tc>
      </w:tr>
    </w:tbl>
    <w:p>
      <w:pPr>
        <w:spacing w:after="0" w:line="373" w:lineRule="exact"/>
        <w:rPr>
          <w:sz w:val="24"/>
          <w:szCs w:val="24"/>
          <w:color w:val="auto"/>
        </w:rPr>
      </w:pPr>
    </w:p>
    <w:p>
      <w:pPr>
        <w:ind w:left="1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370" w:lineRule="exact"/>
        <w:rPr>
          <w:sz w:val="24"/>
          <w:szCs w:val="24"/>
          <w:color w:val="auto"/>
        </w:rPr>
      </w:pPr>
    </w:p>
    <w:p>
      <w:pPr>
        <w:ind w:left="679" w:hanging="679"/>
        <w:spacing w:after="0"/>
        <w:tabs>
          <w:tab w:leader="none" w:pos="679"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7" w:lineRule="exact"/>
        <w:rPr>
          <w:rFonts w:ascii="Arial" w:cs="Arial" w:eastAsia="Arial" w:hAnsi="Arial"/>
          <w:sz w:val="16"/>
          <w:szCs w:val="16"/>
          <w:color w:val="auto"/>
        </w:rPr>
      </w:pPr>
    </w:p>
    <w:p>
      <w:pPr>
        <w:ind w:left="679" w:hanging="679"/>
        <w:spacing w:after="0"/>
        <w:tabs>
          <w:tab w:leader="none" w:pos="679"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7" w:lineRule="exact"/>
        <w:rPr>
          <w:rFonts w:ascii="Arial" w:cs="Arial" w:eastAsia="Arial" w:hAnsi="Arial"/>
          <w:sz w:val="16"/>
          <w:szCs w:val="16"/>
          <w:color w:val="auto"/>
        </w:rPr>
      </w:pPr>
    </w:p>
    <w:p>
      <w:pPr>
        <w:ind w:left="679" w:hanging="679"/>
        <w:spacing w:after="0"/>
        <w:tabs>
          <w:tab w:leader="none" w:pos="679"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7" w:lineRule="exact"/>
        <w:rPr>
          <w:rFonts w:ascii="Arial" w:cs="Arial" w:eastAsia="Arial" w:hAnsi="Arial"/>
          <w:sz w:val="16"/>
          <w:szCs w:val="16"/>
          <w:color w:val="auto"/>
        </w:rPr>
      </w:pPr>
    </w:p>
    <w:p>
      <w:pPr>
        <w:ind w:left="679" w:hanging="679"/>
        <w:spacing w:after="0"/>
        <w:tabs>
          <w:tab w:leader="none" w:pos="679"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182245</wp:posOffset>
            </wp:positionV>
            <wp:extent cx="726122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225" cy="152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105410</wp:posOffset>
            </wp:positionV>
            <wp:extent cx="72612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859"/>
          </w:cols>
          <w:pgMar w:left="261" w:top="887" w:right="779" w:bottom="1440" w:gutter="0" w:footer="0" w:header="0"/>
        </w:sectPr>
      </w:pPr>
    </w:p>
    <w:bookmarkStart w:id="1" w:name="page2"/>
    <w:bookmarkEnd w:id="1"/>
    <w:p>
      <w:pPr>
        <w:ind w:left="20"/>
        <w:spacing w:after="0"/>
        <w:tabs>
          <w:tab w:leader="none" w:pos="1260"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230" w:lineRule="exact"/>
        <w:rPr>
          <w:sz w:val="20"/>
          <w:szCs w:val="20"/>
          <w:color w:val="auto"/>
        </w:rPr>
      </w:pPr>
    </w:p>
    <w:p>
      <w:pPr>
        <w:ind w:right="120" w:firstLine="579"/>
        <w:spacing w:after="0" w:line="261" w:lineRule="auto"/>
        <w:rPr>
          <w:sz w:val="20"/>
          <w:szCs w:val="20"/>
          <w:color w:val="auto"/>
        </w:rPr>
      </w:pPr>
      <w:r>
        <w:rPr>
          <w:rFonts w:ascii="Arial" w:cs="Arial" w:eastAsia="Arial" w:hAnsi="Arial"/>
          <w:sz w:val="16"/>
          <w:szCs w:val="16"/>
          <w:color w:val="auto"/>
        </w:rPr>
        <w:t>On February 24, 2016, Shutterstock, Inc. (the “Company”) issued a press release announcing its financial results for the fiscal quarter and year ended December 31, 2015. A copy of the press release is furnished as Exhibit 99.1 to this current report and is incorporated herein by reference. In addition, a copy of the presentation slides which will be referenced on the Company’s earnings call at 8:30 a.m. Eastern Time on Wednesday, February 24, 2016 is furnished as Exhibit 99.2 to this current report and incorporated herein by reference.</w:t>
      </w:r>
    </w:p>
    <w:p>
      <w:pPr>
        <w:spacing w:after="0" w:line="165" w:lineRule="exact"/>
        <w:rPr>
          <w:sz w:val="20"/>
          <w:szCs w:val="20"/>
          <w:color w:val="auto"/>
        </w:rPr>
      </w:pPr>
    </w:p>
    <w:p>
      <w:pPr>
        <w:ind w:firstLine="579"/>
        <w:spacing w:after="0" w:line="261" w:lineRule="auto"/>
        <w:rPr>
          <w:sz w:val="20"/>
          <w:szCs w:val="20"/>
          <w:color w:val="auto"/>
        </w:rPr>
      </w:pPr>
      <w:r>
        <w:rPr>
          <w:rFonts w:ascii="Arial" w:cs="Arial" w:eastAsia="Arial" w:hAnsi="Arial"/>
          <w:sz w:val="16"/>
          <w:szCs w:val="16"/>
          <w:color w:val="auto"/>
        </w:rPr>
        <w:t>In accordance with General Instruction B.2 of Form 8-K, the information in this Current Report on Form 8-K, including Exhibits 99.1 and 99.2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80"/>
          </w:cols>
          <w:pgMar w:left="240" w:top="678" w:right="279" w:bottom="1440" w:gutter="0" w:footer="0" w:header="0"/>
        </w:sectPr>
      </w:pPr>
    </w:p>
    <w:bookmarkStart w:id="2" w:name="page3"/>
    <w:bookmarkEnd w:id="2"/>
    <w:p>
      <w:pPr>
        <w:ind w:left="20"/>
        <w:spacing w:after="0"/>
        <w:tabs>
          <w:tab w:leader="none" w:pos="126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information provided above in “Item 2.02 Results of Operations and Financial Condition” is incorporated by reference in this Item 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6"/>
          <w:szCs w:val="16"/>
          <w:b w:val="1"/>
          <w:bCs w:val="1"/>
          <w:color w:val="auto"/>
        </w:rPr>
        <w:t>Item 8.01</w:t>
      </w:r>
      <w:r>
        <w:rPr>
          <w:sz w:val="20"/>
          <w:szCs w:val="20"/>
          <w:color w:val="auto"/>
        </w:rPr>
        <w:tab/>
      </w:r>
      <w:r>
        <w:rPr>
          <w:rFonts w:ascii="Arial" w:cs="Arial" w:eastAsia="Arial" w:hAnsi="Arial"/>
          <w:sz w:val="14"/>
          <w:szCs w:val="14"/>
          <w:b w:val="1"/>
          <w:bCs w:val="1"/>
          <w:color w:val="auto"/>
        </w:rPr>
        <w:t>Other Events.</w:t>
      </w:r>
    </w:p>
    <w:p>
      <w:pPr>
        <w:spacing w:after="0" w:line="230" w:lineRule="exact"/>
        <w:rPr>
          <w:sz w:val="20"/>
          <w:szCs w:val="20"/>
          <w:color w:val="auto"/>
        </w:rPr>
      </w:pPr>
    </w:p>
    <w:p>
      <w:pPr>
        <w:ind w:right="380" w:firstLine="579"/>
        <w:spacing w:after="0" w:line="353" w:lineRule="auto"/>
        <w:rPr>
          <w:sz w:val="20"/>
          <w:szCs w:val="20"/>
          <w:color w:val="auto"/>
        </w:rPr>
      </w:pPr>
      <w:r>
        <w:rPr>
          <w:rFonts w:ascii="Arial" w:cs="Arial" w:eastAsia="Arial" w:hAnsi="Arial"/>
          <w:sz w:val="14"/>
          <w:szCs w:val="14"/>
          <w:color w:val="auto"/>
        </w:rPr>
        <w:t>On February 19, 2016, the Compensation Committee of the Board of Directors of the Company approved the following equity awards to certain of the Company's "executive officers" (as such term is defined in Rule 3b-7 under the Exchange Act) pursuant to the Company's 2012 Omnibus Equity Incentive Plan (the "2012 Plan"):</w:t>
      </w:r>
    </w:p>
    <w:p>
      <w:pPr>
        <w:spacing w:after="0" w:line="200" w:lineRule="exact"/>
        <w:rPr>
          <w:sz w:val="20"/>
          <w:szCs w:val="20"/>
          <w:color w:val="auto"/>
        </w:rPr>
      </w:pPr>
    </w:p>
    <w:p>
      <w:pPr>
        <w:spacing w:after="0" w:line="228"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4120" w:type="dxa"/>
            <w:vAlign w:val="bottom"/>
            <w:gridSpan w:val="2"/>
          </w:tcPr>
          <w:p>
            <w:pPr>
              <w:spacing w:after="0"/>
              <w:rPr>
                <w:sz w:val="20"/>
                <w:szCs w:val="20"/>
                <w:color w:val="auto"/>
              </w:rPr>
            </w:pPr>
            <w:r>
              <w:rPr>
                <w:rFonts w:ascii="Arial" w:cs="Arial" w:eastAsia="Arial" w:hAnsi="Arial"/>
                <w:sz w:val="16"/>
                <w:szCs w:val="16"/>
                <w:color w:val="auto"/>
              </w:rPr>
              <w:t>Name and Position</w:t>
            </w:r>
          </w:p>
        </w:tc>
        <w:tc>
          <w:tcPr>
            <w:tcW w:w="2360" w:type="dxa"/>
            <w:vAlign w:val="bottom"/>
            <w:gridSpan w:val="2"/>
          </w:tcPr>
          <w:p>
            <w:pPr>
              <w:spacing w:after="0"/>
              <w:rPr>
                <w:sz w:val="20"/>
                <w:szCs w:val="20"/>
                <w:color w:val="auto"/>
              </w:rPr>
            </w:pPr>
            <w:r>
              <w:rPr>
                <w:rFonts w:ascii="Arial" w:cs="Arial" w:eastAsia="Arial" w:hAnsi="Arial"/>
                <w:sz w:val="16"/>
                <w:szCs w:val="16"/>
                <w:color w:val="auto"/>
              </w:rPr>
              <w:t>Stock Options (#)</w:t>
            </w:r>
          </w:p>
        </w:tc>
        <w:tc>
          <w:tcPr>
            <w:tcW w:w="1680" w:type="dxa"/>
            <w:vAlign w:val="bottom"/>
          </w:tcPr>
          <w:p>
            <w:pPr>
              <w:spacing w:after="0"/>
              <w:rPr>
                <w:sz w:val="20"/>
                <w:szCs w:val="20"/>
                <w:color w:val="auto"/>
              </w:rPr>
            </w:pPr>
            <w:r>
              <w:rPr>
                <w:rFonts w:ascii="Arial" w:cs="Arial" w:eastAsia="Arial" w:hAnsi="Arial"/>
                <w:sz w:val="16"/>
                <w:szCs w:val="16"/>
                <w:color w:val="auto"/>
                <w:w w:val="91"/>
              </w:rPr>
              <w:t>Restricted Stock Units (#)</w:t>
            </w:r>
          </w:p>
        </w:tc>
      </w:tr>
      <w:tr>
        <w:trPr>
          <w:trHeight w:val="20"/>
        </w:trPr>
        <w:tc>
          <w:tcPr>
            <w:tcW w:w="12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245"/>
        </w:trPr>
        <w:tc>
          <w:tcPr>
            <w:tcW w:w="4120" w:type="dxa"/>
            <w:vAlign w:val="bottom"/>
            <w:gridSpan w:val="2"/>
          </w:tcPr>
          <w:p>
            <w:pPr>
              <w:spacing w:after="0"/>
              <w:rPr>
                <w:sz w:val="20"/>
                <w:szCs w:val="20"/>
                <w:color w:val="auto"/>
              </w:rPr>
            </w:pPr>
            <w:r>
              <w:rPr>
                <w:rFonts w:ascii="Arial" w:cs="Arial" w:eastAsia="Arial" w:hAnsi="Arial"/>
                <w:sz w:val="16"/>
                <w:szCs w:val="16"/>
                <w:color w:val="auto"/>
              </w:rPr>
              <w:t xml:space="preserve">Jonathan Oringer, </w:t>
            </w:r>
            <w:r>
              <w:rPr>
                <w:rFonts w:ascii="Arial" w:cs="Arial" w:eastAsia="Arial" w:hAnsi="Arial"/>
                <w:sz w:val="16"/>
                <w:szCs w:val="16"/>
                <w:i w:val="1"/>
                <w:iCs w:val="1"/>
                <w:color w:val="auto"/>
              </w:rPr>
              <w:t>Chairman and Chief Executive</w:t>
            </w:r>
          </w:p>
        </w:tc>
        <w:tc>
          <w:tcPr>
            <w:tcW w:w="1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5"/>
        </w:trPr>
        <w:tc>
          <w:tcPr>
            <w:tcW w:w="4120" w:type="dxa"/>
            <w:vAlign w:val="bottom"/>
            <w:gridSpan w:val="2"/>
          </w:tcPr>
          <w:p>
            <w:pPr>
              <w:spacing w:after="0"/>
              <w:rPr>
                <w:sz w:val="20"/>
                <w:szCs w:val="20"/>
                <w:color w:val="auto"/>
              </w:rPr>
            </w:pPr>
            <w:r>
              <w:rPr>
                <w:rFonts w:ascii="Arial" w:cs="Arial" w:eastAsia="Arial" w:hAnsi="Arial"/>
                <w:sz w:val="16"/>
                <w:szCs w:val="16"/>
                <w:i w:val="1"/>
                <w:iCs w:val="1"/>
                <w:color w:val="auto"/>
              </w:rPr>
              <w:t>Officer</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250,000</w:t>
            </w: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531"/>
        </w:trPr>
        <w:tc>
          <w:tcPr>
            <w:tcW w:w="4120" w:type="dxa"/>
            <w:vAlign w:val="bottom"/>
            <w:gridSpan w:val="2"/>
          </w:tcPr>
          <w:p>
            <w:pPr>
              <w:spacing w:after="0"/>
              <w:rPr>
                <w:sz w:val="20"/>
                <w:szCs w:val="20"/>
                <w:color w:val="auto"/>
              </w:rPr>
            </w:pPr>
            <w:r>
              <w:rPr>
                <w:rFonts w:ascii="Arial" w:cs="Arial" w:eastAsia="Arial" w:hAnsi="Arial"/>
                <w:sz w:val="16"/>
                <w:szCs w:val="16"/>
                <w:color w:val="auto"/>
              </w:rPr>
              <w:t xml:space="preserve">Steven Berns, </w:t>
            </w:r>
            <w:r>
              <w:rPr>
                <w:rFonts w:ascii="Arial" w:cs="Arial" w:eastAsia="Arial" w:hAnsi="Arial"/>
                <w:sz w:val="16"/>
                <w:szCs w:val="16"/>
                <w:i w:val="1"/>
                <w:iCs w:val="1"/>
                <w:color w:val="auto"/>
              </w:rPr>
              <w:t>Chief Financial Officer</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40,000</w:t>
            </w:r>
          </w:p>
        </w:tc>
        <w:tc>
          <w:tcPr>
            <w:tcW w:w="1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9"/>
              </w:rPr>
              <w:t>15,000</w:t>
            </w:r>
          </w:p>
        </w:tc>
      </w:tr>
      <w:tr>
        <w:trPr>
          <w:trHeight w:val="531"/>
        </w:trPr>
        <w:tc>
          <w:tcPr>
            <w:tcW w:w="4120" w:type="dxa"/>
            <w:vAlign w:val="bottom"/>
            <w:gridSpan w:val="2"/>
          </w:tcPr>
          <w:p>
            <w:pPr>
              <w:spacing w:after="0"/>
              <w:rPr>
                <w:sz w:val="20"/>
                <w:szCs w:val="20"/>
                <w:color w:val="auto"/>
              </w:rPr>
            </w:pPr>
            <w:r>
              <w:rPr>
                <w:rFonts w:ascii="Arial" w:cs="Arial" w:eastAsia="Arial" w:hAnsi="Arial"/>
                <w:sz w:val="16"/>
                <w:szCs w:val="16"/>
                <w:color w:val="auto"/>
              </w:rPr>
              <w:t xml:space="preserve">Anshu Aggarwal, </w:t>
            </w:r>
            <w:r>
              <w:rPr>
                <w:rFonts w:ascii="Arial" w:cs="Arial" w:eastAsia="Arial" w:hAnsi="Arial"/>
                <w:sz w:val="16"/>
                <w:szCs w:val="16"/>
                <w:i w:val="1"/>
                <w:iCs w:val="1"/>
                <w:color w:val="auto"/>
              </w:rPr>
              <w:t>Chief Technology Officer</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10,000</w:t>
            </w:r>
          </w:p>
        </w:tc>
        <w:tc>
          <w:tcPr>
            <w:tcW w:w="1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200" w:lineRule="exact"/>
        <w:rPr>
          <w:sz w:val="20"/>
          <w:szCs w:val="20"/>
          <w:color w:val="auto"/>
        </w:rPr>
      </w:pPr>
    </w:p>
    <w:p>
      <w:pPr>
        <w:spacing w:after="0" w:line="294" w:lineRule="exact"/>
        <w:rPr>
          <w:sz w:val="20"/>
          <w:szCs w:val="20"/>
          <w:color w:val="auto"/>
        </w:rPr>
      </w:pPr>
    </w:p>
    <w:p>
      <w:pPr>
        <w:ind w:firstLine="579"/>
        <w:spacing w:after="0" w:line="265" w:lineRule="auto"/>
        <w:rPr>
          <w:sz w:val="20"/>
          <w:szCs w:val="20"/>
          <w:color w:val="auto"/>
        </w:rPr>
      </w:pPr>
      <w:r>
        <w:rPr>
          <w:rFonts w:ascii="Arial" w:cs="Arial" w:eastAsia="Arial" w:hAnsi="Arial"/>
          <w:sz w:val="16"/>
          <w:szCs w:val="16"/>
          <w:color w:val="auto"/>
        </w:rPr>
        <w:t xml:space="preserve">The grant date for the equity awards described above will be March 1, 2016. All stock options described above will be granted at exercise prices equal to the fair market value of our common stock, which is defined under the 2012 Plan as the closing sales price per share of our common stock as quoted on The New York Stock Exchange on the date of grant, as reported in </w:t>
      </w:r>
      <w:r>
        <w:rPr>
          <w:rFonts w:ascii="Arial" w:cs="Arial" w:eastAsia="Arial" w:hAnsi="Arial"/>
          <w:sz w:val="16"/>
          <w:szCs w:val="16"/>
          <w:i w:val="1"/>
          <w:iCs w:val="1"/>
          <w:color w:val="auto"/>
        </w:rPr>
        <w:t>The Wall Street Journal.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678" w:right="259" w:bottom="1440" w:gutter="0" w:footer="0" w:header="0"/>
        </w:sectPr>
      </w:pPr>
    </w:p>
    <w:bookmarkStart w:id="3" w:name="page4"/>
    <w:bookmarkEnd w:id="3"/>
    <w:p>
      <w:pPr>
        <w:ind w:left="4"/>
        <w:spacing w:after="0"/>
        <w:tabs>
          <w:tab w:leader="none" w:pos="1143"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06" w:lineRule="exact"/>
        <w:rPr>
          <w:sz w:val="20"/>
          <w:szCs w:val="20"/>
          <w:color w:val="auto"/>
        </w:rPr>
      </w:pPr>
    </w:p>
    <w:p>
      <w:pPr>
        <w:ind w:left="624" w:hanging="624"/>
        <w:spacing w:after="0"/>
        <w:tabs>
          <w:tab w:leader="none" w:pos="624"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Exhibits</w:t>
      </w:r>
      <w:r>
        <w:rPr>
          <w:rFonts w:ascii="Arial" w:cs="Arial" w:eastAsia="Arial" w:hAnsi="Arial"/>
          <w:sz w:val="16"/>
          <w:szCs w:val="16"/>
          <w:color w:val="auto"/>
        </w:rPr>
        <w:t>.</w:t>
      </w:r>
    </w:p>
    <w:p>
      <w:pPr>
        <w:spacing w:after="0" w:line="238" w:lineRule="exact"/>
        <w:rPr>
          <w:sz w:val="20"/>
          <w:szCs w:val="20"/>
          <w:color w:val="auto"/>
        </w:rPr>
      </w:pPr>
    </w:p>
    <w:p>
      <w:pPr>
        <w:ind w:left="584"/>
        <w:spacing w:after="0"/>
        <w:tabs>
          <w:tab w:leader="none" w:pos="1163"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Press release dated February 24, 2016</w:t>
      </w:r>
    </w:p>
    <w:p>
      <w:pPr>
        <w:spacing w:after="0" w:line="45" w:lineRule="exact"/>
        <w:rPr>
          <w:sz w:val="20"/>
          <w:szCs w:val="20"/>
          <w:color w:val="auto"/>
        </w:rPr>
      </w:pPr>
    </w:p>
    <w:p>
      <w:pPr>
        <w:ind w:left="584"/>
        <w:spacing w:after="0"/>
        <w:tabs>
          <w:tab w:leader="none" w:pos="1003"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Presentation slides referenced on the earnings call held by Shutterstock, Inc. on February 24, 2016</w:t>
      </w:r>
    </w:p>
    <w:p>
      <w:pPr>
        <w:spacing w:after="0" w:line="226" w:lineRule="exact"/>
        <w:rPr>
          <w:sz w:val="20"/>
          <w:szCs w:val="20"/>
          <w:color w:val="auto"/>
        </w:rPr>
      </w:pPr>
    </w:p>
    <w:p>
      <w:pPr>
        <w:ind w:left="5684"/>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223"/>
          </w:cols>
          <w:pgMar w:left="236" w:top="726" w:right="1440" w:bottom="1440" w:gutter="0" w:footer="0" w:header="0"/>
        </w:sectPr>
      </w:pPr>
    </w:p>
    <w:bookmarkStart w:id="4" w:name="page5"/>
    <w:bookmarkEnd w:id="4"/>
    <w:p>
      <w:pPr>
        <w:jc w:val="center"/>
        <w:ind w:right="-239"/>
        <w:spacing w:after="0"/>
        <w:rPr>
          <w:sz w:val="20"/>
          <w:szCs w:val="20"/>
          <w:color w:val="auto"/>
        </w:rPr>
      </w:pPr>
      <w:r>
        <w:rPr>
          <w:rFonts w:ascii="Arial" w:cs="Arial" w:eastAsia="Arial" w:hAnsi="Arial"/>
          <w:sz w:val="16"/>
          <w:szCs w:val="16"/>
          <w:b w:val="1"/>
          <w:bCs w:val="1"/>
          <w:color w:val="auto"/>
        </w:rPr>
        <w:t>SIGNATURE</w:t>
      </w:r>
    </w:p>
    <w:p>
      <w:pPr>
        <w:spacing w:after="0" w:line="206" w:lineRule="exact"/>
        <w:rPr>
          <w:sz w:val="20"/>
          <w:szCs w:val="20"/>
          <w:color w:val="auto"/>
        </w:rPr>
      </w:pPr>
    </w:p>
    <w:p>
      <w:pPr>
        <w:ind w:firstLine="579"/>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SHUTTERSTOCK, INC.</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5600" w:val="left"/>
          <w:tab w:leader="none" w:pos="6160" w:val="left"/>
        </w:tabs>
        <w:rPr>
          <w:sz w:val="20"/>
          <w:szCs w:val="20"/>
          <w:color w:val="auto"/>
        </w:rPr>
      </w:pPr>
      <w:r>
        <w:rPr>
          <w:rFonts w:ascii="Arial" w:cs="Arial" w:eastAsia="Arial" w:hAnsi="Arial"/>
          <w:sz w:val="16"/>
          <w:szCs w:val="16"/>
          <w:color w:val="auto"/>
        </w:rPr>
        <w:t>Dated: February 24,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29210</wp:posOffset>
            </wp:positionV>
            <wp:extent cx="333184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1845" cy="7620"/>
                    </a:xfrm>
                    <a:prstGeom prst="rect">
                      <a:avLst/>
                    </a:prstGeom>
                    <a:noFill/>
                  </pic:spPr>
                </pic:pic>
              </a:graphicData>
            </a:graphic>
          </wp:anchor>
        </w:drawing>
      </w:r>
    </w:p>
    <w:p>
      <w:pPr>
        <w:spacing w:after="0" w:line="4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Steven Berns</w:t>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Chief Financial Officer</w:t>
      </w:r>
    </w:p>
    <w:p>
      <w:pPr>
        <w:spacing w:after="0" w:line="25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80"/>
          </w:cols>
          <w:pgMar w:left="240" w:top="533"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9"/>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jc w:val="center"/>
              <w:ind w:right="1703"/>
              <w:spacing w:after="0"/>
              <w:rPr>
                <w:sz w:val="20"/>
                <w:szCs w:val="20"/>
                <w:color w:val="auto"/>
              </w:rPr>
            </w:pPr>
            <w:r>
              <w:rPr>
                <w:rFonts w:ascii="Arial" w:cs="Arial" w:eastAsia="Arial" w:hAnsi="Arial"/>
                <w:sz w:val="16"/>
                <w:szCs w:val="16"/>
                <w:b w:val="1"/>
                <w:bCs w:val="1"/>
                <w:color w:val="auto"/>
              </w:rPr>
              <w:t>EXHIBIT INDEX</w:t>
            </w:r>
          </w:p>
        </w:tc>
      </w:tr>
      <w:tr>
        <w:trPr>
          <w:trHeight w:val="490"/>
        </w:trPr>
        <w:tc>
          <w:tcPr>
            <w:tcW w:w="182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9580" w:type="dxa"/>
            <w:vAlign w:val="bottom"/>
          </w:tcPr>
          <w:p>
            <w:pPr>
              <w:ind w:left="4260"/>
              <w:spacing w:after="0"/>
              <w:rPr>
                <w:sz w:val="20"/>
                <w:szCs w:val="20"/>
                <w:color w:val="auto"/>
              </w:rPr>
            </w:pPr>
            <w:r>
              <w:rPr>
                <w:rFonts w:ascii="Arial" w:cs="Arial" w:eastAsia="Arial" w:hAnsi="Arial"/>
                <w:sz w:val="13"/>
                <w:szCs w:val="13"/>
                <w:b w:val="1"/>
                <w:bCs w:val="1"/>
                <w:color w:val="auto"/>
              </w:rPr>
              <w:t>Exhibit Description</w:t>
            </w:r>
          </w:p>
        </w:tc>
      </w:tr>
      <w:tr>
        <w:trPr>
          <w:trHeight w:val="455"/>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99.1</w:t>
            </w:r>
          </w:p>
        </w:tc>
        <w:tc>
          <w:tcPr>
            <w:tcW w:w="560" w:type="dxa"/>
            <w:vAlign w:val="bottom"/>
          </w:tcPr>
          <w:p>
            <w:pPr>
              <w:spacing w:after="0"/>
              <w:rPr>
                <w:sz w:val="24"/>
                <w:szCs w:val="24"/>
                <w:color w:val="auto"/>
              </w:rPr>
            </w:pPr>
          </w:p>
        </w:tc>
        <w:tc>
          <w:tcPr>
            <w:tcW w:w="95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Press release dated February 24, 2016</w:t>
            </w:r>
          </w:p>
        </w:tc>
      </w:tr>
      <w:tr>
        <w:trPr>
          <w:trHeight w:val="350"/>
        </w:trPr>
        <w:tc>
          <w:tcPr>
            <w:tcW w:w="1260" w:type="dxa"/>
            <w:vAlign w:val="bottom"/>
          </w:tcPr>
          <w:p>
            <w:pPr>
              <w:ind w:left="20"/>
              <w:spacing w:after="0"/>
              <w:rPr>
                <w:sz w:val="20"/>
                <w:szCs w:val="20"/>
                <w:color w:val="auto"/>
              </w:rPr>
            </w:pPr>
            <w:r>
              <w:rPr>
                <w:rFonts w:ascii="Arial" w:cs="Arial" w:eastAsia="Arial" w:hAnsi="Arial"/>
                <w:sz w:val="16"/>
                <w:szCs w:val="16"/>
                <w:color w:val="auto"/>
              </w:rPr>
              <w:t>99.2</w:t>
            </w:r>
          </w:p>
        </w:tc>
        <w:tc>
          <w:tcPr>
            <w:tcW w:w="5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6"/>
                <w:szCs w:val="16"/>
                <w:color w:val="auto"/>
              </w:rPr>
              <w:t>Presentation slides referenced on the earnings call held by Shutterstock, Inc. on February 24, 2016</w:t>
            </w:r>
          </w:p>
        </w:tc>
      </w:tr>
      <w:tr>
        <w:trPr>
          <w:trHeight w:val="434"/>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580" w:type="dxa"/>
            <w:vAlign w:val="bottom"/>
          </w:tcPr>
          <w:p>
            <w:pPr>
              <w:jc w:val="right"/>
              <w:ind w:right="5563"/>
              <w:spacing w:after="0"/>
              <w:rPr>
                <w:sz w:val="20"/>
                <w:szCs w:val="20"/>
                <w:color w:val="auto"/>
              </w:rPr>
            </w:pPr>
            <w:r>
              <w:rPr>
                <w:rFonts w:ascii="Arial" w:cs="Arial" w:eastAsia="Arial" w:hAnsi="Arial"/>
                <w:sz w:val="16"/>
                <w:szCs w:val="16"/>
                <w:color w:val="auto"/>
              </w:rPr>
              <w:t>6</w:t>
            </w:r>
          </w:p>
        </w:tc>
      </w:tr>
    </w:tbl>
    <w:p>
      <w:pPr>
        <w:sectPr>
          <w:pgSz w:w="11900" w:h="16838" w:orient="portrait"/>
          <w:cols w:equalWidth="0" w:num="1">
            <w:col w:w="11400"/>
          </w:cols>
          <w:pgMar w:left="240" w:top="533" w:right="25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77470</wp:posOffset>
            </wp:positionV>
            <wp:extent cx="3140710" cy="444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40710" cy="44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Shutterstock Reports Fourth Quarter And Full Year 2015 Financial Results</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 Year 2015 Highlights:</w:t>
      </w:r>
    </w:p>
    <w:p>
      <w:pPr>
        <w:spacing w:after="0" w:line="206" w:lineRule="exact"/>
        <w:rPr>
          <w:sz w:val="20"/>
          <w:szCs w:val="20"/>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increased 30% to $425.1 million</w:t>
      </w:r>
    </w:p>
    <w:p>
      <w:pPr>
        <w:spacing w:after="0" w:line="21"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increased 19% to $84.7 million</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Non-GAAP Net Income per diluted share increased 14% to $1.22</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Repurchased $15.6 million of stock in the fourth quarter</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Paid downloads increased 17% and revenue per download increased 10%</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Image collection expanded 53% to 71.4 million images and video collection expanded 61% to 3.7 million video clips</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Acquired PremiumBeat and Rex Features in January 2015</w:t>
      </w:r>
    </w:p>
    <w:p>
      <w:pPr>
        <w:spacing w:after="0" w:line="186"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color w:val="auto"/>
        </w:rPr>
        <w:t xml:space="preserve">New York - February 24, 2016 - </w:t>
      </w:r>
      <w:r>
        <w:rPr>
          <w:rFonts w:ascii="Arial" w:cs="Arial" w:eastAsia="Arial" w:hAnsi="Arial"/>
          <w:sz w:val="16"/>
          <w:szCs w:val="16"/>
          <w:color w:val="auto"/>
        </w:rPr>
        <w:t>Shutterstock, Inc. (NYSE: SSTK), a leading global provider of commercial imagery and music, today announced financial results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fourth quarter and full year ended December 31, 2015.</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Founder and CEO Jon Oringer said “2015 was another year of sustained operating momentum and strong financial growth as Shutterstock continued to focus on providing the highest quality content and an unmatched user experience to our expanding customer base. We significantly increased our traditional image and video libraries while diversifying our product offering to include extensive music and editorial content, further meeting the evolving needs of our diverse users. We continued to innovate, building on our industry leading search capabilities and introducing new workflow tools to increase engagement with our customers. In 2016, we once again expect to deliver strong financial results as we invest in new technology solutions and expanded product offerings that will enable us to drive long-term value."</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 YEAR RESULTS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Full year revenue of $425.1 million increased $97.2 million or 30% as compared to the full year 2014, primarily due to a 17% increase in the number of paid downloads, mainly due to new customers, as well as from a 10% increase in revenue per download driven by growth in both on-demand offerings and enterprise sales. Current year results also included contributions from PremiumBeat and Rex Features, which were acquired during the first quarter of 2015. Excluding contributions from these acquired businesses and the impact of foreign currency, total Company revenue growth was approximately 27% in 2015.</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206"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Adjusted EBITDA of $84.7 million increased $13.6 million or 19% as compared to the full year 2014 as the 30% revenue growth was partially offset by an increase in operating expenses primarily from higher royalty costs associated with the increase in paid downloads. Additionally, 2015 included higher personnel and marketing expenses to support growth, severance costs associated with executive management and operating costs from businesses acquired during the first quarter of 2015. Excluding the contributions from these businesses, as well as severance costs associated with executive management and the impact of foreign currency, Adjusted EBITDA growth was approximately 31% in 2015 as compared to 2014. Adjusted EBITDA is defined as net income adjusted for other (expense)/income, income taxes, depreciation, amortization, disposals and non-cash equity-based compensation.</w:t>
      </w:r>
    </w:p>
    <w:p>
      <w:pPr>
        <w:sectPr>
          <w:pgSz w:w="11900" w:h="16838" w:orient="portrait"/>
          <w:cols w:equalWidth="0" w:num="1">
            <w:col w:w="11440"/>
          </w:cols>
          <w:pgMar w:left="240" w:top="533" w:right="2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Net Income</w:t>
      </w:r>
    </w:p>
    <w:p>
      <w:pPr>
        <w:spacing w:after="0" w:line="206"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color w:val="auto"/>
        </w:rPr>
        <w:t>Net income available to common stockholders of $19.6 million ($0.54 per diluted share) for the full year decreased 11% as compared with $22.0 million ($0.61 per diluted share) a year ago as the improved operating performance was partially offset by an increase in non-cash equity-based compensation expense, changes in the fair value of contingent consideration, amortization of acquisition related intangible assets and an unrealized non-cash loss associated with foreign currency movements.</w:t>
      </w:r>
    </w:p>
    <w:p>
      <w:pPr>
        <w:spacing w:after="0" w:line="14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Non-GAAP net income, which excludes the after tax impact of non-cash equity-based compensation, changes in fair value of contingent consideration related to acquisitions, and amortization of acquisition related intangible assets, was $44.2 million ($1.22 per diluted share) for the full year, an increase of 14% as compared to $38.6 million ($1.07 per diluted share) in 2014.</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FOURTH QUARTER RESULTS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206" w:lineRule="exact"/>
        <w:rPr>
          <w:sz w:val="20"/>
          <w:szCs w:val="20"/>
          <w:color w:val="auto"/>
        </w:rPr>
      </w:pPr>
    </w:p>
    <w:p>
      <w:pPr>
        <w:jc w:val="both"/>
        <w:ind w:right="20"/>
        <w:spacing w:after="0" w:line="283" w:lineRule="auto"/>
        <w:rPr>
          <w:sz w:val="20"/>
          <w:szCs w:val="20"/>
          <w:color w:val="auto"/>
        </w:rPr>
      </w:pPr>
      <w:r>
        <w:rPr>
          <w:rFonts w:ascii="Arial" w:cs="Arial" w:eastAsia="Arial" w:hAnsi="Arial"/>
          <w:sz w:val="15"/>
          <w:szCs w:val="15"/>
          <w:color w:val="auto"/>
        </w:rPr>
        <w:t>Fourth quarter revenue of $116.0 million increased $24.8 million or 27% as compared to the fourth quarter of 2014, primarily due to a 19% increase in the number of paid downloads, mainly due to new customers, as well as from a 7% increase in revenue per download driven by growth in both on-demand offerings and enterprise sales. Fourth quarter results also included contributions from PremiumBeat and Rex Features, which were acquired during the first quarter of 2015. Excluding contributions from these acquired businesses and the impact of foreign currency, total Company revenue growth was approximately 24% in the fourth quarter.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Adjusted EBITDA of $25.6 million increased $3.1 million or 14% as compared to the fourth quarter of 2014 as the 27% revenue growth was partially offset by an increase in operating expenses primarily from higher royalty costs associated with the increase in paid downloads. Additionally, the fourth quarter of 2015 included higher personnel and marketing expenses to support growth, severance costs associated with executive management and operating costs from businesses acquired during the first quarter of 2015. Excluding the contributions from these businesses, as well as severance costs associated with executive management and the impact of foreign currency, Adjusted EBITDA growth was approximately 25% in the fourth quarter as compared to the fourth quarter of 2014. Adjusted EBITDA is defined as net income adjusted for other (expense)/income, income taxes, depreciation, amortization, disposals and non-cash equity-based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w:t>
      </w:r>
    </w:p>
    <w:p>
      <w:pPr>
        <w:spacing w:after="0" w:line="20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Net income available to common stockholders of $6.9 million ($0.19 per diluted share) for the fourth quarter decreased slightly as compared with $7.0 million ($0.20 per diluted share) in the fourth quarter a year ago as the improved operating performance and a decrease in non-cash equity-based compensation expense was more than offset by changes in the fair value of contingent consideration and amortization of acquisition related intangible assets.</w:t>
      </w:r>
    </w:p>
    <w:p>
      <w:pPr>
        <w:spacing w:after="0" w:line="16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Non-GAAP net income, which excludes the after tax impact of non-cash equity-based compensation, changes in fair value of contingent consideration related to acquisitions, and amortization of acquisition related intangible assets, was $13.8 million ($0.38 per diluted share) for the fourth quarter, an increase of 8% as compared to $12.8 million ($0.36 per diluted share) in the fourth quarter of 2014.</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cash, cash equivalents and short term investments totaled $288.4 million at December 31, 2015 as compared to $288.3 million at December 31, 2014, primarily reflecting the $85.3 million of cash generated from operations, which was partially offset by cash paid for acquisitions of approximately $65.0 million and cash used to repurchase shares of approximately $15.6 million. The Company generated $25.9 million of cash from operations in the fourth quarter of 2015, as compared to $23.4 million in the fourth quarter of 2014.</w:t>
      </w:r>
    </w:p>
    <w:p>
      <w:pPr>
        <w:sectPr>
          <w:pgSz w:w="11900" w:h="16838" w:orient="portrait"/>
          <w:cols w:equalWidth="0" w:num="1">
            <w:col w:w="11440"/>
          </w:cols>
          <w:pgMar w:left="240" w:top="533" w:right="219" w:bottom="1440" w:gutter="0" w:footer="0" w:header="0"/>
        </w:sectPr>
      </w:pPr>
    </w:p>
    <w:bookmarkStart w:id="8" w:name="page9"/>
    <w:bookmarkEnd w:id="8"/>
    <w:p>
      <w:pPr>
        <w:jc w:val="both"/>
        <w:ind w:left="4" w:right="20"/>
        <w:spacing w:after="0" w:line="283" w:lineRule="auto"/>
        <w:rPr>
          <w:sz w:val="20"/>
          <w:szCs w:val="20"/>
          <w:color w:val="auto"/>
        </w:rPr>
      </w:pPr>
      <w:r>
        <w:rPr>
          <w:rFonts w:ascii="Arial" w:cs="Arial" w:eastAsia="Arial" w:hAnsi="Arial"/>
          <w:sz w:val="15"/>
          <w:szCs w:val="15"/>
          <w:color w:val="auto"/>
        </w:rPr>
        <w:t>Free cash flow was $68.3 million for the full year, an increase of $4.2 million from 2014, as the improved operating performance and lower spending on capital expenditures and content acquisitions were partially offset by working capital fluctuations. Free cash flow was $21.0 million for the fourth quarter, a decrease of $0.4 million from the fourth quarter of 2014, as the improved operating performance was more than offset by increased capital expenditures and content acquisitions as well as working capital fluctuations. Free cash flow is defined as cash provided by operating activities adjusted for capital expenditures and content acquisition.</w:t>
      </w:r>
    </w:p>
    <w:p>
      <w:pPr>
        <w:spacing w:after="0" w:line="34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STOCK REPURCHASE PROGRAM</w:t>
      </w:r>
    </w:p>
    <w:p>
      <w:pPr>
        <w:spacing w:after="0" w:line="206" w:lineRule="exact"/>
        <w:rPr>
          <w:sz w:val="20"/>
          <w:szCs w:val="20"/>
          <w:color w:val="auto"/>
        </w:rPr>
      </w:pPr>
    </w:p>
    <w:p>
      <w:pPr>
        <w:jc w:val="both"/>
        <w:ind w:left="4" w:right="20"/>
        <w:spacing w:after="0" w:line="258" w:lineRule="auto"/>
        <w:rPr>
          <w:sz w:val="20"/>
          <w:szCs w:val="20"/>
          <w:color w:val="auto"/>
        </w:rPr>
      </w:pPr>
      <w:r>
        <w:rPr>
          <w:rFonts w:ascii="Arial" w:cs="Arial" w:eastAsia="Arial" w:hAnsi="Arial"/>
          <w:sz w:val="16"/>
          <w:szCs w:val="16"/>
          <w:color w:val="auto"/>
        </w:rPr>
        <w:t>During the fourth quarter, the Company repurchased approximately 460,000 shares of its stock, pursuant to its existing $100 million stock repurchase program, at an average price per share of $34.01 for a total of $15.6 million. Under the stock repurchase program, management is authorized to purchase shares from time to time through open market purchases or privately negotiated transactions at prevailing prices as permitted by securities laws and other legal requirements. The timing and amount of any shares repurchased will be determined by the Company's management based on its evaluation of market conditions and other factors. The repurchase program may be suspended or discontinued at any time.</w:t>
      </w:r>
    </w:p>
    <w:p>
      <w:pPr>
        <w:spacing w:after="0" w:line="3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OPERATING METRICS</w:t>
      </w:r>
    </w:p>
    <w:p>
      <w:pPr>
        <w:spacing w:after="0" w:line="200" w:lineRule="exact"/>
        <w:rPr>
          <w:sz w:val="20"/>
          <w:szCs w:val="20"/>
          <w:color w:val="auto"/>
        </w:rPr>
      </w:pP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4700" w:type="dxa"/>
            <w:vAlign w:val="bottom"/>
          </w:tcPr>
          <w:p>
            <w:pPr>
              <w:spacing w:after="0"/>
              <w:rPr>
                <w:sz w:val="13"/>
                <w:szCs w:val="13"/>
                <w:color w:val="auto"/>
              </w:rPr>
            </w:pPr>
          </w:p>
        </w:tc>
        <w:tc>
          <w:tcPr>
            <w:tcW w:w="282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1"/>
                <w:szCs w:val="11"/>
                <w:b w:val="1"/>
                <w:bCs w:val="1"/>
                <w:color w:val="auto"/>
              </w:rPr>
              <w:t>Three Months Ended December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60" w:type="dxa"/>
            <w:vAlign w:val="bottom"/>
            <w:tcBorders>
              <w:bottom w:val="single" w:sz="8" w:color="auto"/>
            </w:tcBorders>
          </w:tcPr>
          <w:p>
            <w:pPr>
              <w:spacing w:after="0"/>
              <w:rPr>
                <w:sz w:val="13"/>
                <w:szCs w:val="13"/>
                <w:color w:val="auto"/>
              </w:rPr>
            </w:pPr>
          </w:p>
        </w:tc>
      </w:tr>
      <w:tr>
        <w:trPr>
          <w:trHeight w:val="233"/>
        </w:trPr>
        <w:tc>
          <w:tcPr>
            <w:tcW w:w="4700" w:type="dxa"/>
            <w:vAlign w:val="bottom"/>
          </w:tcPr>
          <w:p>
            <w:pPr>
              <w:spacing w:after="0"/>
              <w:rPr>
                <w:sz w:val="20"/>
                <w:szCs w:val="20"/>
                <w:color w:val="auto"/>
              </w:rPr>
            </w:pPr>
          </w:p>
        </w:tc>
        <w:tc>
          <w:tcPr>
            <w:tcW w:w="108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2015</w:t>
            </w: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6"/>
              <w:spacing w:after="0"/>
              <w:rPr>
                <w:sz w:val="20"/>
                <w:szCs w:val="20"/>
                <w:color w:val="auto"/>
              </w:rPr>
            </w:pPr>
            <w:r>
              <w:rPr>
                <w:rFonts w:ascii="Arial" w:cs="Arial" w:eastAsia="Arial" w:hAnsi="Arial"/>
                <w:sz w:val="11"/>
                <w:szCs w:val="11"/>
                <w:b w:val="1"/>
                <w:bCs w:val="1"/>
                <w:color w:val="auto"/>
              </w:rPr>
              <w:t>2014</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rPr>
              <w:t>2015</w:t>
            </w:r>
          </w:p>
        </w:tc>
        <w:tc>
          <w:tcPr>
            <w:tcW w:w="7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2014</w:t>
            </w:r>
          </w:p>
        </w:tc>
      </w:tr>
      <w:tr>
        <w:trPr>
          <w:trHeight w:val="224"/>
        </w:trPr>
        <w:tc>
          <w:tcPr>
            <w:tcW w:w="4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40" w:type="dxa"/>
            <w:vAlign w:val="bottom"/>
            <w:gridSpan w:val="5"/>
          </w:tcPr>
          <w:p>
            <w:pPr>
              <w:jc w:val="right"/>
              <w:ind w:right="454"/>
              <w:spacing w:after="0"/>
              <w:rPr>
                <w:sz w:val="20"/>
                <w:szCs w:val="20"/>
                <w:color w:val="auto"/>
              </w:rPr>
            </w:pPr>
            <w:r>
              <w:rPr>
                <w:rFonts w:ascii="Arial" w:cs="Arial" w:eastAsia="Arial" w:hAnsi="Arial"/>
                <w:sz w:val="13"/>
                <w:szCs w:val="13"/>
                <w:b w:val="1"/>
                <w:bCs w:val="1"/>
                <w:color w:val="auto"/>
              </w:rPr>
              <w:t>(in millions, except revenue per download)</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paid downloads</w:t>
            </w: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39.8</w:t>
            </w:r>
          </w:p>
        </w:tc>
        <w:tc>
          <w:tcPr>
            <w:tcW w:w="1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147.2</w:t>
            </w:r>
          </w:p>
        </w:tc>
        <w:tc>
          <w:tcPr>
            <w:tcW w:w="7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125.9</w:t>
            </w:r>
          </w:p>
        </w:tc>
      </w:tr>
      <w:tr>
        <w:trPr>
          <w:trHeight w:val="241"/>
        </w:trPr>
        <w:tc>
          <w:tcPr>
            <w:tcW w:w="4700" w:type="dxa"/>
            <w:vAlign w:val="bottom"/>
          </w:tcPr>
          <w:p>
            <w:pPr>
              <w:ind w:left="20"/>
              <w:spacing w:after="0"/>
              <w:rPr>
                <w:sz w:val="20"/>
                <w:szCs w:val="20"/>
                <w:color w:val="auto"/>
              </w:rPr>
            </w:pPr>
            <w:r>
              <w:rPr>
                <w:rFonts w:ascii="Arial" w:cs="Arial" w:eastAsia="Arial" w:hAnsi="Arial"/>
                <w:sz w:val="14"/>
                <w:szCs w:val="14"/>
                <w:color w:val="auto"/>
              </w:rPr>
              <w:t xml:space="preserve">Revenue per download </w:t>
            </w:r>
            <w:r>
              <w:rPr>
                <w:rFonts w:ascii="Arial" w:cs="Arial" w:eastAsia="Arial" w:hAnsi="Arial"/>
                <w:sz w:val="19"/>
                <w:szCs w:val="19"/>
                <w:b w:val="1"/>
                <w:bCs w:val="1"/>
                <w:color w:val="auto"/>
                <w:vertAlign w:val="superscript"/>
              </w:rPr>
              <w:t>(1)</w:t>
            </w:r>
          </w:p>
        </w:tc>
        <w:tc>
          <w:tcPr>
            <w:tcW w:w="1080" w:type="dxa"/>
            <w:vAlign w:val="bottom"/>
          </w:tcPr>
          <w:p>
            <w:pPr>
              <w:jc w:val="right"/>
              <w:ind w:right="91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2.86</w:t>
            </w:r>
          </w:p>
        </w:tc>
        <w:tc>
          <w:tcPr>
            <w:tcW w:w="1200" w:type="dxa"/>
            <w:vAlign w:val="bottom"/>
          </w:tcPr>
          <w:p>
            <w:pPr>
              <w:jc w:val="right"/>
              <w:ind w:right="916"/>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0"/>
                <w:szCs w:val="20"/>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54"/>
              <w:spacing w:after="0"/>
              <w:rPr>
                <w:sz w:val="20"/>
                <w:szCs w:val="20"/>
                <w:color w:val="auto"/>
              </w:rPr>
            </w:pPr>
            <w:r>
              <w:rPr>
                <w:rFonts w:ascii="Arial" w:cs="Arial" w:eastAsia="Arial" w:hAnsi="Arial"/>
                <w:sz w:val="14"/>
                <w:szCs w:val="14"/>
                <w:color w:val="auto"/>
              </w:rPr>
              <w:t>2.84</w:t>
            </w:r>
          </w:p>
        </w:tc>
        <w:tc>
          <w:tcPr>
            <w:tcW w:w="72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2.58</w:t>
            </w:r>
          </w:p>
        </w:tc>
      </w:tr>
      <w:tr>
        <w:trPr>
          <w:trHeight w:val="241"/>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Images in our collection (end of period) </w:t>
            </w:r>
            <w:r>
              <w:rPr>
                <w:rFonts w:ascii="Arial" w:cs="Arial" w:eastAsia="Arial" w:hAnsi="Arial"/>
                <w:sz w:val="19"/>
                <w:szCs w:val="19"/>
                <w:color w:val="auto"/>
                <w:vertAlign w:val="superscript"/>
              </w:rPr>
              <w:t>(2)</w:t>
            </w:r>
          </w:p>
        </w:tc>
        <w:tc>
          <w:tcPr>
            <w:tcW w:w="10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71.4</w:t>
            </w:r>
          </w:p>
        </w:tc>
        <w:tc>
          <w:tcPr>
            <w:tcW w:w="12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71.4</w:t>
            </w:r>
          </w:p>
        </w:tc>
        <w:tc>
          <w:tcPr>
            <w:tcW w:w="7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46.8</w:t>
            </w:r>
          </w:p>
        </w:tc>
      </w:tr>
    </w:tbl>
    <w:p>
      <w:pPr>
        <w:spacing w:after="0" w:line="27" w:lineRule="exact"/>
        <w:rPr>
          <w:sz w:val="20"/>
          <w:szCs w:val="20"/>
          <w:color w:val="auto"/>
        </w:rPr>
      </w:pPr>
    </w:p>
    <w:p>
      <w:pPr>
        <w:ind w:left="4"/>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w:t>
      </w:r>
    </w:p>
    <w:p>
      <w:pPr>
        <w:spacing w:after="0" w:line="35" w:lineRule="exact"/>
        <w:rPr>
          <w:sz w:val="20"/>
          <w:szCs w:val="20"/>
          <w:color w:val="auto"/>
        </w:rPr>
      </w:pPr>
    </w:p>
    <w:p>
      <w:pPr>
        <w:ind w:left="224" w:hanging="224"/>
        <w:spacing w:after="0"/>
        <w:tabs>
          <w:tab w:leader="none" w:pos="224" w:val="left"/>
        </w:tabs>
        <w:numPr>
          <w:ilvl w:val="0"/>
          <w:numId w:val="4"/>
        </w:numPr>
        <w:rPr>
          <w:rFonts w:ascii="Arial" w:cs="Arial" w:eastAsia="Arial" w:hAnsi="Arial"/>
          <w:sz w:val="13"/>
          <w:szCs w:val="13"/>
          <w:color w:val="auto"/>
        </w:rPr>
      </w:pPr>
      <w:r>
        <w:rPr>
          <w:rFonts w:ascii="Arial" w:cs="Arial" w:eastAsia="Arial" w:hAnsi="Arial"/>
          <w:sz w:val="13"/>
          <w:szCs w:val="13"/>
          <w:color w:val="auto"/>
        </w:rPr>
        <w:t>Revenue per download metric excludes the impact of revenue not associated with content downloads.</w:t>
      </w:r>
    </w:p>
    <w:p>
      <w:pPr>
        <w:spacing w:after="0" w:line="5" w:lineRule="exact"/>
        <w:rPr>
          <w:rFonts w:ascii="Arial" w:cs="Arial" w:eastAsia="Arial" w:hAnsi="Arial"/>
          <w:sz w:val="13"/>
          <w:szCs w:val="13"/>
          <w:color w:val="auto"/>
        </w:rPr>
      </w:pPr>
    </w:p>
    <w:p>
      <w:pPr>
        <w:ind w:left="4" w:right="580" w:hanging="4"/>
        <w:spacing w:after="0" w:line="238" w:lineRule="auto"/>
        <w:tabs>
          <w:tab w:leader="none" w:pos="186" w:val="left"/>
        </w:tabs>
        <w:numPr>
          <w:ilvl w:val="0"/>
          <w:numId w:val="4"/>
        </w:numPr>
        <w:rPr>
          <w:rFonts w:ascii="Arial" w:cs="Arial" w:eastAsia="Arial" w:hAnsi="Arial"/>
          <w:sz w:val="13"/>
          <w:szCs w:val="13"/>
          <w:color w:val="auto"/>
        </w:rPr>
      </w:pPr>
      <w:r>
        <w:rPr>
          <w:rFonts w:ascii="Arial" w:cs="Arial" w:eastAsia="Arial" w:hAnsi="Arial"/>
          <w:sz w:val="13"/>
          <w:szCs w:val="13"/>
          <w:color w:val="auto"/>
        </w:rPr>
        <w:t>Images are photographs, vectors and illustrations available on shutterstock.com at the end of the period. We exclude content that is not uploaded directly to our site but is available to our customers through an application program interface and certain images that may be licensed for editorial use only.</w:t>
      </w:r>
    </w:p>
    <w:p>
      <w:pPr>
        <w:spacing w:after="0" w:line="36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FINANCIAL OUTLOOK</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Company’s current expectations for the full year 2016 are as follows: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Full Year 2016</w:t>
      </w:r>
    </w:p>
    <w:p>
      <w:pPr>
        <w:spacing w:after="0" w:line="202" w:lineRule="exact"/>
        <w:rPr>
          <w:sz w:val="20"/>
          <w:szCs w:val="20"/>
          <w:color w:val="auto"/>
        </w:rPr>
      </w:pPr>
    </w:p>
    <w:p>
      <w:pPr>
        <w:ind w:left="584" w:hanging="294"/>
        <w:spacing w:after="0"/>
        <w:tabs>
          <w:tab w:leader="none" w:pos="58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 of $495 - $510 million (17% - 20% growth)</w:t>
      </w:r>
    </w:p>
    <w:p>
      <w:pPr>
        <w:spacing w:after="0" w:line="21" w:lineRule="exact"/>
        <w:rPr>
          <w:rFonts w:ascii="Arial" w:cs="Arial" w:eastAsia="Arial" w:hAnsi="Arial"/>
          <w:sz w:val="16"/>
          <w:szCs w:val="16"/>
          <w:color w:val="auto"/>
        </w:rPr>
      </w:pPr>
    </w:p>
    <w:p>
      <w:pPr>
        <w:ind w:left="584" w:hanging="294"/>
        <w:spacing w:after="0"/>
        <w:tabs>
          <w:tab w:leader="none" w:pos="584"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of $95 - $100 million (12% - 18% growth)</w:t>
      </w:r>
    </w:p>
    <w:p>
      <w:pPr>
        <w:spacing w:after="0" w:line="9" w:lineRule="exact"/>
        <w:rPr>
          <w:rFonts w:ascii="Arial" w:cs="Arial" w:eastAsia="Arial" w:hAnsi="Arial"/>
          <w:sz w:val="16"/>
          <w:szCs w:val="16"/>
          <w:color w:val="auto"/>
        </w:rPr>
      </w:pPr>
    </w:p>
    <w:p>
      <w:pPr>
        <w:ind w:left="584" w:hanging="294"/>
        <w:spacing w:after="0"/>
        <w:tabs>
          <w:tab w:leader="none" w:pos="584"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Non-cash equity-based compensation expense of approximately $35 million</w:t>
      </w:r>
    </w:p>
    <w:p>
      <w:pPr>
        <w:spacing w:after="0" w:line="9" w:lineRule="exact"/>
        <w:rPr>
          <w:rFonts w:ascii="Arial" w:cs="Arial" w:eastAsia="Arial" w:hAnsi="Arial"/>
          <w:sz w:val="16"/>
          <w:szCs w:val="16"/>
          <w:color w:val="auto"/>
        </w:rPr>
      </w:pPr>
    </w:p>
    <w:p>
      <w:pPr>
        <w:ind w:left="584" w:hanging="294"/>
        <w:spacing w:after="0"/>
        <w:tabs>
          <w:tab w:leader="none" w:pos="584" w:val="left"/>
        </w:tabs>
        <w:numPr>
          <w:ilvl w:val="0"/>
          <w:numId w:val="5"/>
        </w:numPr>
        <w:rPr>
          <w:rFonts w:ascii="Arial" w:cs="Arial" w:eastAsia="Arial" w:hAnsi="Arial"/>
          <w:sz w:val="16"/>
          <w:szCs w:val="16"/>
          <w:color w:val="auto"/>
        </w:rPr>
      </w:pPr>
      <w:r>
        <w:rPr>
          <w:rFonts w:ascii="Arial" w:cs="Arial" w:eastAsia="Arial" w:hAnsi="Arial"/>
          <w:sz w:val="16"/>
          <w:szCs w:val="16"/>
          <w:color w:val="auto"/>
        </w:rPr>
        <w:t>Capital expenditures of approximately $25 million</w:t>
      </w:r>
    </w:p>
    <w:p>
      <w:pPr>
        <w:sectPr>
          <w:pgSz w:w="11900" w:h="16838" w:orient="portrait"/>
          <w:cols w:equalWidth="0" w:num="1">
            <w:col w:w="11444"/>
          </w:cols>
          <w:pgMar w:left="236" w:top="537" w:right="2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NON-GAAP FINANCIAL MEASURES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Shutterstock considers Adjusted EBITDA, non-GAAP net income, and free cash flow to be important financial indicators of the Company’s operational strength and the performance of its business. Shutterstock defines adjusted EBITDA as net income adjusted for other (expense)/income, income taxes, depreciation, amortization, disposals and non-cash equity-based compensation; non-GAAP net income as net income excluding the after tax impact of non-cash equity-based compensation, the amortization of acquisition related intangible assets and changes in the fair value of contingent consideration related to acquisitions; and free cash flow as cash provided by/(used in) operating activities adjusted for capital expenditures and content acquisition. These figures have not been calculated in accordance with United States generally accepted accounting principles (GAAP) and should be considered in addition to results prepared in accordance with GAAP and should not be considered as a substitute for, or superior to, GAAP results. In addition, Adjusted EBITDA, non-GAAP net income,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16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 reconciliation of the differences between Adjusted EBITDA, non-GAAP net income, and free cash flow, and the most comparable financial measure calculated and presented in accordance with GAAP, is presented under the heading “Reconciliation of Non-GAAP Financial Information to GAAP” immediately following the Consolidated Balance Sheets.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TELECONFERENCE INFORMATION</w:t>
      </w:r>
    </w:p>
    <w:p>
      <w:pPr>
        <w:spacing w:after="0" w:line="20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Company will discuss its fourth quarter financial results during a teleconference today, February 24, 2016, at 8:30 AM ET. The conference call can be accessed in the U.S. at (877) 306-0077 or outside the U.S. at (678) 562-4243 with the conference ID# 24579053. A live audio webcast of the call will also be available simultaneously at http://investor.shutterstock.com.</w:t>
      </w:r>
    </w:p>
    <w:p>
      <w:pPr>
        <w:spacing w:after="0" w:line="163"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Following completion of the call, a recorded replay of the webcast will be available in the investor relations section of Shutterstock’s website. A telephone replay of the call will also be available until March 2, 2016 in the U.S. at (855) 859-2056 or outside the U.S. at (404) 537-3406 with the conference ID# 24579053.</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Additional investor information can be accessed at http://investor.shutterstock.com.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SHUTTERSTOCK</w:t>
      </w:r>
    </w:p>
    <w:p>
      <w:pPr>
        <w:spacing w:after="0" w:line="20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Shutterstock, Inc. (NYSE: SSTK) is a leading global provider of high-quality licensed photographs, vectors, illustrations, videos and music to businesses, marketing agencies and media organizations around the world. Working with its growing community of over 100,000 contributors, Shutterstock adds hundreds of thousands of images each week, and currently has more than 70 million images and nearly 4 million video clips available.</w:t>
      </w:r>
    </w:p>
    <w:p>
      <w:pPr>
        <w:spacing w:after="0" w:line="16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Headquartered in New York City, with offices in Amsterdam, Berlin, Chicago, Dallas, Denver, London, Los Angeles, Montreal, Paris, San Francisco and Silicon Valley, Shutterstock has customers in more than 150 countries. The Company also owns Bigstock, a value-oriented stock media agency; Offset, a high-end image collection; PremiumBeat a curated royalty-free music library; Rex Features, a premier source of editorial images for the world’s media; and WebDAM, a cloud-based digital asset management service for businesses.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please visit www.shutterstock.com, and follow Shutterstock on Twitter or Facebook.</w:t>
      </w:r>
    </w:p>
    <w:p>
      <w:pPr>
        <w:sectPr>
          <w:pgSz w:w="11900" w:h="16838" w:orient="portrait"/>
          <w:cols w:equalWidth="0" w:num="1">
            <w:col w:w="11440"/>
          </w:cols>
          <w:pgMar w:left="240" w:top="533" w:right="2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SAFE HARBOR PROVISION</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Statements in this press release regarding management’s future expectations, predictions, beliefs, goals, intentions, plans, prospects or strategies, including statements regarding Shutterstock’s future financial and operating performance on both a GAAP and non-GAAP basis and statements regarding Shutterstock’s ability to drive long-term value, may constitute forward looking statements within the meaning of the Private Securities Litigation Reform Act of 1995 and other federal securities laws. Such forward-looking statements involve known and unknown risks, uncertainties and other factors including risks related to any unforeseen changes to or the effects on liabilities, financial condition, future capital expenditures, revenue, expenses, net income or loss, synergies and future prospects; our inability to continue to attract and retain customers and contributors to our online marketplace for commercial digital imagery and music; a decrease in repeat customer purchases or in content contributed to our online marketplace; our inability to successfully operate in a new and rapidly changing market and to evaluate our future prospects; competitive factors; assertions by third parties of infringement or other violations of intellectual property rights by Shutterstock; our inability to increase market awareness of Shutterstock and our services; our inability to effectively manage our growth: failure to respond to technological changes or upgrade Shutterstock's website and technology systems; Shutterstock’s inability to increase the percentage of its revenues that come from larger companies; our inability to continue expansion into international markets and the additional risks associated with operating internationally, including fluctuations in currency exchange rates; general economic conditions worldwide; our ability to successfully integrate acquisitions and the associated technology and achieve operational efficiencies; and other factors and risks discussed under the heading “Risk Factors” in our most recent Annual Report on Form 10-K, as well as in other documents that may be filed by Shutterstock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Shutterstock is providing the information in this press release as of this date and assumes no obligation to update the information included in this press release or revise any forward-looking statements, whether as a result of new information, future developments or otherwise.</w:t>
      </w:r>
    </w:p>
    <w:p>
      <w:pPr>
        <w:sectPr>
          <w:pgSz w:w="11900" w:h="16838" w:orient="portrait"/>
          <w:cols w:equalWidth="0" w:num="1">
            <w:col w:w="11420"/>
          </w:cols>
          <w:pgMar w:left="240" w:top="533" w:right="239" w:bottom="1440" w:gutter="0" w:footer="0" w:header="0"/>
        </w:sect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Media Contact:</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 Contact:</w:t>
      </w:r>
    </w:p>
    <w:p>
      <w:pPr>
        <w:spacing w:after="0" w:line="80" w:lineRule="exact"/>
        <w:rPr>
          <w:sz w:val="20"/>
          <w:szCs w:val="20"/>
          <w:color w:val="auto"/>
        </w:rPr>
      </w:pPr>
    </w:p>
    <w:p>
      <w:pPr>
        <w:sectPr>
          <w:pgSz w:w="11900" w:h="16838" w:orient="portrait"/>
          <w:cols w:equalWidth="0" w:num="2">
            <w:col w:w="2960" w:space="720"/>
            <w:col w:w="7740"/>
          </w:cols>
          <w:pgMar w:left="240" w:top="533" w:right="23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Niamh Hughes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Craig Felenstein</w:t>
      </w:r>
    </w:p>
    <w:p>
      <w:pPr>
        <w:spacing w:after="0" w:line="84" w:lineRule="exact"/>
        <w:rPr>
          <w:sz w:val="20"/>
          <w:szCs w:val="20"/>
          <w:color w:val="auto"/>
        </w:rPr>
      </w:pPr>
    </w:p>
    <w:p>
      <w:pPr>
        <w:sectPr>
          <w:pgSz w:w="11900" w:h="16838" w:orient="portrait"/>
          <w:cols w:equalWidth="0" w:num="2">
            <w:col w:w="2960" w:space="720"/>
            <w:col w:w="7740"/>
          </w:cols>
          <w:pgMar w:left="240" w:top="533" w:right="2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917 563 4991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212 598 9440</w:t>
      </w:r>
    </w:p>
    <w:p>
      <w:pPr>
        <w:spacing w:after="0" w:line="80" w:lineRule="exact"/>
        <w:rPr>
          <w:sz w:val="20"/>
          <w:szCs w:val="20"/>
          <w:color w:val="auto"/>
        </w:rPr>
      </w:pPr>
    </w:p>
    <w:p>
      <w:pPr>
        <w:sectPr>
          <w:pgSz w:w="11900" w:h="16838" w:orient="portrait"/>
          <w:cols w:equalWidth="0" w:num="2">
            <w:col w:w="2960" w:space="720"/>
            <w:col w:w="7740"/>
          </w:cols>
          <w:pgMar w:left="240" w:top="533" w:right="2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press@shutterstock.com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ir@shutterstock.com</w:t>
      </w:r>
    </w:p>
    <w:p>
      <w:pPr>
        <w:sectPr>
          <w:pgSz w:w="11900" w:h="16838" w:orient="portrait"/>
          <w:cols w:equalWidth="0" w:num="2">
            <w:col w:w="2960" w:space="720"/>
            <w:col w:w="7740"/>
          </w:cols>
          <w:pgMar w:left="240" w:top="533" w:right="239" w:bottom="1440" w:gutter="0" w:footer="0" w:header="0"/>
          <w:type w:val="continuous"/>
        </w:sectPr>
      </w:pPr>
    </w:p>
    <w:bookmarkStart w:id="11" w:name="page12"/>
    <w:bookmarkEnd w:id="11"/>
    <w:p>
      <w:pPr>
        <w:jc w:val="center"/>
        <w:ind w:right="20"/>
        <w:spacing w:after="0"/>
        <w:rPr>
          <w:sz w:val="20"/>
          <w:szCs w:val="20"/>
          <w:color w:val="auto"/>
        </w:rPr>
      </w:pPr>
      <w:r>
        <w:rPr>
          <w:rFonts w:ascii="Arial" w:cs="Arial" w:eastAsia="Arial" w:hAnsi="Arial"/>
          <w:sz w:val="16"/>
          <w:szCs w:val="16"/>
          <w:b w:val="1"/>
          <w:bCs w:val="1"/>
          <w:color w:val="auto"/>
        </w:rPr>
        <w:t>Shutterstock, Inc.</w:t>
      </w:r>
    </w:p>
    <w:p>
      <w:pPr>
        <w:spacing w:after="0" w:line="25"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(In thousands, except for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spacing w:after="0"/>
              <w:rPr>
                <w:sz w:val="14"/>
                <w:szCs w:val="1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3"/>
                <w:szCs w:val="13"/>
                <w:b w:val="1"/>
                <w:bCs w:val="1"/>
                <w:color w:val="auto"/>
              </w:rPr>
              <w:t>Year Ended December 31,</w:t>
            </w:r>
          </w:p>
        </w:tc>
      </w:tr>
      <w:tr>
        <w:trPr>
          <w:trHeight w:val="233"/>
        </w:trPr>
        <w:tc>
          <w:tcPr>
            <w:tcW w:w="51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2014</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2014</w:t>
            </w:r>
          </w:p>
        </w:tc>
      </w:tr>
      <w:tr>
        <w:trPr>
          <w:trHeight w:val="263"/>
        </w:trPr>
        <w:tc>
          <w:tcPr>
            <w:tcW w:w="5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0"/>
              </w:rPr>
              <w:t>116,002</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3"/>
              </w:rPr>
              <w:t>91,226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425,149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327,971</w:t>
            </w:r>
          </w:p>
        </w:tc>
      </w:tr>
      <w:tr>
        <w:trPr>
          <w:trHeight w:val="145"/>
        </w:trPr>
        <w:tc>
          <w:tcPr>
            <w:tcW w:w="5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11"/>
        </w:trPr>
        <w:tc>
          <w:tcPr>
            <w:tcW w:w="5160" w:type="dxa"/>
            <w:vAlign w:val="bottom"/>
          </w:tcPr>
          <w:p>
            <w:pPr>
              <w:ind w:left="340"/>
              <w:spacing w:after="0"/>
              <w:rPr>
                <w:sz w:val="20"/>
                <w:szCs w:val="20"/>
                <w:color w:val="auto"/>
              </w:rPr>
            </w:pPr>
            <w:r>
              <w:rPr>
                <w:rFonts w:ascii="Arial" w:cs="Arial" w:eastAsia="Arial" w:hAnsi="Arial"/>
                <w:sz w:val="14"/>
                <w:szCs w:val="14"/>
                <w:color w:val="auto"/>
              </w:rPr>
              <w:t>Cost of revenue</w:t>
            </w: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47,944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w w:val="93"/>
              </w:rPr>
              <w:t>35,603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174,526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130,022</w:t>
            </w:r>
          </w:p>
        </w:tc>
      </w:tr>
      <w:tr>
        <w:trPr>
          <w:trHeight w:val="30"/>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1"/>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Sales and marketing</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26,709</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3"/>
              </w:rPr>
              <w:t>21,235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106,636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82,125</w:t>
            </w:r>
          </w:p>
        </w:tc>
      </w:tr>
      <w:tr>
        <w:trPr>
          <w:trHeight w:val="211"/>
        </w:trPr>
        <w:tc>
          <w:tcPr>
            <w:tcW w:w="5160" w:type="dxa"/>
            <w:vAlign w:val="bottom"/>
          </w:tcPr>
          <w:p>
            <w:pPr>
              <w:ind w:left="340"/>
              <w:spacing w:after="0"/>
              <w:rPr>
                <w:sz w:val="20"/>
                <w:szCs w:val="20"/>
                <w:color w:val="auto"/>
              </w:rPr>
            </w:pPr>
            <w:r>
              <w:rPr>
                <w:rFonts w:ascii="Arial" w:cs="Arial" w:eastAsia="Arial" w:hAnsi="Arial"/>
                <w:sz w:val="14"/>
                <w:szCs w:val="14"/>
                <w:color w:val="auto"/>
              </w:rPr>
              <w:t>Product development</w:t>
            </w: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9,622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w w:val="93"/>
              </w:rPr>
              <w:t>11,379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41,322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38,301</w:t>
            </w:r>
          </w:p>
        </w:tc>
      </w:tr>
      <w:tr>
        <w:trPr>
          <w:trHeight w:val="30"/>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General and administrative</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16,698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3"/>
              </w:rPr>
              <w:t>10,671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61,647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38,487</w:t>
            </w:r>
          </w:p>
        </w:tc>
      </w:tr>
      <w:tr>
        <w:trPr>
          <w:trHeight w:val="191"/>
        </w:trPr>
        <w:tc>
          <w:tcPr>
            <w:tcW w:w="51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9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0"/>
              </w:rPr>
              <w:t>100,973</w:t>
            </w:r>
          </w:p>
        </w:tc>
        <w:tc>
          <w:tcPr>
            <w:tcW w:w="1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3"/>
              </w:rPr>
              <w:t>78,888</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384,131</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288,935</w:t>
            </w:r>
          </w:p>
        </w:tc>
      </w:tr>
      <w:tr>
        <w:trPr>
          <w:trHeight w:val="30"/>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15,029</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3"/>
              </w:rPr>
              <w:t>12,338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41,018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39,036</w:t>
            </w:r>
          </w:p>
        </w:tc>
      </w:tr>
      <w:tr>
        <w:trPr>
          <w:trHeight w:val="211"/>
        </w:trPr>
        <w:tc>
          <w:tcPr>
            <w:tcW w:w="5160" w:type="dxa"/>
            <w:vAlign w:val="bottom"/>
          </w:tcPr>
          <w:p>
            <w:pPr>
              <w:ind w:left="20"/>
              <w:spacing w:after="0"/>
              <w:rPr>
                <w:sz w:val="20"/>
                <w:szCs w:val="20"/>
                <w:color w:val="auto"/>
              </w:rPr>
            </w:pPr>
            <w:r>
              <w:rPr>
                <w:rFonts w:ascii="Arial" w:cs="Arial" w:eastAsia="Arial" w:hAnsi="Arial"/>
                <w:sz w:val="14"/>
                <w:szCs w:val="14"/>
                <w:color w:val="auto"/>
              </w:rPr>
              <w:t>Other expense, net</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(3,360)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(859)</w:t>
            </w:r>
          </w:p>
        </w:tc>
      </w:tr>
      <w:tr>
        <w:trPr>
          <w:trHeight w:val="30"/>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11,669</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3"/>
              </w:rPr>
              <w:t>11,806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34,272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38,177</w:t>
            </w:r>
          </w:p>
        </w:tc>
      </w:tr>
      <w:tr>
        <w:trPr>
          <w:trHeight w:val="211"/>
        </w:trPr>
        <w:tc>
          <w:tcPr>
            <w:tcW w:w="516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4,800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4,773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14,720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16,088</w:t>
            </w:r>
          </w:p>
        </w:tc>
      </w:tr>
      <w:tr>
        <w:trPr>
          <w:trHeight w:val="30"/>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6,869</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7,033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19,552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22,089</w:t>
            </w:r>
          </w:p>
        </w:tc>
      </w:tr>
      <w:tr>
        <w:trPr>
          <w:trHeight w:val="199"/>
        </w:trPr>
        <w:tc>
          <w:tcPr>
            <w:tcW w:w="5160" w:type="dxa"/>
            <w:vAlign w:val="bottom"/>
          </w:tcPr>
          <w:p>
            <w:pPr>
              <w:ind w:left="20"/>
              <w:spacing w:after="0"/>
              <w:rPr>
                <w:sz w:val="20"/>
                <w:szCs w:val="20"/>
                <w:color w:val="auto"/>
              </w:rPr>
            </w:pPr>
            <w:r>
              <w:rPr>
                <w:rFonts w:ascii="Arial" w:cs="Arial" w:eastAsia="Arial" w:hAnsi="Arial"/>
                <w:sz w:val="14"/>
                <w:szCs w:val="14"/>
                <w:color w:val="auto"/>
              </w:rPr>
              <w:t>Less:</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2"/>
        </w:trPr>
        <w:tc>
          <w:tcPr>
            <w:tcW w:w="5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1"/>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Undistributed earnings to participating stockholder</w:t>
            </w:r>
          </w:p>
        </w:tc>
        <w:tc>
          <w:tcPr>
            <w:tcW w:w="9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r>
      <w:tr>
        <w:trPr>
          <w:trHeight w:val="191"/>
        </w:trPr>
        <w:tc>
          <w:tcPr>
            <w:tcW w:w="5160" w:type="dxa"/>
            <w:vAlign w:val="bottom"/>
          </w:tcPr>
          <w:p>
            <w:pPr>
              <w:ind w:left="20"/>
              <w:spacing w:after="0"/>
              <w:rPr>
                <w:sz w:val="20"/>
                <w:szCs w:val="20"/>
                <w:color w:val="auto"/>
              </w:rPr>
            </w:pPr>
            <w:r>
              <w:rPr>
                <w:rFonts w:ascii="Arial" w:cs="Arial" w:eastAsia="Arial" w:hAnsi="Arial"/>
                <w:sz w:val="14"/>
                <w:szCs w:val="14"/>
                <w:color w:val="auto"/>
              </w:rPr>
              <w:t>Net income available to common stockholders</w:t>
            </w:r>
          </w:p>
        </w:tc>
        <w:tc>
          <w:tcPr>
            <w:tcW w:w="900" w:type="dxa"/>
            <w:vAlign w:val="bottom"/>
            <w:tcBorders>
              <w:top w:val="single" w:sz="8" w:color="auto"/>
            </w:tcBorders>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6,869</w:t>
            </w:r>
          </w:p>
        </w:tc>
        <w:tc>
          <w:tcPr>
            <w:tcW w:w="120" w:type="dxa"/>
            <w:vAlign w:val="bottom"/>
          </w:tcPr>
          <w:p>
            <w:pPr>
              <w:spacing w:after="0"/>
              <w:rPr>
                <w:sz w:val="16"/>
                <w:szCs w:val="16"/>
                <w:color w:val="auto"/>
              </w:rPr>
            </w:pPr>
          </w:p>
        </w:tc>
        <w:tc>
          <w:tcPr>
            <w:tcW w:w="960" w:type="dxa"/>
            <w:vAlign w:val="bottom"/>
            <w:tcBorders>
              <w:top w:val="single" w:sz="8" w:color="auto"/>
            </w:tcBorders>
          </w:tcPr>
          <w:p>
            <w:pPr>
              <w:jc w:val="right"/>
              <w:ind w:right="789"/>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7,021</w:t>
            </w:r>
          </w:p>
        </w:tc>
        <w:tc>
          <w:tcPr>
            <w:tcW w:w="100" w:type="dxa"/>
            <w:vAlign w:val="bottom"/>
          </w:tcPr>
          <w:p>
            <w:pPr>
              <w:spacing w:after="0"/>
              <w:rPr>
                <w:sz w:val="16"/>
                <w:szCs w:val="16"/>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19,550</w:t>
            </w:r>
          </w:p>
        </w:tc>
        <w:tc>
          <w:tcPr>
            <w:tcW w:w="100" w:type="dxa"/>
            <w:vAlign w:val="bottom"/>
          </w:tcPr>
          <w:p>
            <w:pPr>
              <w:spacing w:after="0"/>
              <w:rPr>
                <w:sz w:val="16"/>
                <w:szCs w:val="16"/>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22,047</w:t>
            </w:r>
          </w:p>
        </w:tc>
      </w:tr>
      <w:tr>
        <w:trPr>
          <w:trHeight w:val="30"/>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3"/>
        </w:trPr>
        <w:tc>
          <w:tcPr>
            <w:tcW w:w="5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per common share available to common stockholders:</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199"/>
        </w:trPr>
        <w:tc>
          <w:tcPr>
            <w:tcW w:w="5160" w:type="dxa"/>
            <w:vAlign w:val="bottom"/>
          </w:tcPr>
          <w:p>
            <w:pPr>
              <w:ind w:left="340"/>
              <w:spacing w:after="0"/>
              <w:rPr>
                <w:sz w:val="20"/>
                <w:szCs w:val="20"/>
                <w:color w:val="auto"/>
              </w:rPr>
            </w:pPr>
            <w:r>
              <w:rPr>
                <w:rFonts w:ascii="Arial" w:cs="Arial" w:eastAsia="Arial" w:hAnsi="Arial"/>
                <w:sz w:val="14"/>
                <w:szCs w:val="14"/>
                <w:color w:val="auto"/>
              </w:rPr>
              <w:t>Basic</w:t>
            </w:r>
          </w:p>
        </w:tc>
        <w:tc>
          <w:tcPr>
            <w:tcW w:w="900" w:type="dxa"/>
            <w:vAlign w:val="bottom"/>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17"/>
                <w:szCs w:val="17"/>
                <w:color w:val="auto"/>
              </w:rPr>
            </w:pPr>
          </w:p>
        </w:tc>
        <w:tc>
          <w:tcPr>
            <w:tcW w:w="960" w:type="dxa"/>
            <w:vAlign w:val="bottom"/>
          </w:tcPr>
          <w:p>
            <w:pPr>
              <w:jc w:val="right"/>
              <w:ind w:right="789"/>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0.54</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0.63</w:t>
            </w:r>
          </w:p>
        </w:tc>
      </w:tr>
      <w:tr>
        <w:trPr>
          <w:trHeight w:val="70"/>
        </w:trPr>
        <w:tc>
          <w:tcPr>
            <w:tcW w:w="516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10"/>
        </w:trPr>
        <w:tc>
          <w:tcPr>
            <w:tcW w:w="5160" w:type="dxa"/>
            <w:vAlign w:val="bottom"/>
            <w:tcBorders>
              <w:bottom w:val="single" w:sz="8" w:color="CCEEFF"/>
            </w:tcBorders>
            <w:shd w:val="clear" w:color="auto" w:fill="CCEEFF"/>
          </w:tcPr>
          <w:p>
            <w:pPr>
              <w:ind w:left="340"/>
              <w:spacing w:after="0" w:line="151" w:lineRule="exact"/>
              <w:rPr>
                <w:sz w:val="20"/>
                <w:szCs w:val="20"/>
                <w:color w:val="auto"/>
              </w:rPr>
            </w:pPr>
            <w:r>
              <w:rPr>
                <w:rFonts w:ascii="Arial" w:cs="Arial" w:eastAsia="Arial" w:hAnsi="Arial"/>
                <w:sz w:val="14"/>
                <w:szCs w:val="14"/>
                <w:color w:val="auto"/>
              </w:rPr>
              <w:t>Diluted</w:t>
            </w:r>
          </w:p>
        </w:tc>
        <w:tc>
          <w:tcPr>
            <w:tcW w:w="9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0.19</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0.20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0.54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0.61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85"/>
        </w:trPr>
        <w:tc>
          <w:tcPr>
            <w:tcW w:w="5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2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199"/>
        </w:trPr>
        <w:tc>
          <w:tcPr>
            <w:tcW w:w="5160" w:type="dxa"/>
            <w:vAlign w:val="bottom"/>
          </w:tcPr>
          <w:p>
            <w:pPr>
              <w:ind w:left="340"/>
              <w:spacing w:after="0"/>
              <w:rPr>
                <w:sz w:val="20"/>
                <w:szCs w:val="20"/>
                <w:color w:val="auto"/>
              </w:rPr>
            </w:pPr>
            <w:r>
              <w:rPr>
                <w:rFonts w:ascii="Arial" w:cs="Arial" w:eastAsia="Arial" w:hAnsi="Arial"/>
                <w:sz w:val="14"/>
                <w:szCs w:val="14"/>
                <w:color w:val="auto"/>
              </w:rPr>
              <w:t>Basic</w:t>
            </w:r>
          </w:p>
        </w:tc>
        <w:tc>
          <w:tcPr>
            <w:tcW w:w="90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35,975</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w w:val="93"/>
              </w:rPr>
              <w:t>35,452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35,880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35,235</w:t>
            </w:r>
          </w:p>
        </w:tc>
      </w:tr>
      <w:tr>
        <w:trPr>
          <w:trHeight w:val="70"/>
        </w:trPr>
        <w:tc>
          <w:tcPr>
            <w:tcW w:w="516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10"/>
        </w:trPr>
        <w:tc>
          <w:tcPr>
            <w:tcW w:w="5160" w:type="dxa"/>
            <w:vAlign w:val="bottom"/>
            <w:tcBorders>
              <w:bottom w:val="single" w:sz="8" w:color="CCEEFF"/>
            </w:tcBorders>
            <w:shd w:val="clear" w:color="auto" w:fill="CCEEFF"/>
          </w:tcPr>
          <w:p>
            <w:pPr>
              <w:ind w:left="340"/>
              <w:spacing w:after="0" w:line="151" w:lineRule="exact"/>
              <w:rPr>
                <w:sz w:val="20"/>
                <w:szCs w:val="20"/>
                <w:color w:val="auto"/>
              </w:rPr>
            </w:pPr>
            <w:r>
              <w:rPr>
                <w:rFonts w:ascii="Arial" w:cs="Arial" w:eastAsia="Arial" w:hAnsi="Arial"/>
                <w:sz w:val="14"/>
                <w:szCs w:val="14"/>
                <w:color w:val="auto"/>
              </w:rPr>
              <w:t>Diluted</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36,468</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3"/>
              </w:rPr>
              <w:t>36,001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36,319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35,913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533" w:right="2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6"/>
          <w:szCs w:val="16"/>
          <w:b w:val="1"/>
          <w:bCs w:val="1"/>
          <w:color w:val="auto"/>
        </w:rPr>
        <w:t>Shutterstock,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except par value amount)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 2015</w:t>
            </w:r>
          </w:p>
        </w:tc>
        <w:tc>
          <w:tcPr>
            <w:tcW w:w="20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Arial" w:cs="Arial" w:eastAsia="Arial" w:hAnsi="Arial"/>
                <w:sz w:val="13"/>
                <w:szCs w:val="13"/>
                <w:b w:val="1"/>
                <w:bCs w:val="1"/>
                <w:color w:val="auto"/>
                <w:w w:val="97"/>
              </w:rPr>
              <w:t>December 31, 2014</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7900" w:type="dxa"/>
            <w:vAlign w:val="bottom"/>
          </w:tcPr>
          <w:p>
            <w:pPr>
              <w:ind w:left="14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241,304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233,453</w:t>
            </w:r>
          </w:p>
        </w:tc>
        <w:tc>
          <w:tcPr>
            <w:tcW w:w="0" w:type="dxa"/>
            <w:vAlign w:val="bottom"/>
          </w:tcPr>
          <w:p>
            <w:pPr>
              <w:spacing w:after="0"/>
              <w:rPr>
                <w:sz w:val="1"/>
                <w:szCs w:val="1"/>
                <w:color w:val="auto"/>
              </w:rPr>
            </w:pP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Short-term investments</w:t>
            </w:r>
          </w:p>
        </w:tc>
        <w:tc>
          <w:tcPr>
            <w:tcW w:w="22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47,078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54,844</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Credit card receivables</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2,811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2,451</w:t>
            </w:r>
          </w:p>
        </w:tc>
        <w:tc>
          <w:tcPr>
            <w:tcW w:w="0" w:type="dxa"/>
            <w:vAlign w:val="bottom"/>
          </w:tcPr>
          <w:p>
            <w:pPr>
              <w:spacing w:after="0"/>
              <w:rPr>
                <w:sz w:val="1"/>
                <w:szCs w:val="1"/>
                <w:color w:val="auto"/>
              </w:rPr>
            </w:pP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25,653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15,251</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11,713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12,141</w:t>
            </w:r>
          </w:p>
        </w:tc>
        <w:tc>
          <w:tcPr>
            <w:tcW w:w="0" w:type="dxa"/>
            <w:vAlign w:val="bottom"/>
          </w:tcPr>
          <w:p>
            <w:pPr>
              <w:spacing w:after="0"/>
              <w:rPr>
                <w:sz w:val="1"/>
                <w:szCs w:val="1"/>
                <w:color w:val="auto"/>
              </w:rPr>
            </w:pP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Deferred tax assets, net</w:t>
            </w:r>
          </w:p>
        </w:tc>
        <w:tc>
          <w:tcPr>
            <w:tcW w:w="22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7,116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5,390</w:t>
            </w:r>
          </w:p>
        </w:tc>
        <w:tc>
          <w:tcPr>
            <w:tcW w:w="0" w:type="dxa"/>
            <w:vAlign w:val="bottom"/>
          </w:tcPr>
          <w:p>
            <w:pPr>
              <w:spacing w:after="0"/>
              <w:rPr>
                <w:sz w:val="1"/>
                <w:szCs w:val="1"/>
                <w:color w:val="auto"/>
              </w:rPr>
            </w:pPr>
          </w:p>
        </w:tc>
      </w:tr>
      <w:tr>
        <w:trPr>
          <w:trHeight w:val="30"/>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7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335,675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323,530</w:t>
            </w:r>
          </w:p>
        </w:tc>
        <w:tc>
          <w:tcPr>
            <w:tcW w:w="0" w:type="dxa"/>
            <w:vAlign w:val="bottom"/>
          </w:tcPr>
          <w:p>
            <w:pPr>
              <w:spacing w:after="0"/>
              <w:rPr>
                <w:sz w:val="1"/>
                <w:szCs w:val="1"/>
                <w:color w:val="auto"/>
              </w:rPr>
            </w:pPr>
          </w:p>
        </w:tc>
      </w:tr>
      <w:tr>
        <w:trPr>
          <w:trHeight w:val="211"/>
        </w:trPr>
        <w:tc>
          <w:tcPr>
            <w:tcW w:w="7900" w:type="dxa"/>
            <w:vAlign w:val="bottom"/>
          </w:tcPr>
          <w:p>
            <w:pPr>
              <w:ind w:left="14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32,094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26,744</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Intangibles assets, net</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29,781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4,934</w:t>
            </w:r>
          </w:p>
        </w:tc>
        <w:tc>
          <w:tcPr>
            <w:tcW w:w="0" w:type="dxa"/>
            <w:vAlign w:val="bottom"/>
          </w:tcPr>
          <w:p>
            <w:pPr>
              <w:spacing w:after="0"/>
              <w:rPr>
                <w:sz w:val="1"/>
                <w:szCs w:val="1"/>
                <w:color w:val="auto"/>
              </w:rPr>
            </w:pPr>
          </w:p>
        </w:tc>
      </w:tr>
      <w:tr>
        <w:trPr>
          <w:trHeight w:val="211"/>
        </w:trPr>
        <w:tc>
          <w:tcPr>
            <w:tcW w:w="79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50,934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10,186</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tax assets, net</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18,691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16,484</w:t>
            </w:r>
          </w:p>
        </w:tc>
        <w:tc>
          <w:tcPr>
            <w:tcW w:w="0" w:type="dxa"/>
            <w:vAlign w:val="bottom"/>
          </w:tcPr>
          <w:p>
            <w:pPr>
              <w:spacing w:after="0"/>
              <w:rPr>
                <w:sz w:val="1"/>
                <w:szCs w:val="1"/>
                <w:color w:val="auto"/>
              </w:rPr>
            </w:pPr>
          </w:p>
        </w:tc>
      </w:tr>
      <w:tr>
        <w:trPr>
          <w:trHeight w:val="211"/>
        </w:trPr>
        <w:tc>
          <w:tcPr>
            <w:tcW w:w="7900" w:type="dxa"/>
            <w:vAlign w:val="bottom"/>
          </w:tcPr>
          <w:p>
            <w:pPr>
              <w:ind w:left="14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1,946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1,899</w:t>
            </w:r>
          </w:p>
        </w:tc>
        <w:tc>
          <w:tcPr>
            <w:tcW w:w="0" w:type="dxa"/>
            <w:vAlign w:val="bottom"/>
          </w:tcPr>
          <w:p>
            <w:pPr>
              <w:spacing w:after="0"/>
              <w:rPr>
                <w:sz w:val="1"/>
                <w:szCs w:val="1"/>
                <w:color w:val="auto"/>
              </w:rPr>
            </w:pPr>
          </w:p>
        </w:tc>
      </w:tr>
      <w:tr>
        <w:trPr>
          <w:trHeight w:val="30"/>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469,121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383,777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9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6,816</w:t>
            </w:r>
          </w:p>
        </w:tc>
        <w:tc>
          <w:tcPr>
            <w:tcW w:w="1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5,334</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Accrued expenses</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30,696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24,982</w:t>
            </w:r>
          </w:p>
        </w:tc>
        <w:tc>
          <w:tcPr>
            <w:tcW w:w="0" w:type="dxa"/>
            <w:vAlign w:val="bottom"/>
          </w:tcPr>
          <w:p>
            <w:pPr>
              <w:spacing w:after="0"/>
              <w:rPr>
                <w:sz w:val="1"/>
                <w:szCs w:val="1"/>
                <w:color w:val="auto"/>
              </w:rPr>
            </w:pP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Contributor royalties payable</w:t>
            </w:r>
          </w:p>
        </w:tc>
        <w:tc>
          <w:tcPr>
            <w:tcW w:w="22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17,822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11,933</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Income taxes payable</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953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98,239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75,789</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6,258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2,198</w:t>
            </w:r>
          </w:p>
        </w:tc>
        <w:tc>
          <w:tcPr>
            <w:tcW w:w="0" w:type="dxa"/>
            <w:vAlign w:val="bottom"/>
          </w:tcPr>
          <w:p>
            <w:pPr>
              <w:spacing w:after="0"/>
              <w:rPr>
                <w:sz w:val="1"/>
                <w:szCs w:val="1"/>
                <w:color w:val="auto"/>
              </w:rPr>
            </w:pPr>
          </w:p>
        </w:tc>
      </w:tr>
      <w:tr>
        <w:trPr>
          <w:trHeight w:val="191"/>
        </w:trPr>
        <w:tc>
          <w:tcPr>
            <w:tcW w:w="7900" w:type="dxa"/>
            <w:vAlign w:val="bottom"/>
          </w:tcPr>
          <w:p>
            <w:pPr>
              <w:ind w:left="52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160,784</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120,327</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tax liability, net</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3,778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7900" w:type="dxa"/>
            <w:vAlign w:val="bottom"/>
          </w:tcPr>
          <w:p>
            <w:pPr>
              <w:ind w:left="140"/>
              <w:spacing w:after="0"/>
              <w:rPr>
                <w:sz w:val="20"/>
                <w:szCs w:val="20"/>
                <w:color w:val="auto"/>
              </w:rPr>
            </w:pPr>
            <w:r>
              <w:rPr>
                <w:rFonts w:ascii="Arial" w:cs="Arial" w:eastAsia="Arial" w:hAnsi="Arial"/>
                <w:sz w:val="14"/>
                <w:szCs w:val="14"/>
                <w:color w:val="auto"/>
              </w:rPr>
              <w:t>Other non-current liabilities</w:t>
            </w:r>
          </w:p>
        </w:tc>
        <w:tc>
          <w:tcPr>
            <w:tcW w:w="22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15,994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12,017</w:t>
            </w:r>
          </w:p>
        </w:tc>
        <w:tc>
          <w:tcPr>
            <w:tcW w:w="0" w:type="dxa"/>
            <w:vAlign w:val="bottom"/>
          </w:tcPr>
          <w:p>
            <w:pPr>
              <w:spacing w:after="0"/>
              <w:rPr>
                <w:sz w:val="1"/>
                <w:szCs w:val="1"/>
                <w:color w:val="auto"/>
              </w:rPr>
            </w:pPr>
          </w:p>
        </w:tc>
      </w:tr>
      <w:tr>
        <w:trPr>
          <w:trHeight w:val="30"/>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180,556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132,344</w:t>
            </w:r>
          </w:p>
        </w:tc>
        <w:tc>
          <w:tcPr>
            <w:tcW w:w="0" w:type="dxa"/>
            <w:vAlign w:val="bottom"/>
          </w:tcPr>
          <w:p>
            <w:pPr>
              <w:spacing w:after="0"/>
              <w:rPr>
                <w:sz w:val="1"/>
                <w:szCs w:val="1"/>
                <w:color w:val="auto"/>
              </w:rPr>
            </w:pPr>
          </w:p>
        </w:tc>
      </w:tr>
      <w:tr>
        <w:trPr>
          <w:trHeight w:val="179"/>
        </w:trPr>
        <w:tc>
          <w:tcPr>
            <w:tcW w:w="7900" w:type="dxa"/>
            <w:vAlign w:val="bottom"/>
          </w:tcPr>
          <w:p>
            <w:pPr>
              <w:ind w:left="140"/>
              <w:spacing w:after="0"/>
              <w:rPr>
                <w:sz w:val="20"/>
                <w:szCs w:val="20"/>
                <w:color w:val="auto"/>
              </w:rPr>
            </w:pPr>
            <w:r>
              <w:rPr>
                <w:rFonts w:ascii="Arial" w:cs="Arial" w:eastAsia="Arial" w:hAnsi="Arial"/>
                <w:sz w:val="14"/>
                <w:szCs w:val="14"/>
                <w:color w:val="auto"/>
              </w:rPr>
              <w:t>Commitment and contingencies</w:t>
            </w:r>
          </w:p>
        </w:tc>
        <w:tc>
          <w:tcPr>
            <w:tcW w:w="2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900" w:type="dxa"/>
            <w:vAlign w:val="bottom"/>
          </w:tcPr>
          <w:p>
            <w:pPr>
              <w:ind w:left="340"/>
              <w:spacing w:after="0"/>
              <w:rPr>
                <w:sz w:val="20"/>
                <w:szCs w:val="20"/>
                <w:color w:val="auto"/>
              </w:rPr>
            </w:pPr>
            <w:r>
              <w:rPr>
                <w:rFonts w:ascii="Arial" w:cs="Arial" w:eastAsia="Arial" w:hAnsi="Arial"/>
                <w:sz w:val="14"/>
                <w:szCs w:val="14"/>
                <w:color w:val="auto"/>
                <w:w w:val="96"/>
              </w:rPr>
              <w:t>Common stock, $0.01 par value; 200,000 shares authorized; 36,146 and 35,603 shares issued and 35,686 and 35,603 shares</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900" w:type="dxa"/>
            <w:vAlign w:val="bottom"/>
          </w:tcPr>
          <w:p>
            <w:pPr>
              <w:ind w:left="340"/>
              <w:spacing w:after="0"/>
              <w:rPr>
                <w:sz w:val="20"/>
                <w:szCs w:val="20"/>
                <w:color w:val="auto"/>
              </w:rPr>
            </w:pPr>
            <w:r>
              <w:rPr>
                <w:rFonts w:ascii="Arial" w:cs="Arial" w:eastAsia="Arial" w:hAnsi="Arial"/>
                <w:sz w:val="14"/>
                <w:szCs w:val="14"/>
                <w:color w:val="auto"/>
              </w:rPr>
              <w:t>outstanding as of December 31, 2015 and December 31, 2014, respectively</w:t>
            </w:r>
          </w:p>
        </w:tc>
        <w:tc>
          <w:tcPr>
            <w:tcW w:w="220" w:type="dxa"/>
            <w:vAlign w:val="bottom"/>
          </w:tcPr>
          <w:p>
            <w:pPr>
              <w:spacing w:after="0"/>
              <w:rPr>
                <w:sz w:val="15"/>
                <w:szCs w:val="15"/>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Treasury stock, at cost; 460 shares as of December 31, 2015</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(15,635)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213,851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174,821</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(6,449)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96,437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76,885</w:t>
            </w:r>
          </w:p>
        </w:tc>
        <w:tc>
          <w:tcPr>
            <w:tcW w:w="0" w:type="dxa"/>
            <w:vAlign w:val="bottom"/>
          </w:tcPr>
          <w:p>
            <w:pPr>
              <w:spacing w:after="0"/>
              <w:rPr>
                <w:sz w:val="1"/>
                <w:szCs w:val="1"/>
                <w:color w:val="auto"/>
              </w:rPr>
            </w:pPr>
          </w:p>
        </w:tc>
      </w:tr>
      <w:tr>
        <w:trPr>
          <w:trHeight w:val="30"/>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288,565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251,433</w:t>
            </w:r>
          </w:p>
        </w:tc>
        <w:tc>
          <w:tcPr>
            <w:tcW w:w="0" w:type="dxa"/>
            <w:vAlign w:val="bottom"/>
          </w:tcPr>
          <w:p>
            <w:pPr>
              <w:spacing w:after="0"/>
              <w:rPr>
                <w:sz w:val="1"/>
                <w:szCs w:val="1"/>
                <w:color w:val="auto"/>
              </w:rPr>
            </w:pPr>
          </w:p>
        </w:tc>
      </w:tr>
      <w:tr>
        <w:trPr>
          <w:trHeight w:val="191"/>
        </w:trPr>
        <w:tc>
          <w:tcPr>
            <w:tcW w:w="7900" w:type="dxa"/>
            <w:vAlign w:val="bottom"/>
          </w:tcPr>
          <w:p>
            <w:pPr>
              <w:ind w:left="14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469,121</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383,777</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533" w:right="21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Shutterstock,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Non-GAAP Financial Information to 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93"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The following information is not a financial measure under generally accepted accounting principles (GAAP). In addition, it should not be construed as an alternative to any other measures of performance determined in accordance with GAAP, or as an indicator of our operating performance, liquidity or cash flows generated by operating, investing and financing activities as there may be significant factors or trends that it fails to address. We present this financial information because we believe that it is helpful to some investors as one measure of our operations. We caution investors that non-GAAP financial information, by its nature, departs from traditional accounting conventions; accordingly, its use can make it difficult to compare our results with our results from other reporting periods and with the results of other companies.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54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1"/>
                <w:szCs w:val="11"/>
                <w:b w:val="1"/>
                <w:bCs w:val="1"/>
                <w:color w:val="auto"/>
              </w:rPr>
              <w:t>Three Months Ended December 31,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233"/>
        </w:trPr>
        <w:tc>
          <w:tcPr>
            <w:tcW w:w="3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2015</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2014</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69"/>
              <w:spacing w:after="0"/>
              <w:rPr>
                <w:sz w:val="20"/>
                <w:szCs w:val="20"/>
                <w:color w:val="auto"/>
              </w:rPr>
            </w:pPr>
            <w:r>
              <w:rPr>
                <w:rFonts w:ascii="Arial" w:cs="Arial" w:eastAsia="Arial" w:hAnsi="Arial"/>
                <w:sz w:val="11"/>
                <w:szCs w:val="11"/>
                <w:b w:val="1"/>
                <w:bCs w:val="1"/>
                <w:color w:val="auto"/>
                <w:w w:val="89"/>
              </w:rPr>
              <w:t>2014</w:t>
            </w:r>
          </w:p>
        </w:tc>
      </w:tr>
      <w:tr>
        <w:trPr>
          <w:trHeight w:val="205"/>
        </w:trPr>
        <w:tc>
          <w:tcPr>
            <w:tcW w:w="3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1"/>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6,869</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7,033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19,552</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22,089</w:t>
            </w:r>
          </w:p>
        </w:tc>
      </w:tr>
      <w:tr>
        <w:trPr>
          <w:trHeight w:val="199"/>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Add:</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2"/>
        </w:trPr>
        <w:tc>
          <w:tcPr>
            <w:tcW w:w="340" w:type="dxa"/>
            <w:vAlign w:val="bottom"/>
          </w:tcPr>
          <w:p>
            <w:pPr>
              <w:spacing w:after="0"/>
              <w:rPr>
                <w:sz w:val="3"/>
                <w:szCs w:val="3"/>
                <w:color w:val="auto"/>
              </w:rPr>
            </w:pPr>
          </w:p>
        </w:tc>
        <w:tc>
          <w:tcPr>
            <w:tcW w:w="4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1"/>
        </w:trPr>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w:t>
            </w:r>
          </w:p>
        </w:tc>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4,478</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2,160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14,841</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7,917</w:t>
            </w:r>
          </w:p>
        </w:tc>
      </w:tr>
      <w:tr>
        <w:trPr>
          <w:trHeight w:val="233"/>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(b) Write-off of property and equipment</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0"/>
                <w:szCs w:val="20"/>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367</w:t>
            </w:r>
          </w:p>
        </w:tc>
      </w:tr>
      <w:tr>
        <w:trPr>
          <w:trHeight w:val="229"/>
        </w:trPr>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w:t>
            </w:r>
          </w:p>
        </w:tc>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Non-cash equity-based compensation</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6,089</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8,040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28,860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23,768</w:t>
            </w:r>
          </w:p>
        </w:tc>
      </w:tr>
      <w:tr>
        <w:trPr>
          <w:trHeight w:val="211"/>
        </w:trPr>
        <w:tc>
          <w:tcPr>
            <w:tcW w:w="340" w:type="dxa"/>
            <w:vAlign w:val="bottom"/>
          </w:tcPr>
          <w:p>
            <w:pPr>
              <w:ind w:left="140"/>
              <w:spacing w:after="0"/>
              <w:rPr>
                <w:sz w:val="20"/>
                <w:szCs w:val="20"/>
                <w:color w:val="auto"/>
              </w:rPr>
            </w:pPr>
            <w:r>
              <w:rPr>
                <w:rFonts w:ascii="Arial" w:cs="Arial" w:eastAsia="Arial" w:hAnsi="Arial"/>
                <w:sz w:val="14"/>
                <w:szCs w:val="14"/>
                <w:color w:val="auto"/>
              </w:rPr>
              <w:t>(d)</w:t>
            </w:r>
          </w:p>
        </w:tc>
        <w:tc>
          <w:tcPr>
            <w:tcW w:w="4820" w:type="dxa"/>
            <w:vAlign w:val="bottom"/>
          </w:tcPr>
          <w:p>
            <w:pPr>
              <w:ind w:left="40"/>
              <w:spacing w:after="0"/>
              <w:rPr>
                <w:sz w:val="20"/>
                <w:szCs w:val="20"/>
                <w:color w:val="auto"/>
              </w:rPr>
            </w:pPr>
            <w:r>
              <w:rPr>
                <w:rFonts w:ascii="Arial" w:cs="Arial" w:eastAsia="Arial" w:hAnsi="Arial"/>
                <w:sz w:val="14"/>
                <w:szCs w:val="14"/>
                <w:color w:val="auto"/>
              </w:rPr>
              <w:t>Other expense, net</w:t>
            </w:r>
          </w:p>
        </w:tc>
        <w:tc>
          <w:tcPr>
            <w:tcW w:w="9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3,360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6,746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859</w:t>
            </w:r>
          </w:p>
        </w:tc>
      </w:tr>
      <w:tr>
        <w:trPr>
          <w:trHeight w:val="30"/>
        </w:trPr>
        <w:tc>
          <w:tcPr>
            <w:tcW w:w="3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w:t>
            </w:r>
          </w:p>
        </w:tc>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4,800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4,773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14,720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16,088</w:t>
            </w:r>
          </w:p>
        </w:tc>
      </w:tr>
      <w:tr>
        <w:trPr>
          <w:trHeight w:val="261"/>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Adjusted EBITDA </w:t>
            </w:r>
            <w:r>
              <w:rPr>
                <w:rFonts w:ascii="Arial" w:cs="Arial" w:eastAsia="Arial" w:hAnsi="Arial"/>
                <w:sz w:val="19"/>
                <w:szCs w:val="19"/>
                <w:color w:val="auto"/>
                <w:vertAlign w:val="superscript"/>
              </w:rPr>
              <w:t>(1)</w:t>
            </w:r>
          </w:p>
        </w:tc>
        <w:tc>
          <w:tcPr>
            <w:tcW w:w="92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25,596</w:t>
            </w:r>
          </w:p>
        </w:tc>
        <w:tc>
          <w:tcPr>
            <w:tcW w:w="12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22,538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84,719</w:t>
            </w:r>
          </w:p>
        </w:tc>
        <w:tc>
          <w:tcPr>
            <w:tcW w:w="100" w:type="dxa"/>
            <w:vAlign w:val="bottom"/>
            <w:tcBorders>
              <w:bottom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71,088</w:t>
            </w:r>
          </w:p>
        </w:tc>
      </w:tr>
      <w:tr>
        <w:trPr>
          <w:trHeight w:val="210"/>
        </w:trPr>
        <w:tc>
          <w:tcPr>
            <w:tcW w:w="5160" w:type="dxa"/>
            <w:vAlign w:val="bottom"/>
            <w:tcBorders>
              <w:bottom w:val="single" w:sz="8" w:color="CCEEFF"/>
            </w:tcBorders>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Adjusted EBITDA per diluted common share</w:t>
            </w:r>
          </w:p>
        </w:tc>
        <w:tc>
          <w:tcPr>
            <w:tcW w:w="92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0.70</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0.63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1.98</w:t>
            </w:r>
          </w:p>
        </w:tc>
      </w:tr>
      <w:tr>
        <w:trPr>
          <w:trHeight w:val="20"/>
        </w:trPr>
        <w:tc>
          <w:tcPr>
            <w:tcW w:w="51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85"/>
        </w:trPr>
        <w:tc>
          <w:tcPr>
            <w:tcW w:w="340" w:type="dxa"/>
            <w:vAlign w:val="bottom"/>
          </w:tcPr>
          <w:p>
            <w:pPr>
              <w:spacing w:after="0"/>
              <w:rPr>
                <w:sz w:val="7"/>
                <w:szCs w:val="7"/>
                <w:color w:val="auto"/>
              </w:rPr>
            </w:pPr>
          </w:p>
        </w:tc>
        <w:tc>
          <w:tcPr>
            <w:tcW w:w="4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34"/>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diluted shares</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36,468</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36,001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36,319</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35,913</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30"/>
        </w:trPr>
        <w:tc>
          <w:tcPr>
            <w:tcW w:w="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4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1"/>
                <w:szCs w:val="11"/>
                <w:b w:val="1"/>
                <w:bCs w:val="1"/>
                <w:color w:val="auto"/>
              </w:rPr>
              <w:t>Three Months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33"/>
        </w:trPr>
        <w:tc>
          <w:tcPr>
            <w:tcW w:w="340" w:type="dxa"/>
            <w:vAlign w:val="bottom"/>
            <w:tcBorders>
              <w:bottom w:val="single" w:sz="8" w:color="CCEEFF"/>
            </w:tcBorders>
          </w:tcPr>
          <w:p>
            <w:pPr>
              <w:spacing w:after="0"/>
              <w:rPr>
                <w:sz w:val="20"/>
                <w:szCs w:val="20"/>
                <w:color w:val="auto"/>
              </w:rPr>
            </w:pPr>
          </w:p>
        </w:tc>
        <w:tc>
          <w:tcPr>
            <w:tcW w:w="48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2015</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2014</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69"/>
              <w:spacing w:after="0"/>
              <w:rPr>
                <w:sz w:val="20"/>
                <w:szCs w:val="20"/>
                <w:color w:val="auto"/>
              </w:rPr>
            </w:pPr>
            <w:r>
              <w:rPr>
                <w:rFonts w:ascii="Arial" w:cs="Arial" w:eastAsia="Arial" w:hAnsi="Arial"/>
                <w:sz w:val="11"/>
                <w:szCs w:val="11"/>
                <w:b w:val="1"/>
                <w:bCs w:val="1"/>
                <w:color w:val="auto"/>
                <w:w w:val="89"/>
              </w:rPr>
              <w:t>2014</w:t>
            </w:r>
          </w:p>
        </w:tc>
      </w:tr>
      <w:tr>
        <w:trPr>
          <w:trHeight w:val="209"/>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6,869</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7,033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19,552</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22,089</w:t>
            </w:r>
          </w:p>
        </w:tc>
      </w:tr>
      <w:tr>
        <w:trPr>
          <w:trHeight w:val="199"/>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Add (net of tax effect):</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2"/>
        </w:trPr>
        <w:tc>
          <w:tcPr>
            <w:tcW w:w="340" w:type="dxa"/>
            <w:vAlign w:val="bottom"/>
          </w:tcPr>
          <w:p>
            <w:pPr>
              <w:spacing w:after="0"/>
              <w:rPr>
                <w:sz w:val="3"/>
                <w:szCs w:val="3"/>
                <w:color w:val="auto"/>
              </w:rPr>
            </w:pPr>
          </w:p>
        </w:tc>
        <w:tc>
          <w:tcPr>
            <w:tcW w:w="4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1"/>
        </w:trPr>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w:t>
            </w:r>
          </w:p>
        </w:tc>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Non-cash equity-based compensation</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4,060</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5,487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18,712</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15,960</w:t>
            </w:r>
          </w:p>
        </w:tc>
      </w:tr>
      <w:tr>
        <w:trPr>
          <w:trHeight w:val="211"/>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(b) Acquisition related amortization expense</w:t>
            </w:r>
          </w:p>
        </w:tc>
        <w:tc>
          <w:tcPr>
            <w:tcW w:w="9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2,864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347</w:t>
            </w:r>
          </w:p>
        </w:tc>
      </w:tr>
      <w:tr>
        <w:trPr>
          <w:trHeight w:val="30"/>
        </w:trPr>
        <w:tc>
          <w:tcPr>
            <w:tcW w:w="3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w:t>
            </w:r>
          </w:p>
        </w:tc>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Change in fair value of contingent consideration</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2,140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3,053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200</w:t>
            </w:r>
          </w:p>
        </w:tc>
      </w:tr>
      <w:tr>
        <w:trPr>
          <w:trHeight w:val="191"/>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Non-GAAP net income</w:t>
            </w:r>
          </w:p>
        </w:tc>
        <w:tc>
          <w:tcPr>
            <w:tcW w:w="920" w:type="dxa"/>
            <w:vAlign w:val="bottom"/>
            <w:tcBorders>
              <w:top w:val="single" w:sz="8" w:color="auto"/>
            </w:tcBorders>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13,836</w:t>
            </w:r>
          </w:p>
        </w:tc>
        <w:tc>
          <w:tcPr>
            <w:tcW w:w="120" w:type="dxa"/>
            <w:vAlign w:val="bottom"/>
          </w:tcPr>
          <w:p>
            <w:pPr>
              <w:spacing w:after="0"/>
              <w:rPr>
                <w:sz w:val="16"/>
                <w:szCs w:val="16"/>
                <w:color w:val="auto"/>
              </w:rPr>
            </w:pPr>
          </w:p>
        </w:tc>
        <w:tc>
          <w:tcPr>
            <w:tcW w:w="92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12,756</w:t>
            </w:r>
          </w:p>
        </w:tc>
        <w:tc>
          <w:tcPr>
            <w:tcW w:w="100" w:type="dxa"/>
            <w:vAlign w:val="bottom"/>
          </w:tcPr>
          <w:p>
            <w:pPr>
              <w:spacing w:after="0"/>
              <w:rPr>
                <w:sz w:val="16"/>
                <w:szCs w:val="16"/>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44,181</w:t>
            </w: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38,596</w:t>
            </w:r>
          </w:p>
        </w:tc>
      </w:tr>
      <w:tr>
        <w:trPr>
          <w:trHeight w:val="70"/>
        </w:trPr>
        <w:tc>
          <w:tcPr>
            <w:tcW w:w="5160" w:type="dxa"/>
            <w:vAlign w:val="bottom"/>
            <w:tcBorders>
              <w:bottom w:val="single" w:sz="8" w:color="CCEEFF"/>
            </w:tcBorders>
            <w:gridSpan w:val="2"/>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10"/>
        </w:trPr>
        <w:tc>
          <w:tcPr>
            <w:tcW w:w="5160" w:type="dxa"/>
            <w:vAlign w:val="bottom"/>
            <w:tcBorders>
              <w:bottom w:val="single" w:sz="8" w:color="CCEEFF"/>
            </w:tcBorders>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Non-GAAP net income per diluted common share</w:t>
            </w:r>
          </w:p>
        </w:tc>
        <w:tc>
          <w:tcPr>
            <w:tcW w:w="92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0.38</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0.35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1.07</w:t>
            </w:r>
          </w:p>
        </w:tc>
      </w:tr>
      <w:tr>
        <w:trPr>
          <w:trHeight w:val="20"/>
        </w:trPr>
        <w:tc>
          <w:tcPr>
            <w:tcW w:w="51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85"/>
        </w:trPr>
        <w:tc>
          <w:tcPr>
            <w:tcW w:w="340" w:type="dxa"/>
            <w:vAlign w:val="bottom"/>
          </w:tcPr>
          <w:p>
            <w:pPr>
              <w:spacing w:after="0"/>
              <w:rPr>
                <w:sz w:val="7"/>
                <w:szCs w:val="7"/>
                <w:color w:val="auto"/>
              </w:rPr>
            </w:pPr>
          </w:p>
        </w:tc>
        <w:tc>
          <w:tcPr>
            <w:tcW w:w="4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34"/>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diluted shares</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36,468</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36,001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36,319</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35,913</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30"/>
        </w:trPr>
        <w:tc>
          <w:tcPr>
            <w:tcW w:w="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4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1"/>
                <w:szCs w:val="11"/>
                <w:b w:val="1"/>
                <w:bCs w:val="1"/>
                <w:color w:val="auto"/>
              </w:rPr>
              <w:t>Three Months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33"/>
        </w:trPr>
        <w:tc>
          <w:tcPr>
            <w:tcW w:w="340" w:type="dxa"/>
            <w:vAlign w:val="bottom"/>
            <w:tcBorders>
              <w:bottom w:val="single" w:sz="8" w:color="CCEEFF"/>
            </w:tcBorders>
          </w:tcPr>
          <w:p>
            <w:pPr>
              <w:spacing w:after="0"/>
              <w:rPr>
                <w:sz w:val="20"/>
                <w:szCs w:val="20"/>
                <w:color w:val="auto"/>
              </w:rPr>
            </w:pPr>
          </w:p>
        </w:tc>
        <w:tc>
          <w:tcPr>
            <w:tcW w:w="48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2015</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2014</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69"/>
              <w:spacing w:after="0"/>
              <w:rPr>
                <w:sz w:val="20"/>
                <w:szCs w:val="20"/>
                <w:color w:val="auto"/>
              </w:rPr>
            </w:pPr>
            <w:r>
              <w:rPr>
                <w:rFonts w:ascii="Arial" w:cs="Arial" w:eastAsia="Arial" w:hAnsi="Arial"/>
                <w:sz w:val="11"/>
                <w:szCs w:val="11"/>
                <w:b w:val="1"/>
                <w:bCs w:val="1"/>
                <w:color w:val="auto"/>
                <w:w w:val="89"/>
              </w:rPr>
              <w:t>2014</w:t>
            </w:r>
          </w:p>
        </w:tc>
      </w:tr>
      <w:tr>
        <w:trPr>
          <w:trHeight w:val="209"/>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25,882</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23,360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85,331</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82,859</w:t>
            </w:r>
          </w:p>
        </w:tc>
      </w:tr>
      <w:tr>
        <w:trPr>
          <w:trHeight w:val="211"/>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Capital expenditures and content acquisition</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(4,919)</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(16,984)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(18,671)</w:t>
            </w:r>
          </w:p>
        </w:tc>
      </w:tr>
      <w:tr>
        <w:trPr>
          <w:trHeight w:val="30"/>
        </w:trPr>
        <w:tc>
          <w:tcPr>
            <w:tcW w:w="516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6"/>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92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20,963</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21,354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68,347</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64,188</w:t>
            </w:r>
          </w:p>
        </w:tc>
      </w:tr>
      <w:tr>
        <w:trPr>
          <w:trHeight w:val="20"/>
        </w:trPr>
        <w:tc>
          <w:tcPr>
            <w:tcW w:w="51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85"/>
        </w:trPr>
        <w:tc>
          <w:tcPr>
            <w:tcW w:w="340" w:type="dxa"/>
            <w:vAlign w:val="bottom"/>
          </w:tcPr>
          <w:p>
            <w:pPr>
              <w:spacing w:after="0"/>
              <w:rPr>
                <w:sz w:val="7"/>
                <w:szCs w:val="7"/>
                <w:color w:val="auto"/>
              </w:rPr>
            </w:pPr>
          </w:p>
        </w:tc>
        <w:tc>
          <w:tcPr>
            <w:tcW w:w="4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21"/>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92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25,596</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22,538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84,719</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71,088</w:t>
            </w:r>
          </w:p>
        </w:tc>
      </w:tr>
      <w:tr>
        <w:trPr>
          <w:trHeight w:val="199"/>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Add/(less):</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2"/>
        </w:trPr>
        <w:tc>
          <w:tcPr>
            <w:tcW w:w="340" w:type="dxa"/>
            <w:vAlign w:val="bottom"/>
          </w:tcPr>
          <w:p>
            <w:pPr>
              <w:spacing w:after="0"/>
              <w:rPr>
                <w:sz w:val="3"/>
                <w:szCs w:val="3"/>
                <w:color w:val="auto"/>
              </w:rPr>
            </w:pPr>
          </w:p>
        </w:tc>
        <w:tc>
          <w:tcPr>
            <w:tcW w:w="4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1"/>
        </w:trPr>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w:t>
            </w:r>
          </w:p>
        </w:tc>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3,310</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9,552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20,880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45,752</w:t>
            </w:r>
          </w:p>
        </w:tc>
      </w:tr>
      <w:tr>
        <w:trPr>
          <w:trHeight w:val="211"/>
        </w:trPr>
        <w:tc>
          <w:tcPr>
            <w:tcW w:w="340" w:type="dxa"/>
            <w:vAlign w:val="bottom"/>
          </w:tcPr>
          <w:p>
            <w:pPr>
              <w:ind w:left="140"/>
              <w:spacing w:after="0"/>
              <w:rPr>
                <w:sz w:val="20"/>
                <w:szCs w:val="20"/>
                <w:color w:val="auto"/>
              </w:rPr>
            </w:pPr>
            <w:r>
              <w:rPr>
                <w:rFonts w:ascii="Arial" w:cs="Arial" w:eastAsia="Arial" w:hAnsi="Arial"/>
                <w:sz w:val="14"/>
                <w:szCs w:val="14"/>
                <w:color w:val="auto"/>
              </w:rPr>
              <w:t>(b)</w:t>
            </w:r>
          </w:p>
        </w:tc>
        <w:tc>
          <w:tcPr>
            <w:tcW w:w="482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(4,800)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(14,720)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(16,088)</w:t>
            </w:r>
          </w:p>
        </w:tc>
      </w:tr>
      <w:tr>
        <w:trPr>
          <w:trHeight w:val="30"/>
        </w:trPr>
        <w:tc>
          <w:tcPr>
            <w:tcW w:w="3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w:t>
            </w:r>
          </w:p>
        </w:tc>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(4,897)</w:t>
            </w:r>
          </w:p>
        </w:tc>
      </w:tr>
      <w:tr>
        <w:trPr>
          <w:trHeight w:val="211"/>
        </w:trPr>
        <w:tc>
          <w:tcPr>
            <w:tcW w:w="340" w:type="dxa"/>
            <w:vAlign w:val="bottom"/>
          </w:tcPr>
          <w:p>
            <w:pPr>
              <w:ind w:left="140"/>
              <w:spacing w:after="0"/>
              <w:rPr>
                <w:sz w:val="20"/>
                <w:szCs w:val="20"/>
                <w:color w:val="auto"/>
              </w:rPr>
            </w:pPr>
            <w:r>
              <w:rPr>
                <w:rFonts w:ascii="Arial" w:cs="Arial" w:eastAsia="Arial" w:hAnsi="Arial"/>
                <w:sz w:val="14"/>
                <w:szCs w:val="14"/>
                <w:color w:val="auto"/>
              </w:rPr>
              <w:t>(d)</w:t>
            </w:r>
          </w:p>
        </w:tc>
        <w:tc>
          <w:tcPr>
            <w:tcW w:w="4820" w:type="dxa"/>
            <w:vAlign w:val="bottom"/>
          </w:tcPr>
          <w:p>
            <w:pPr>
              <w:ind w:left="40"/>
              <w:spacing w:after="0"/>
              <w:rPr>
                <w:sz w:val="20"/>
                <w:szCs w:val="20"/>
                <w:color w:val="auto"/>
              </w:rPr>
            </w:pPr>
            <w:r>
              <w:rPr>
                <w:rFonts w:ascii="Arial" w:cs="Arial" w:eastAsia="Arial" w:hAnsi="Arial"/>
                <w:sz w:val="14"/>
                <w:szCs w:val="14"/>
                <w:color w:val="auto"/>
              </w:rPr>
              <w:t>Tax benefit from exercise/vesting of equity awards</w:t>
            </w:r>
          </w:p>
        </w:tc>
        <w:tc>
          <w:tcPr>
            <w:tcW w:w="9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(1,685)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(13,137)</w:t>
            </w:r>
          </w:p>
        </w:tc>
      </w:tr>
      <w:tr>
        <w:trPr>
          <w:trHeight w:val="30"/>
        </w:trPr>
        <w:tc>
          <w:tcPr>
            <w:tcW w:w="3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w:t>
            </w:r>
          </w:p>
        </w:tc>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Provision for doubtful accounts/chargeback/sales refund reserves</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2,003</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2,953</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800</w:t>
            </w:r>
          </w:p>
        </w:tc>
      </w:tr>
      <w:tr>
        <w:trPr>
          <w:trHeight w:val="211"/>
        </w:trPr>
        <w:tc>
          <w:tcPr>
            <w:tcW w:w="340" w:type="dxa"/>
            <w:vAlign w:val="bottom"/>
          </w:tcPr>
          <w:p>
            <w:pPr>
              <w:ind w:left="140"/>
              <w:spacing w:after="0"/>
              <w:rPr>
                <w:sz w:val="20"/>
                <w:szCs w:val="20"/>
                <w:color w:val="auto"/>
              </w:rPr>
            </w:pPr>
            <w:r>
              <w:rPr>
                <w:rFonts w:ascii="Arial" w:cs="Arial" w:eastAsia="Arial" w:hAnsi="Arial"/>
                <w:sz w:val="14"/>
                <w:szCs w:val="14"/>
                <w:color w:val="auto"/>
              </w:rPr>
              <w:t>(f)</w:t>
            </w:r>
          </w:p>
        </w:tc>
        <w:tc>
          <w:tcPr>
            <w:tcW w:w="4820" w:type="dxa"/>
            <w:vAlign w:val="bottom"/>
          </w:tcPr>
          <w:p>
            <w:pPr>
              <w:ind w:left="60"/>
              <w:spacing w:after="0"/>
              <w:rPr>
                <w:sz w:val="20"/>
                <w:szCs w:val="20"/>
                <w:color w:val="auto"/>
              </w:rPr>
            </w:pPr>
            <w:r>
              <w:rPr>
                <w:rFonts w:ascii="Arial" w:cs="Arial" w:eastAsia="Arial" w:hAnsi="Arial"/>
                <w:sz w:val="14"/>
                <w:szCs w:val="14"/>
                <w:color w:val="auto"/>
              </w:rPr>
              <w:t>Other expense, net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(3,360)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(6,746)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(859)</w:t>
            </w:r>
          </w:p>
        </w:tc>
      </w:tr>
      <w:tr>
        <w:trPr>
          <w:trHeight w:val="30"/>
        </w:trPr>
        <w:tc>
          <w:tcPr>
            <w:tcW w:w="3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w:t>
            </w:r>
          </w:p>
        </w:tc>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Change in fair value of contingent consideration</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3,330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4,770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200</w:t>
            </w:r>
          </w:p>
        </w:tc>
      </w:tr>
      <w:tr>
        <w:trPr>
          <w:trHeight w:val="191"/>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top w:val="single" w:sz="8" w:color="auto"/>
            </w:tcBorders>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25,882</w:t>
            </w:r>
          </w:p>
        </w:tc>
        <w:tc>
          <w:tcPr>
            <w:tcW w:w="120" w:type="dxa"/>
            <w:vAlign w:val="bottom"/>
          </w:tcPr>
          <w:p>
            <w:pPr>
              <w:spacing w:after="0"/>
              <w:rPr>
                <w:sz w:val="16"/>
                <w:szCs w:val="16"/>
                <w:color w:val="auto"/>
              </w:rPr>
            </w:pPr>
          </w:p>
        </w:tc>
        <w:tc>
          <w:tcPr>
            <w:tcW w:w="92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23,360</w:t>
            </w:r>
          </w:p>
        </w:tc>
        <w:tc>
          <w:tcPr>
            <w:tcW w:w="100" w:type="dxa"/>
            <w:vAlign w:val="bottom"/>
          </w:tcPr>
          <w:p>
            <w:pPr>
              <w:spacing w:after="0"/>
              <w:rPr>
                <w:sz w:val="16"/>
                <w:szCs w:val="16"/>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85,331</w:t>
            </w: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82,859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19050</wp:posOffset>
            </wp:positionV>
            <wp:extent cx="3982720"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82720" cy="2286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(1) Earnings/(loss) before other income/(expense), income taxes, depreciation, amortization, disposals and non-cash equity-based compensation.</w:t>
      </w:r>
    </w:p>
    <w:p>
      <w:pPr>
        <w:sectPr>
          <w:pgSz w:w="11900" w:h="16838" w:orient="portrait"/>
          <w:cols w:equalWidth="0" w:num="1">
            <w:col w:w="11440"/>
          </w:cols>
          <w:pgMar w:left="240" w:top="533" w:right="219" w:bottom="1440" w:gutter="0" w:footer="0" w:header="0"/>
        </w:sectPr>
      </w:pPr>
    </w:p>
    <w:bookmarkStart w:id="14" w:name="page15"/>
    <w:bookmarkEnd w:id="14"/>
    <w:p>
      <w:pPr>
        <w:jc w:val="center"/>
        <w:ind w:right="-3"/>
        <w:spacing w:after="0"/>
        <w:rPr>
          <w:sz w:val="20"/>
          <w:szCs w:val="20"/>
          <w:color w:val="auto"/>
        </w:rPr>
      </w:pPr>
      <w:r>
        <w:rPr>
          <w:rFonts w:ascii="Arial" w:cs="Arial" w:eastAsia="Arial" w:hAnsi="Arial"/>
          <w:sz w:val="16"/>
          <w:szCs w:val="16"/>
          <w:b w:val="1"/>
          <w:bCs w:val="1"/>
          <w:color w:val="auto"/>
        </w:rPr>
        <w:t>SHUTTERSTOCK,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SUPPLEMENTAL FINANCIAL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 in thousands)</w:t>
      </w:r>
    </w:p>
    <w:p>
      <w:pPr>
        <w:spacing w:after="0" w:line="37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Non-Cash Equity-Based Compensation</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Included in the accompanying financial results are expenses related to non-cash equity-based compensation, as follows:</w:t>
      </w:r>
    </w:p>
    <w:p>
      <w:pPr>
        <w:spacing w:after="0" w:line="223"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1"/>
                <w:szCs w:val="11"/>
                <w:b w:val="1"/>
                <w:bCs w:val="1"/>
                <w:color w:val="auto"/>
              </w:rPr>
              <w:t>Three Months Ended December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80" w:type="dxa"/>
            <w:vAlign w:val="bottom"/>
            <w:tcBorders>
              <w:bottom w:val="single" w:sz="8" w:color="auto"/>
            </w:tcBorders>
          </w:tcPr>
          <w:p>
            <w:pPr>
              <w:spacing w:after="0"/>
              <w:rPr>
                <w:sz w:val="13"/>
                <w:szCs w:val="13"/>
                <w:color w:val="auto"/>
              </w:rPr>
            </w:pPr>
          </w:p>
        </w:tc>
      </w:tr>
      <w:tr>
        <w:trPr>
          <w:trHeight w:val="233"/>
        </w:trPr>
        <w:tc>
          <w:tcPr>
            <w:tcW w:w="5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2015</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2014</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2015</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w w:val="89"/>
              </w:rPr>
              <w:t>2014</w:t>
            </w:r>
          </w:p>
        </w:tc>
      </w:tr>
      <w:tr>
        <w:trPr>
          <w:trHeight w:val="20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6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452</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1,896</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1,283</w:t>
            </w:r>
          </w:p>
        </w:tc>
      </w:tr>
      <w:tr>
        <w:trPr>
          <w:trHeight w:val="211"/>
        </w:trPr>
        <w:tc>
          <w:tcPr>
            <w:tcW w:w="51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1,223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4,520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3,912</w:t>
            </w:r>
          </w:p>
        </w:tc>
      </w:tr>
      <w:tr>
        <w:trPr>
          <w:trHeight w:val="30"/>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Product development</w:t>
            </w:r>
          </w:p>
        </w:tc>
        <w:tc>
          <w:tcPr>
            <w:tcW w:w="9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1,702</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3,068</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7,565</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7,597</w:t>
            </w:r>
          </w:p>
        </w:tc>
      </w:tr>
      <w:tr>
        <w:trPr>
          <w:trHeight w:val="211"/>
        </w:trPr>
        <w:tc>
          <w:tcPr>
            <w:tcW w:w="51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3,525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3,419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14,879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10,976</w:t>
            </w:r>
          </w:p>
        </w:tc>
      </w:tr>
      <w:tr>
        <w:trPr>
          <w:trHeight w:val="30"/>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6,089</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8,040</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28,860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23,768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Amortization of Intangible Assets and Depreciation of Property and Equipment</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Included in the accompanying financial results are expenses related to the amortization of intangible assets, as follows:</w:t>
      </w:r>
    </w:p>
    <w:p>
      <w:pPr>
        <w:spacing w:after="0" w:line="223"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1"/>
                <w:szCs w:val="11"/>
                <w:b w:val="1"/>
                <w:bCs w:val="1"/>
                <w:color w:val="auto"/>
              </w:rPr>
              <w:t>Three Months Ended December 31,</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233"/>
        </w:trPr>
        <w:tc>
          <w:tcPr>
            <w:tcW w:w="5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2015</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1"/>
                <w:szCs w:val="11"/>
                <w:b w:val="1"/>
                <w:bCs w:val="1"/>
                <w:color w:val="auto"/>
              </w:rPr>
              <w:t>2014</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w w:val="89"/>
              </w:rPr>
              <w:t>2014</w:t>
            </w:r>
          </w:p>
        </w:tc>
      </w:tr>
      <w:tr>
        <w:trPr>
          <w:trHeight w:val="20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6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418</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1,488</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99</w:t>
            </w:r>
          </w:p>
        </w:tc>
      </w:tr>
      <w:tr>
        <w:trPr>
          <w:trHeight w:val="211"/>
        </w:trPr>
        <w:tc>
          <w:tcPr>
            <w:tcW w:w="51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4"/>
                <w:szCs w:val="14"/>
                <w:color w:val="auto"/>
              </w:rPr>
              <w:t>3,257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452</w:t>
            </w:r>
          </w:p>
        </w:tc>
      </w:tr>
      <w:tr>
        <w:trPr>
          <w:trHeight w:val="30"/>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1,270</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4,745</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551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Included in the accompanying financial results are expenses related to the depreciation of property and equipment, as follows:</w:t>
      </w:r>
    </w:p>
    <w:p>
      <w:pPr>
        <w:spacing w:after="0" w:line="200" w:lineRule="exact"/>
        <w:rPr>
          <w:sz w:val="20"/>
          <w:szCs w:val="20"/>
          <w:color w:val="auto"/>
        </w:rPr>
      </w:pPr>
    </w:p>
    <w:p>
      <w:pPr>
        <w:spacing w:after="0" w:line="216"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1"/>
                <w:szCs w:val="11"/>
                <w:b w:val="1"/>
                <w:bCs w:val="1"/>
                <w:color w:val="auto"/>
              </w:rPr>
              <w:t>Three Months Ended December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233"/>
        </w:trPr>
        <w:tc>
          <w:tcPr>
            <w:tcW w:w="5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2015</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2014</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w w:val="89"/>
              </w:rPr>
              <w:t>2014</w:t>
            </w:r>
          </w:p>
        </w:tc>
      </w:tr>
      <w:tr>
        <w:trPr>
          <w:trHeight w:val="20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6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1,906</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1,144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5,666</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4,282</w:t>
            </w:r>
          </w:p>
        </w:tc>
      </w:tr>
      <w:tr>
        <w:trPr>
          <w:trHeight w:val="211"/>
        </w:trPr>
        <w:tc>
          <w:tcPr>
            <w:tcW w:w="51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1,302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4"/>
                <w:szCs w:val="14"/>
                <w:color w:val="auto"/>
              </w:rPr>
              <w:t>4,430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3,084</w:t>
            </w:r>
          </w:p>
        </w:tc>
      </w:tr>
      <w:tr>
        <w:trPr>
          <w:trHeight w:val="30"/>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3,208</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1,994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10,096</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7,366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Historical Operating Metrics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2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1"/>
                <w:szCs w:val="11"/>
                <w:b w:val="1"/>
                <w:bCs w:val="1"/>
                <w:color w:val="auto"/>
              </w:rPr>
              <w:t>12/31/13</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1"/>
                <w:szCs w:val="11"/>
                <w:b w:val="1"/>
                <w:bCs w:val="1"/>
                <w:color w:val="auto"/>
              </w:rPr>
              <w:t>3/31/14</w:t>
            </w: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6/30/14</w:t>
            </w: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9/30/14</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1"/>
                <w:szCs w:val="11"/>
                <w:b w:val="1"/>
                <w:bCs w:val="1"/>
                <w:color w:val="auto"/>
              </w:rPr>
              <w:t>12/31/14</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1"/>
                <w:szCs w:val="11"/>
                <w:b w:val="1"/>
                <w:bCs w:val="1"/>
                <w:color w:val="auto"/>
              </w:rPr>
              <w:t>3/31/15</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1"/>
                <w:szCs w:val="11"/>
                <w:b w:val="1"/>
                <w:bCs w:val="1"/>
                <w:color w:val="auto"/>
              </w:rPr>
              <w:t>6/30/15</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1"/>
                <w:szCs w:val="11"/>
                <w:b w:val="1"/>
                <w:bCs w:val="1"/>
                <w:color w:val="auto"/>
              </w:rPr>
              <w:t>9/30/15</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1"/>
                <w:szCs w:val="11"/>
                <w:b w:val="1"/>
                <w:bCs w:val="1"/>
                <w:color w:val="auto"/>
              </w:rPr>
              <w:t>12/31/15</w:t>
            </w: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5"/>
          </w:tcPr>
          <w:p>
            <w:pPr>
              <w:jc w:val="right"/>
              <w:ind w:right="332"/>
              <w:spacing w:after="0"/>
              <w:rPr>
                <w:sz w:val="20"/>
                <w:szCs w:val="20"/>
                <w:color w:val="auto"/>
              </w:rPr>
            </w:pPr>
            <w:r>
              <w:rPr>
                <w:rFonts w:ascii="Arial" w:cs="Arial" w:eastAsia="Arial" w:hAnsi="Arial"/>
                <w:sz w:val="13"/>
                <w:szCs w:val="13"/>
                <w:b w:val="1"/>
                <w:bCs w:val="1"/>
                <w:color w:val="auto"/>
                <w:w w:val="90"/>
              </w:rPr>
              <w:t>(in millions, except revenue per download)</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paid downloads</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28.0</w:t>
            </w:r>
          </w:p>
        </w:tc>
        <w:tc>
          <w:tcPr>
            <w:tcW w:w="3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29.7</w:t>
            </w: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31.5</w:t>
            </w: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31.2</w:t>
            </w:r>
          </w:p>
        </w:tc>
        <w:tc>
          <w:tcPr>
            <w:tcW w:w="3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33.5</w:t>
            </w: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33.4</w:t>
            </w: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35.9</w:t>
            </w: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38.1</w:t>
            </w: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257"/>
        </w:trPr>
        <w:tc>
          <w:tcPr>
            <w:tcW w:w="2300" w:type="dxa"/>
            <w:vAlign w:val="bottom"/>
          </w:tcPr>
          <w:p>
            <w:pPr>
              <w:ind w:left="20"/>
              <w:spacing w:after="0"/>
              <w:rPr>
                <w:sz w:val="20"/>
                <w:szCs w:val="20"/>
                <w:color w:val="auto"/>
              </w:rPr>
            </w:pPr>
            <w:r>
              <w:rPr>
                <w:rFonts w:ascii="Arial" w:cs="Arial" w:eastAsia="Arial" w:hAnsi="Arial"/>
                <w:sz w:val="14"/>
                <w:szCs w:val="14"/>
                <w:color w:val="auto"/>
              </w:rPr>
              <w:t xml:space="preserve">Revenue per download </w:t>
            </w:r>
            <w:r>
              <w:rPr>
                <w:rFonts w:ascii="Arial" w:cs="Arial" w:eastAsia="Arial" w:hAnsi="Arial"/>
                <w:sz w:val="19"/>
                <w:szCs w:val="19"/>
                <w:b w:val="1"/>
                <w:bCs w:val="1"/>
                <w:color w:val="auto"/>
                <w:vertAlign w:val="superscript"/>
              </w:rPr>
              <w:t>(1)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2.43</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2.45</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2.52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2.65</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2.68</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2.87</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2.85</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2.76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Images in collection (end of period)</w:t>
            </w:r>
          </w:p>
        </w:tc>
        <w:tc>
          <w:tcPr>
            <w:tcW w:w="180" w:type="dxa"/>
            <w:vAlign w:val="bottom"/>
          </w:tcPr>
          <w:p>
            <w:pPr>
              <w:spacing w:after="0"/>
              <w:rPr>
                <w:sz w:val="15"/>
                <w:szCs w:val="15"/>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4"/>
                <w:szCs w:val="14"/>
                <w:color w:val="auto"/>
              </w:rPr>
              <w:t>32.2</w:t>
            </w:r>
          </w:p>
        </w:tc>
        <w:tc>
          <w:tcPr>
            <w:tcW w:w="300" w:type="dxa"/>
            <w:vAlign w:val="bottom"/>
          </w:tcPr>
          <w:p>
            <w:pPr>
              <w:spacing w:after="0"/>
              <w:rPr>
                <w:sz w:val="15"/>
                <w:szCs w:val="15"/>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4"/>
                <w:szCs w:val="14"/>
                <w:color w:val="auto"/>
              </w:rPr>
              <w:t>35.4</w:t>
            </w:r>
          </w:p>
        </w:tc>
        <w:tc>
          <w:tcPr>
            <w:tcW w:w="300" w:type="dxa"/>
            <w:vAlign w:val="bottom"/>
          </w:tcPr>
          <w:p>
            <w:pPr>
              <w:spacing w:after="0"/>
              <w:rPr>
                <w:sz w:val="15"/>
                <w:szCs w:val="15"/>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4"/>
                <w:szCs w:val="14"/>
                <w:color w:val="auto"/>
              </w:rPr>
              <w:t>38.8</w:t>
            </w:r>
          </w:p>
        </w:tc>
        <w:tc>
          <w:tcPr>
            <w:tcW w:w="300" w:type="dxa"/>
            <w:vAlign w:val="bottom"/>
          </w:tcPr>
          <w:p>
            <w:pPr>
              <w:spacing w:after="0"/>
              <w:rPr>
                <w:sz w:val="15"/>
                <w:szCs w:val="15"/>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42.7</w:t>
            </w:r>
          </w:p>
        </w:tc>
        <w:tc>
          <w:tcPr>
            <w:tcW w:w="300" w:type="dxa"/>
            <w:vAlign w:val="bottom"/>
          </w:tcPr>
          <w:p>
            <w:pPr>
              <w:spacing w:after="0"/>
              <w:rPr>
                <w:sz w:val="15"/>
                <w:szCs w:val="15"/>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4"/>
                <w:szCs w:val="14"/>
                <w:color w:val="auto"/>
              </w:rPr>
              <w:t>46.8</w:t>
            </w:r>
          </w:p>
        </w:tc>
        <w:tc>
          <w:tcPr>
            <w:tcW w:w="280" w:type="dxa"/>
            <w:vAlign w:val="bottom"/>
          </w:tcPr>
          <w:p>
            <w:pPr>
              <w:spacing w:after="0"/>
              <w:rPr>
                <w:sz w:val="15"/>
                <w:szCs w:val="15"/>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51.6</w:t>
            </w:r>
          </w:p>
        </w:tc>
        <w:tc>
          <w:tcPr>
            <w:tcW w:w="280" w:type="dxa"/>
            <w:vAlign w:val="bottom"/>
          </w:tcPr>
          <w:p>
            <w:pPr>
              <w:spacing w:after="0"/>
              <w:rPr>
                <w:sz w:val="15"/>
                <w:szCs w:val="15"/>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57.2</w:t>
            </w:r>
          </w:p>
        </w:tc>
        <w:tc>
          <w:tcPr>
            <w:tcW w:w="280" w:type="dxa"/>
            <w:vAlign w:val="bottom"/>
          </w:tcPr>
          <w:p>
            <w:pPr>
              <w:spacing w:after="0"/>
              <w:rPr>
                <w:sz w:val="15"/>
                <w:szCs w:val="15"/>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63.7</w:t>
            </w:r>
          </w:p>
        </w:tc>
        <w:tc>
          <w:tcPr>
            <w:tcW w:w="280" w:type="dxa"/>
            <w:vAlign w:val="bottom"/>
          </w:tcPr>
          <w:p>
            <w:pPr>
              <w:spacing w:after="0"/>
              <w:rPr>
                <w:sz w:val="15"/>
                <w:szCs w:val="15"/>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22"/>
        </w:trPr>
        <w:tc>
          <w:tcPr>
            <w:tcW w:w="2300" w:type="dxa"/>
            <w:vAlign w:val="bottom"/>
          </w:tcPr>
          <w:p>
            <w:pPr>
              <w:ind w:left="20"/>
              <w:spacing w:after="0"/>
              <w:rPr>
                <w:sz w:val="20"/>
                <w:szCs w:val="20"/>
                <w:color w:val="auto"/>
              </w:rPr>
            </w:pPr>
            <w:r>
              <w:rPr>
                <w:rFonts w:ascii="Arial" w:cs="Arial" w:eastAsia="Arial" w:hAnsi="Arial"/>
                <w:sz w:val="10"/>
                <w:szCs w:val="10"/>
                <w:color w:val="auto"/>
              </w:rPr>
              <w:t>(2)</w:t>
            </w:r>
          </w:p>
        </w:tc>
        <w:tc>
          <w:tcPr>
            <w:tcW w:w="1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261225"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225" cy="214630"/>
                    </a:xfrm>
                    <a:prstGeom prst="rect">
                      <a:avLst/>
                    </a:prstGeom>
                    <a:noFill/>
                  </pic:spPr>
                </pic:pic>
              </a:graphicData>
            </a:graphic>
          </wp:anchor>
        </w:drawing>
      </w:r>
    </w:p>
    <w:p>
      <w:pPr>
        <w:ind w:left="4"/>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w:t>
      </w:r>
    </w:p>
    <w:p>
      <w:pPr>
        <w:ind w:left="224" w:hanging="224"/>
        <w:spacing w:after="0" w:line="232" w:lineRule="auto"/>
        <w:tabs>
          <w:tab w:leader="none" w:pos="224" w:val="left"/>
        </w:tabs>
        <w:numPr>
          <w:ilvl w:val="0"/>
          <w:numId w:val="6"/>
        </w:numPr>
        <w:rPr>
          <w:rFonts w:ascii="Arial" w:cs="Arial" w:eastAsia="Arial" w:hAnsi="Arial"/>
          <w:sz w:val="13"/>
          <w:szCs w:val="13"/>
          <w:color w:val="auto"/>
        </w:rPr>
      </w:pPr>
      <w:r>
        <w:rPr>
          <w:rFonts w:ascii="Arial" w:cs="Arial" w:eastAsia="Arial" w:hAnsi="Arial"/>
          <w:sz w:val="13"/>
          <w:szCs w:val="13"/>
          <w:color w:val="auto"/>
        </w:rPr>
        <w:t>Revenue per download metric excludes the impact of revenue not associated with content downloads.</w:t>
      </w:r>
    </w:p>
    <w:p>
      <w:pPr>
        <w:ind w:left="4" w:right="580" w:hanging="4"/>
        <w:spacing w:after="0" w:line="238" w:lineRule="auto"/>
        <w:tabs>
          <w:tab w:leader="none" w:pos="186" w:val="left"/>
        </w:tabs>
        <w:numPr>
          <w:ilvl w:val="0"/>
          <w:numId w:val="6"/>
        </w:numPr>
        <w:rPr>
          <w:rFonts w:ascii="Arial" w:cs="Arial" w:eastAsia="Arial" w:hAnsi="Arial"/>
          <w:sz w:val="13"/>
          <w:szCs w:val="13"/>
          <w:color w:val="auto"/>
        </w:rPr>
      </w:pPr>
      <w:r>
        <w:rPr>
          <w:rFonts w:ascii="Arial" w:cs="Arial" w:eastAsia="Arial" w:hAnsi="Arial"/>
          <w:sz w:val="13"/>
          <w:szCs w:val="13"/>
          <w:color w:val="auto"/>
        </w:rPr>
        <w:t>Images are photographs, vectors and illustrations available on shutterstock.com at the end of the period. We exclude content that is not uploaded directly to our site but is available to our customers through an application program interface and certain images that may be licensed for editorial use only.</w:t>
      </w:r>
    </w:p>
    <w:p>
      <w:pPr>
        <w:sectPr>
          <w:pgSz w:w="11900" w:h="16838" w:orient="portrait"/>
          <w:cols w:equalWidth="0" w:num="1">
            <w:col w:w="11444"/>
          </w:cols>
          <w:pgMar w:left="236" w:top="533" w:right="219" w:bottom="1440" w:gutter="0" w:footer="0" w:header="0"/>
        </w:sectPr>
      </w:pPr>
    </w:p>
    <w:bookmarkStart w:id="15" w:name="page16"/>
    <w:bookmarkEnd w:id="15"/>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4192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9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4199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2019-12-08T22:53:26Z</dcterms:created>
  <dcterms:modified xsi:type="dcterms:W3CDTF">2019-12-08T22:53:26Z</dcterms:modified>
</cp:coreProperties>
</file>