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2"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172085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41275</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34290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920" w:type="dxa"/>
            <w:vAlign w:val="bottom"/>
          </w:tcPr>
          <w:p>
            <w:pPr>
              <w:jc w:val="center"/>
              <w:ind w:right="1322"/>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001-35669</w:t>
            </w:r>
          </w:p>
        </w:tc>
        <w:tc>
          <w:tcPr>
            <w:tcW w:w="2620" w:type="dxa"/>
            <w:vAlign w:val="bottom"/>
          </w:tcPr>
          <w:p>
            <w:pPr>
              <w:jc w:val="center"/>
              <w:ind w:left="1462"/>
              <w:spacing w:after="0"/>
              <w:rPr>
                <w:sz w:val="20"/>
                <w:szCs w:val="20"/>
                <w:color w:val="auto"/>
              </w:rPr>
            </w:pPr>
            <w:r>
              <w:rPr>
                <w:rFonts w:ascii="Arial" w:cs="Arial" w:eastAsia="Arial" w:hAnsi="Arial"/>
                <w:sz w:val="18"/>
                <w:szCs w:val="18"/>
                <w:b w:val="1"/>
                <w:bCs w:val="1"/>
                <w:color w:val="auto"/>
                <w:w w:val="91"/>
              </w:rPr>
              <w:t>80-0812659</w:t>
            </w:r>
          </w:p>
        </w:tc>
      </w:tr>
      <w:tr>
        <w:trPr>
          <w:trHeight w:val="184"/>
        </w:trPr>
        <w:tc>
          <w:tcPr>
            <w:tcW w:w="2920" w:type="dxa"/>
            <w:vAlign w:val="bottom"/>
          </w:tcPr>
          <w:p>
            <w:pPr>
              <w:jc w:val="center"/>
              <w:ind w:right="1322"/>
              <w:spacing w:after="0"/>
              <w:rPr>
                <w:sz w:val="20"/>
                <w:szCs w:val="20"/>
                <w:color w:val="auto"/>
              </w:rPr>
            </w:pPr>
            <w:r>
              <w:rPr>
                <w:rFonts w:ascii="Arial" w:cs="Arial" w:eastAsia="Arial" w:hAnsi="Arial"/>
                <w:sz w:val="14"/>
                <w:szCs w:val="14"/>
                <w:color w:val="auto"/>
                <w:w w:val="95"/>
              </w:rPr>
              <w:t>(State or other jurisdiction</w:t>
            </w:r>
          </w:p>
        </w:tc>
        <w:tc>
          <w:tcPr>
            <w:tcW w:w="3700" w:type="dxa"/>
            <w:vAlign w:val="bottom"/>
          </w:tcPr>
          <w:p>
            <w:pPr>
              <w:ind w:left="1400"/>
              <w:spacing w:after="0"/>
              <w:rPr>
                <w:sz w:val="20"/>
                <w:szCs w:val="20"/>
                <w:color w:val="auto"/>
              </w:rPr>
            </w:pPr>
            <w:r>
              <w:rPr>
                <w:rFonts w:ascii="Arial" w:cs="Arial" w:eastAsia="Arial" w:hAnsi="Arial"/>
                <w:sz w:val="14"/>
                <w:szCs w:val="14"/>
                <w:color w:val="auto"/>
              </w:rPr>
              <w:t>(Commission</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6"/>
              </w:rPr>
              <w:t>(IRS Employer</w:t>
            </w:r>
          </w:p>
        </w:tc>
      </w:tr>
      <w:tr>
        <w:trPr>
          <w:trHeight w:val="182"/>
        </w:trPr>
        <w:tc>
          <w:tcPr>
            <w:tcW w:w="2920" w:type="dxa"/>
            <w:vAlign w:val="bottom"/>
          </w:tcPr>
          <w:p>
            <w:pPr>
              <w:jc w:val="center"/>
              <w:ind w:right="1302"/>
              <w:spacing w:after="0"/>
              <w:rPr>
                <w:sz w:val="20"/>
                <w:szCs w:val="20"/>
                <w:color w:val="auto"/>
              </w:rPr>
            </w:pPr>
            <w:r>
              <w:rPr>
                <w:rFonts w:ascii="Arial" w:cs="Arial" w:eastAsia="Arial" w:hAnsi="Arial"/>
                <w:sz w:val="14"/>
                <w:szCs w:val="14"/>
                <w:color w:val="auto"/>
                <w:w w:val="96"/>
              </w:rPr>
              <w:t>of incorporation)</w:t>
            </w:r>
          </w:p>
        </w:tc>
        <w:tc>
          <w:tcPr>
            <w:tcW w:w="3700" w:type="dxa"/>
            <w:vAlign w:val="bottom"/>
          </w:tcPr>
          <w:p>
            <w:pPr>
              <w:ind w:left="1400"/>
              <w:spacing w:after="0"/>
              <w:rPr>
                <w:sz w:val="20"/>
                <w:szCs w:val="20"/>
                <w:color w:val="auto"/>
              </w:rPr>
            </w:pPr>
            <w:r>
              <w:rPr>
                <w:rFonts w:ascii="Arial" w:cs="Arial" w:eastAsia="Arial" w:hAnsi="Arial"/>
                <w:sz w:val="14"/>
                <w:szCs w:val="14"/>
                <w:color w:val="auto"/>
              </w:rPr>
              <w:t>File Number)</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9"/>
              </w:rPr>
              <w:t>Identification No.)</w:t>
            </w:r>
          </w:p>
        </w:tc>
      </w:tr>
    </w:tbl>
    <w:p>
      <w:pPr>
        <w:spacing w:after="0" w:line="200" w:lineRule="exact"/>
        <w:rPr>
          <w:sz w:val="24"/>
          <w:szCs w:val="24"/>
          <w:color w:val="auto"/>
        </w:rPr>
      </w:pPr>
    </w:p>
    <w:p>
      <w:pPr>
        <w:spacing w:after="0" w:line="280" w:lineRule="exact"/>
        <w:rPr>
          <w:sz w:val="24"/>
          <w:szCs w:val="24"/>
          <w:color w:val="auto"/>
        </w:rPr>
      </w:pPr>
    </w:p>
    <w:tbl>
      <w:tblPr>
        <w:tblLayout w:type="fixed"/>
        <w:tblInd w:w="2140" w:type="dxa"/>
        <w:tblCellMar>
          <w:top w:w="0" w:type="dxa"/>
          <w:left w:w="0" w:type="dxa"/>
          <w:bottom w:w="0" w:type="dxa"/>
          <w:right w:w="0" w:type="dxa"/>
        </w:tblCellMar>
      </w:tblPr>
      <w:tr>
        <w:trPr>
          <w:trHeight w:val="216"/>
        </w:trPr>
        <w:tc>
          <w:tcPr>
            <w:tcW w:w="478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350 Fifth Avenue, 21st Floor</w:t>
            </w:r>
          </w:p>
        </w:tc>
        <w:tc>
          <w:tcPr>
            <w:tcW w:w="236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10118</w:t>
            </w:r>
          </w:p>
        </w:tc>
        <w:tc>
          <w:tcPr>
            <w:tcW w:w="0" w:type="dxa"/>
            <w:vAlign w:val="bottom"/>
          </w:tcPr>
          <w:p>
            <w:pPr>
              <w:spacing w:after="0"/>
              <w:rPr>
                <w:sz w:val="1"/>
                <w:szCs w:val="1"/>
                <w:color w:val="auto"/>
              </w:rPr>
            </w:pPr>
          </w:p>
        </w:tc>
      </w:tr>
      <w:tr>
        <w:trPr>
          <w:trHeight w:val="112"/>
        </w:trPr>
        <w:tc>
          <w:tcPr>
            <w:tcW w:w="478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1"/>
              </w:rPr>
              <w:t>New York, New York 10118</w:t>
            </w: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vMerge w:val="continue"/>
          </w:tcPr>
          <w:p>
            <w:pPr>
              <w:spacing w:after="0"/>
              <w:rPr>
                <w:sz w:val="9"/>
                <w:szCs w:val="9"/>
                <w:color w:val="auto"/>
              </w:rPr>
            </w:pPr>
          </w:p>
        </w:tc>
        <w:tc>
          <w:tcPr>
            <w:tcW w:w="23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122"/>
        </w:trPr>
        <w:tc>
          <w:tcPr>
            <w:tcW w:w="478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80" w:type="dxa"/>
            <w:vAlign w:val="bottom"/>
            <w:vMerge w:val="continue"/>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4780" w:type="dxa"/>
            <w:vAlign w:val="bottom"/>
          </w:tcPr>
          <w:p>
            <w:pPr>
              <w:jc w:val="center"/>
              <w:ind w:left="2290"/>
              <w:spacing w:after="0"/>
              <w:rPr>
                <w:sz w:val="20"/>
                <w:szCs w:val="20"/>
                <w:color w:val="auto"/>
              </w:rPr>
            </w:pPr>
            <w:r>
              <w:rPr>
                <w:rFonts w:ascii="Arial" w:cs="Arial" w:eastAsia="Arial" w:hAnsi="Arial"/>
                <w:sz w:val="18"/>
                <w:szCs w:val="18"/>
                <w:b w:val="1"/>
                <w:bCs w:val="1"/>
                <w:color w:val="auto"/>
                <w:w w:val="90"/>
              </w:rPr>
              <w:t>(646) 710-3417</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0" w:type="dxa"/>
            <w:vAlign w:val="bottom"/>
          </w:tcPr>
          <w:p>
            <w:pPr>
              <w:spacing w:after="0"/>
              <w:rPr>
                <w:sz w:val="1"/>
                <w:szCs w:val="1"/>
                <w:color w:val="auto"/>
              </w:rPr>
            </w:pPr>
          </w:p>
        </w:tc>
      </w:tr>
      <w:tr>
        <w:trPr>
          <w:trHeight w:val="418"/>
        </w:trPr>
        <w:tc>
          <w:tcPr>
            <w:tcW w:w="4780" w:type="dxa"/>
            <w:vAlign w:val="bottom"/>
          </w:tcPr>
          <w:p>
            <w:pPr>
              <w:jc w:val="center"/>
              <w:ind w:left="2290"/>
              <w:spacing w:after="0"/>
              <w:rPr>
                <w:sz w:val="20"/>
                <w:szCs w:val="20"/>
                <w:color w:val="auto"/>
              </w:rPr>
            </w:pPr>
            <w:r>
              <w:rPr>
                <w:rFonts w:ascii="Arial" w:cs="Arial" w:eastAsia="Arial" w:hAnsi="Arial"/>
                <w:sz w:val="18"/>
                <w:szCs w:val="18"/>
                <w:b w:val="1"/>
                <w:bCs w:val="1"/>
                <w:color w:val="auto"/>
                <w:w w:val="92"/>
              </w:rPr>
              <w:t>Not Applicable</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260"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Emerging growth company o</w:t>
      </w:r>
    </w:p>
    <w:p>
      <w:pPr>
        <w:spacing w:after="0" w:line="184"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1188" w:right="439" w:bottom="1440" w:gutter="0" w:footer="0" w:header="0"/>
        </w:sectPr>
      </w:pPr>
    </w:p>
    <w:bookmarkStart w:id="1" w:name="page2"/>
    <w:bookmarkEnd w:id="1"/>
    <w:p>
      <w:pPr>
        <w:ind w:left="1300" w:right="14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Departure of Chief Technology Officer</w:t>
      </w:r>
    </w:p>
    <w:p>
      <w:pPr>
        <w:spacing w:after="0" w:line="117"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On March 11, 2019, Martin Brodbeck, Chief Technology Officer of Shutterstock, Inc. (the “Company”), notified the Company of his decision to resign from his position, effective March 22, 2019. The Company has commenced a search for a Chief Technology Officer to succeed Mr. Brodbeck.</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Announcement of Co-Chief Operating Officer</w:t>
      </w:r>
    </w:p>
    <w:p>
      <w:pPr>
        <w:spacing w:after="0" w:line="117" w:lineRule="exact"/>
        <w:rPr>
          <w:sz w:val="20"/>
          <w:szCs w:val="20"/>
          <w:color w:val="auto"/>
        </w:rPr>
      </w:pPr>
    </w:p>
    <w:p>
      <w:pPr>
        <w:jc w:val="both"/>
        <w:ind w:right="640" w:firstLine="405"/>
        <w:spacing w:after="0" w:line="264" w:lineRule="auto"/>
        <w:rPr>
          <w:sz w:val="20"/>
          <w:szCs w:val="20"/>
          <w:color w:val="auto"/>
        </w:rPr>
      </w:pPr>
      <w:r>
        <w:rPr>
          <w:rFonts w:ascii="Arial" w:cs="Arial" w:eastAsia="Arial" w:hAnsi="Arial"/>
          <w:sz w:val="18"/>
          <w:szCs w:val="18"/>
          <w:color w:val="auto"/>
        </w:rPr>
        <w:t>On March 13, 2019, the Company announced that Stan Pavlovsky was joining the Company as the Co-Chief Operating Officer and the Head of Strategic Operations, effective April 1, 2019. As Co-Chief Operating Officer and Head of Strategic Operations, Mr. Pavlovsky will oversee product, marketing and technology.</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connection with Mr. Pavlovsky’s appointment as Co-Chief Operating Officer and Head of Strategic Operations, the Company amended the title of Steven Berns, the Company’s Chief Operating Officer and Chief Financial Officer, to Co-Chief Operating Officer and Chief Financial Officer, effective April 1, 2019.</w:t>
      </w:r>
    </w:p>
    <w:p>
      <w:pPr>
        <w:spacing w:after="0" w:line="7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Pavlovsky, 47, most recently served as the President, Executive Vice President, Meredith Digital of Meredith Corporation, a media and marketing company, since August 2016. From March 2013 through August 2016, Mr. Pavlovsky served as President of Allrecipes.com, a Meredith company. Prior to joining Meredith, Mr. Pavlovsky was Vice President eCommerce, Merchandising &amp; Marketing at Walgreens Boots Alliance, Inc., a pharmacy store chain, from June 2011 through March 2013. Mr. Pavlovsky previously spent several years at Drugstore.com, an internet retailer in health and beauty care products, which was acquired by Walgreens in 2011, serving in several capacities, including serving in his final years as Vice President, Drugstore.com. Mr. Pavlovsky holds a B.A. from California State University, Northridge and an M.B.A. from City University of Seattle.</w:t>
      </w:r>
    </w:p>
    <w:p>
      <w:pPr>
        <w:spacing w:after="0" w:line="70"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There is no agreement or understanding between Mr. Pavlovsky and any other person pursuant to which he was appointed as Co-Chief Operating Officer and Head of Strategic Operations of the Company, nor is there any family relationship between Mr. Pavlovsky and any of the Company’s directors or other executive officers. There are no transactions in which Mr. Pavlovsky has an interest requiring disclosure under Item 404(a) of Regulation S-K.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Agreement</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connection with Mr. Pavlovsky’s appointment as Co-Chief Operating Officer and Head of Strategic Operations, on February 28, 2019, the Company entered into an employment agreement with Mr. Pavlovsky, effective April 1, 2019. Pursuant to Mr. Pavlovsky’s employment agreement, Mr. Pavlovsky will be entitled to an annual base salary of $600,000 and an annual cash bonus target of 80% of his base salary, based on the achievement of individual and company performance-based objectives established by our Compensation Committee in connection with the Company's short-term incentive compensation plan and pro-rated for his initial year of service. In addition, upon commencement of his employment, Mr. Pavlovsky will receive the following equity awards:</w:t>
      </w:r>
    </w:p>
    <w:p>
      <w:pPr>
        <w:spacing w:after="0" w:line="85" w:lineRule="exact"/>
        <w:rPr>
          <w:sz w:val="20"/>
          <w:szCs w:val="20"/>
          <w:color w:val="auto"/>
        </w:rPr>
      </w:pPr>
    </w:p>
    <w:p>
      <w:pPr>
        <w:ind w:left="660" w:right="220" w:hanging="166"/>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initial grant of restricted stock units (“RSUs”) of the Company’s common stock in an amount equal to the fair market value of $750,000, of which 33% of the RSUs will vest on each of the first and second anniversaries of the grant and 34% will vest on the third anniversary of the grant, subject to Mr. Pavlovsky’s continued employment with the Company. Mr. Pavlovsky’s RSU grant will be subject to the terms of the Company’s Amended and Restated 2012 Omnibus Incentive Plan (the “2012 Plan”) and related RSU award agreement.</w:t>
      </w:r>
    </w:p>
    <w:p>
      <w:pPr>
        <w:spacing w:after="0" w:line="63" w:lineRule="exact"/>
        <w:rPr>
          <w:rFonts w:ascii="Arial" w:cs="Arial" w:eastAsia="Arial" w:hAnsi="Arial"/>
          <w:sz w:val="17"/>
          <w:szCs w:val="17"/>
          <w:color w:val="auto"/>
        </w:rPr>
      </w:pPr>
    </w:p>
    <w:p>
      <w:pPr>
        <w:ind w:left="660" w:right="60" w:hanging="16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initial grant of performance stock units (“PSUs”) of the Company’s common stock in an amount equal to $1,500,000. The PSUs will vest, if at all, over a three-year performance and service period based on achievement of targets determined by the Compensation Committee of the Board of Directors and completion of service requirements, subject to Mr. Pavlovsky’s continued employment with the Company. Mr. Pavlovsky’s PSU grant will be subject to the terms of the 2012 Plan and related PSU award agreement.</w:t>
      </w:r>
    </w:p>
    <w:p>
      <w:pPr>
        <w:spacing w:after="0" w:line="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Mr. Pavlovsky will also be eligible to participate in employee benefit plans, policies, programs and arrangements provided generally to similarly situated employees of the Company and will receive reimbursement of all reasonable business expenses in accordance with Company policies relating to such expenses.</w:t>
      </w:r>
    </w:p>
    <w:p>
      <w:pPr>
        <w:sectPr>
          <w:pgSz w:w="11900" w:h="16838" w:orient="portrait"/>
          <w:cols w:equalWidth="0" w:num="1">
            <w:col w:w="11400"/>
          </w:cols>
          <w:pgMar w:left="240" w:top="850" w:right="259" w:bottom="1440" w:gutter="0" w:footer="0" w:header="0"/>
        </w:sectPr>
      </w:pPr>
    </w:p>
    <w:bookmarkStart w:id="2" w:name="page3"/>
    <w:bookmarkEnd w:id="2"/>
    <w:p>
      <w:pPr>
        <w:jc w:val="both"/>
        <w:ind w:right="360" w:firstLine="405"/>
        <w:spacing w:after="0" w:line="286" w:lineRule="auto"/>
        <w:rPr>
          <w:sz w:val="20"/>
          <w:szCs w:val="20"/>
          <w:color w:val="auto"/>
        </w:rPr>
      </w:pPr>
      <w:r>
        <w:rPr>
          <w:rFonts w:ascii="Arial" w:cs="Arial" w:eastAsia="Arial" w:hAnsi="Arial"/>
          <w:sz w:val="17"/>
          <w:szCs w:val="17"/>
          <w:color w:val="auto"/>
        </w:rPr>
        <w:t>If the Company terminates Mr. Pavlovsky’s employment with the Company without “cause” (other than due to his death or “disability”) at any time other than during the twelve-month period immediately following a “change of control”, subject to his execution of an acceptable release and compliance with the covenants described below, Mr. Pavlovsky will receive the following severance benefits from the Company:</w:t>
      </w:r>
    </w:p>
    <w:p>
      <w:pPr>
        <w:spacing w:after="0" w:line="57" w:lineRule="exact"/>
        <w:rPr>
          <w:sz w:val="20"/>
          <w:szCs w:val="20"/>
          <w:color w:val="auto"/>
        </w:rPr>
      </w:pPr>
    </w:p>
    <w:p>
      <w:pPr>
        <w:ind w:left="660" w:hanging="16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severance in an amount equal to 12 months of his base salary, which will be paid in accordance with the Company’s regular payroll procedures;</w:t>
      </w:r>
    </w:p>
    <w:p>
      <w:pPr>
        <w:spacing w:after="0" w:line="140" w:lineRule="exact"/>
        <w:rPr>
          <w:rFonts w:ascii="Arial" w:cs="Arial" w:eastAsia="Arial" w:hAnsi="Arial"/>
          <w:sz w:val="16"/>
          <w:szCs w:val="16"/>
          <w:color w:val="auto"/>
        </w:rPr>
      </w:pPr>
    </w:p>
    <w:p>
      <w:pPr>
        <w:ind w:left="660" w:right="460" w:hanging="16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 sum payment of a pro-rata bonus based on actual performance for the year in which the termination of employment occurs based on the number of days worked relative to 365 days;</w:t>
      </w:r>
    </w:p>
    <w:p>
      <w:pPr>
        <w:spacing w:after="0" w:line="62" w:lineRule="exact"/>
        <w:rPr>
          <w:rFonts w:ascii="Arial" w:cs="Arial" w:eastAsia="Arial" w:hAnsi="Arial"/>
          <w:sz w:val="18"/>
          <w:szCs w:val="18"/>
          <w:color w:val="auto"/>
        </w:rPr>
      </w:pPr>
    </w:p>
    <w:p>
      <w:pPr>
        <w:ind w:left="660" w:right="60" w:hanging="16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reimbursement for premiums paid for coverage pursuant to the Consolidated Omnibus Budget Reconciliation Act of 1985, as amended (“COBRA”), for Mr. Pavlovsky and his eligible dependents for up to 12 months;</w:t>
      </w:r>
    </w:p>
    <w:p>
      <w:pPr>
        <w:spacing w:after="0" w:line="62" w:lineRule="exact"/>
        <w:rPr>
          <w:rFonts w:ascii="Arial" w:cs="Arial" w:eastAsia="Arial" w:hAnsi="Arial"/>
          <w:sz w:val="18"/>
          <w:szCs w:val="18"/>
          <w:color w:val="auto"/>
        </w:rPr>
      </w:pPr>
    </w:p>
    <w:p>
      <w:pPr>
        <w:ind w:left="660" w:hanging="16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Mr. Pavlovsky’s termination date is at least 12 months following the effective date of his employment, accelerated vesting of 50% of the then-unvested portion of all his outstanding equity awards as if he had remained employed for 12 months following his termination of employment, unless otherwise set forth in a PSU award agreement;</w:t>
      </w:r>
    </w:p>
    <w:p>
      <w:pPr>
        <w:spacing w:after="0" w:line="73" w:lineRule="exact"/>
        <w:rPr>
          <w:rFonts w:ascii="Arial" w:cs="Arial" w:eastAsia="Arial" w:hAnsi="Arial"/>
          <w:sz w:val="18"/>
          <w:szCs w:val="18"/>
          <w:color w:val="auto"/>
        </w:rPr>
      </w:pPr>
    </w:p>
    <w:p>
      <w:pPr>
        <w:ind w:left="660" w:right="260" w:hanging="16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accrued but unpaid expense reimbursements, wages, and other benefits due to Mr. Pavlovsky under any Company-provided plans, policies and arrangements; and</w:t>
      </w:r>
    </w:p>
    <w:p>
      <w:pPr>
        <w:spacing w:after="0" w:line="62"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other compensation or benefits as may be required by law.</w:t>
      </w:r>
    </w:p>
    <w:p>
      <w:pPr>
        <w:spacing w:after="0" w:line="11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If the Company terminates Mr. Pavlovsky’s employment with the Company without “cause” (other than due to Mr. Pavlovsky’s death or “disability”) or Mr. Pavlovsky resigns for “good reason” during the twelve-month period immediately following a “change of control”, subject to his execution of an acceptable release and compliance with the covenants described below, Mr. Pavlovsky will receive the severance benefits set forth above, except as follows:</w:t>
      </w:r>
    </w:p>
    <w:p>
      <w:pPr>
        <w:spacing w:after="0" w:line="39"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single lump sum payment of severance in an amount equal to 12 months of his then current base salary;</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lump sum severance payment equal to 100% of his full target bonus for the fiscal year in effect at the date of termination of employment; and</w:t>
      </w:r>
    </w:p>
    <w:p>
      <w:pPr>
        <w:spacing w:after="0" w:line="128" w:lineRule="exact"/>
        <w:rPr>
          <w:rFonts w:ascii="Arial" w:cs="Arial" w:eastAsia="Arial" w:hAnsi="Arial"/>
          <w:sz w:val="17"/>
          <w:szCs w:val="17"/>
          <w:color w:val="auto"/>
        </w:rPr>
      </w:pPr>
    </w:p>
    <w:p>
      <w:pPr>
        <w:ind w:left="660" w:right="280" w:hanging="16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vesting of 100% of the then-unvested portion of all of Mr. Pavlovsky’s outstanding equity awards, unless otherwise set forth in a PSU award agreement.</w:t>
      </w:r>
    </w:p>
    <w:p>
      <w:pPr>
        <w:spacing w:after="0" w:line="62"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Mr. Pavlovsky is also subject to the Company’s Confidentiality, Non-Disclosure, Inventions, Non-Solicitation and Non-Competition Agreement, which contains customary confidentiality, non-competition, and non-solicitation of employees or customers provisions. Under the agreement, Mr. Pavlovsky cannot compete with the Company for a 12 month period after termination. The non-solicitation covenant also extends for 12 months after termination.</w:t>
      </w:r>
    </w:p>
    <w:p>
      <w:pPr>
        <w:spacing w:after="0" w:line="3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foregoing description of Mr. Pavlovsky’s employment agreement does not purport to be complete and is qualified in its entirety by reference to the complete text thereof, a copy of which will be filed as an exhibit to the Company’s next quarterly report on Form 10-Q and incorporated by reference into this Item 5.02.</w:t>
      </w:r>
    </w:p>
    <w:p>
      <w:pPr>
        <w:sectPr>
          <w:pgSz w:w="11900" w:h="16838" w:orient="portrait"/>
          <w:cols w:equalWidth="0" w:num="1">
            <w:col w:w="11420"/>
          </w:cols>
          <w:pgMar w:left="240" w:top="692" w:right="239" w:bottom="1440" w:gutter="0" w:footer="0" w:header="0"/>
        </w:sectPr>
      </w:pPr>
    </w:p>
    <w:bookmarkStart w:id="3" w:name="page4"/>
    <w:bookmarkEnd w:id="3"/>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8" w:lineRule="exact"/>
        <w:rPr>
          <w:sz w:val="20"/>
          <w:szCs w:val="20"/>
          <w:color w:val="auto"/>
        </w:rPr>
      </w:pPr>
    </w:p>
    <w:p>
      <w:pPr>
        <w:ind w:left="720" w:hanging="34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44" w:lineRule="exact"/>
        <w:rPr>
          <w:sz w:val="20"/>
          <w:szCs w:val="20"/>
          <w:color w:val="auto"/>
        </w:rPr>
      </w:pPr>
    </w:p>
    <w:p>
      <w:pPr>
        <w:jc w:val="right"/>
        <w:ind w:right="6059"/>
        <w:spacing w:after="0"/>
        <w:tabs>
          <w:tab w:leader="none" w:pos="2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13, 2019</w:t>
      </w:r>
    </w:p>
    <w:p>
      <w:pPr>
        <w:sectPr>
          <w:pgSz w:w="11900" w:h="16838" w:orient="portrait"/>
          <w:cols w:equalWidth="0" w:num="1">
            <w:col w:w="10179"/>
          </w:cols>
          <w:pgMar w:left="280" w:top="85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0" w:type="dxa"/>
            <w:vAlign w:val="bottom"/>
          </w:tcPr>
          <w:p>
            <w:pPr>
              <w:ind w:left="62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000" w:type="dxa"/>
            <w:vAlign w:val="bottom"/>
          </w:tcPr>
          <w:p>
            <w:pPr>
              <w:ind w:left="1620"/>
              <w:spacing w:after="0"/>
              <w:rPr>
                <w:sz w:val="20"/>
                <w:szCs w:val="20"/>
                <w:color w:val="auto"/>
              </w:rPr>
            </w:pPr>
            <w:r>
              <w:rPr>
                <w:rFonts w:ascii="Arial" w:cs="Arial" w:eastAsia="Arial" w:hAnsi="Arial"/>
                <w:sz w:val="14"/>
                <w:szCs w:val="14"/>
                <w:b w:val="1"/>
                <w:bCs w:val="1"/>
                <w:color w:val="auto"/>
              </w:rPr>
              <w:t>Exhibit Description</w:t>
            </w:r>
          </w:p>
        </w:tc>
      </w:tr>
      <w:tr>
        <w:trPr>
          <w:trHeight w:val="472"/>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Press release dated March 13, 2019</w:t>
              </w:r>
            </w:hyperlink>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ectPr>
          <w:pgSz w:w="11900" w:h="16838" w:orient="portrait"/>
          <w:cols w:equalWidth="0" w:num="1">
            <w:col w:w="11400"/>
          </w:cols>
          <w:pgMar w:left="240" w:top="688" w:right="259" w:bottom="1440" w:gutter="0" w:footer="0" w:header="0"/>
        </w:sectPr>
      </w:pPr>
    </w:p>
    <w:bookmarkStart w:id="5" w:name="page6"/>
    <w:bookmarkEnd w:id="5"/>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March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Heidi Garfield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Heidi Garfield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VP, General Counsel and Corporate Secretary</w:t>
      </w:r>
    </w:p>
    <w:p>
      <w:pPr>
        <w:sectPr>
          <w:pgSz w:w="11900" w:h="16838" w:orient="portrait"/>
          <w:cols w:equalWidth="0" w:num="1">
            <w:col w:w="10740"/>
          </w:cols>
          <w:pgMar w:left="240" w:top="688" w:right="919" w:bottom="1440" w:gutter="0" w:footer="0" w:header="0"/>
        </w:sectPr>
      </w:pPr>
    </w:p>
    <w:bookmarkStart w:id="6" w:name="page7"/>
    <w:bookmarkEnd w:id="6"/>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1847215</wp:posOffset>
            </wp:positionH>
            <wp:positionV relativeFrom="page">
              <wp:posOffset>243205</wp:posOffset>
            </wp:positionV>
            <wp:extent cx="387604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876040" cy="54864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Shutterstock Announces Stan Pavlovsky to Join as Co-Chief Operating Officer</w:t>
      </w:r>
    </w:p>
    <w:p>
      <w:pPr>
        <w:spacing w:after="0" w:line="323"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b w:val="1"/>
          <w:bCs w:val="1"/>
          <w:color w:val="auto"/>
        </w:rPr>
        <w:t xml:space="preserve">NEW YORK, NY </w:t>
      </w:r>
      <w:r>
        <w:rPr>
          <w:rFonts w:ascii="Arial" w:cs="Arial" w:eastAsia="Arial" w:hAnsi="Arial"/>
          <w:sz w:val="20"/>
          <w:szCs w:val="20"/>
          <w:i w:val="1"/>
          <w:iCs w:val="1"/>
          <w:color w:val="auto"/>
        </w:rPr>
        <w:t>March 13, 2019</w:t>
      </w:r>
      <w:r>
        <w:rPr>
          <w:rFonts w:ascii="Arial" w:cs="Arial" w:eastAsia="Arial" w:hAnsi="Arial"/>
          <w:sz w:val="20"/>
          <w:szCs w:val="20"/>
          <w:b w:val="1"/>
          <w:bCs w:val="1"/>
          <w:color w:val="auto"/>
        </w:rPr>
        <w:t xml:space="preserve"> </w:t>
      </w:r>
      <w:r>
        <w:rPr>
          <w:rFonts w:ascii="Arial" w:cs="Arial" w:eastAsia="Arial" w:hAnsi="Arial"/>
          <w:sz w:val="20"/>
          <w:szCs w:val="20"/>
          <w:color w:val="auto"/>
        </w:rPr>
        <w:t>-- Shutterstock, Inc. (NYSE: SSTK), a leading global technology company offering high-quality</w:t>
      </w:r>
      <w:r>
        <w:rPr>
          <w:rFonts w:ascii="Arial" w:cs="Arial" w:eastAsia="Arial" w:hAnsi="Arial"/>
          <w:sz w:val="20"/>
          <w:szCs w:val="20"/>
          <w:b w:val="1"/>
          <w:bCs w:val="1"/>
          <w:color w:val="auto"/>
        </w:rPr>
        <w:t xml:space="preserve"> </w:t>
      </w:r>
      <w:r>
        <w:rPr>
          <w:rFonts w:ascii="Arial" w:cs="Arial" w:eastAsia="Arial" w:hAnsi="Arial"/>
          <w:sz w:val="20"/>
          <w:szCs w:val="20"/>
          <w:color w:val="auto"/>
        </w:rPr>
        <w:t>assets, tools and services through its creative platform, today announced the appointment of Stan Pavlovsky in the newly created role of Co-Chief Operating Officer and Head of Strategic Operations responsible for overseeing product, marketing and technology.</w:t>
      </w:r>
    </w:p>
    <w:p>
      <w:pPr>
        <w:spacing w:after="0" w:line="255"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“Stan is a seasoned executive with extensive experience successfully growing and leading eCommerce, retail, and digital media businesses. In this role Stan will be responsible for ensuring tighter alignment among product, marketing and technology while driving continuous improvement of the customer and contributor experience,” said Jon Oringer, Founder and CEO of Shutterstock. “Stan will bring his energy and passion to drive the growth of the business, the successful implementation of Shutterstock’s vision to be the leading creative platform, and the execution of operational goals. This appointment will enable me to focus on long-term strategy and innovation, ensuring Shutterstock’s continued competitiveness and position of strength in this dynamic and vibrant industry.”</w:t>
      </w:r>
    </w:p>
    <w:p>
      <w:pPr>
        <w:spacing w:after="0" w:line="236"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Stan brings decades of experience, most recently serving as President of Meredith Digital and Executive Vice President, Meredith Corporation, a media company that is home to leading national brands, including PEOPLE, Better Homes &amp; Gardens, InStyle, REAL SIMPLE and Martha Stewart Living. He was responsible for leading Meredith’s core digital assets, including its sites and products, strategy, content, sales and its creative studio, The Foundry. Prior to that role, Stan successfully led strategy and development for Meredith’s largest digital food enterprise, Allrecipes.com, as the brand’s President.</w:t>
      </w:r>
    </w:p>
    <w:p>
      <w:pPr>
        <w:spacing w:after="0" w:line="238" w:lineRule="exact"/>
        <w:rPr>
          <w:sz w:val="20"/>
          <w:szCs w:val="20"/>
          <w:color w:val="auto"/>
        </w:rPr>
      </w:pPr>
    </w:p>
    <w:p>
      <w:pPr>
        <w:ind w:right="180"/>
        <w:spacing w:after="0" w:line="317" w:lineRule="auto"/>
        <w:rPr>
          <w:sz w:val="20"/>
          <w:szCs w:val="20"/>
          <w:color w:val="auto"/>
        </w:rPr>
      </w:pPr>
      <w:r>
        <w:rPr>
          <w:rFonts w:ascii="Arial" w:cs="Arial" w:eastAsia="Arial" w:hAnsi="Arial"/>
          <w:sz w:val="19"/>
          <w:szCs w:val="19"/>
          <w:color w:val="auto"/>
        </w:rPr>
        <w:t>Stan will work in partnership with Steven Berns who continues as Co-Chief Operating Officer and Chief Financial Officer and will continue to lead Business Operations, Sales, Finance, Legal, and Content with the addition of the Human Resources group.</w:t>
      </w:r>
    </w:p>
    <w:p>
      <w:pPr>
        <w:spacing w:after="0" w:line="206" w:lineRule="exact"/>
        <w:rPr>
          <w:sz w:val="20"/>
          <w:szCs w:val="20"/>
          <w:color w:val="auto"/>
        </w:rPr>
      </w:pPr>
    </w:p>
    <w:p>
      <w:pPr>
        <w:ind w:right="160"/>
        <w:spacing w:after="0" w:line="284" w:lineRule="auto"/>
        <w:rPr>
          <w:sz w:val="20"/>
          <w:szCs w:val="20"/>
          <w:color w:val="auto"/>
        </w:rPr>
      </w:pPr>
      <w:r>
        <w:rPr>
          <w:rFonts w:ascii="Arial" w:cs="Arial" w:eastAsia="Arial" w:hAnsi="Arial"/>
          <w:sz w:val="20"/>
          <w:szCs w:val="20"/>
          <w:color w:val="auto"/>
        </w:rPr>
        <w:t>Commenting on his new role, Stan Pavlovsky said “I am extremely excited to join Shutterstock, a company with a long history of delivering innovative creative products for marketers and with huge potential to grow in the industry. Content and creative solutions have become business critical for companies to succeed, and Shutterstock is uniquely positioned to support them from an eCommerce perspective and through its enterprise solutions.”</w:t>
      </w:r>
    </w:p>
    <w:p>
      <w:pPr>
        <w:sectPr>
          <w:pgSz w:w="11900" w:h="16838" w:orient="portrait"/>
          <w:cols w:equalWidth="0" w:num="1">
            <w:col w:w="11380"/>
          </w:cols>
          <w:pgMar w:left="240" w:top="1440" w:right="27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Stan will join Shutterstock on April 1, 2019, reporting directly into Jon Oringer.</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Shutterstock, Inc.</w:t>
      </w:r>
    </w:p>
    <w:p>
      <w:pPr>
        <w:spacing w:after="0" w:line="64"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Shutterstock, Inc. (NYSE: SSTK), directly and through its group subsidiaries, is a leading global provider of high-quality licensed photographs, vectors, illustrations, videos and music to businesses, marketing agencies and media organizations around the world. Working with its growing community of over 650,000 contributors, Shutterstock adds hundreds of thousands of images each week, and currently has more than 250 million images and more than 13 million video clips available.</w:t>
      </w:r>
    </w:p>
    <w:p>
      <w:pPr>
        <w:spacing w:after="0" w:line="262" w:lineRule="exact"/>
        <w:rPr>
          <w:sz w:val="20"/>
          <w:szCs w:val="20"/>
          <w:color w:val="auto"/>
        </w:rPr>
      </w:pPr>
    </w:p>
    <w:p>
      <w:pPr>
        <w:ind w:right="40"/>
        <w:spacing w:after="0" w:line="284" w:lineRule="auto"/>
        <w:rPr>
          <w:sz w:val="20"/>
          <w:szCs w:val="20"/>
          <w:color w:val="auto"/>
        </w:rPr>
      </w:pPr>
      <w:r>
        <w:rPr>
          <w:rFonts w:ascii="Arial" w:cs="Arial" w:eastAsia="Arial" w:hAnsi="Arial"/>
          <w:sz w:val="20"/>
          <w:szCs w:val="20"/>
          <w:color w:val="auto"/>
        </w:rPr>
        <w:t>Shutterstock has offices around the world and customers in more than 150 countries. The company’s brands also include Bigstock, a value-oriented stock media offering; Shutterstock Custom, a custom content creation platform; Offset, a high-end image collection; PremiumBeat a curated royalty-free music library; and Rex Features, a premier source of editorial images for the world's media.</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www.shutterstock.com and follow Shutterstock on Twitter and on Facebook.</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PROVISION</w:t>
      </w:r>
    </w:p>
    <w:p>
      <w:pPr>
        <w:spacing w:after="0" w:line="348" w:lineRule="exact"/>
        <w:rPr>
          <w:sz w:val="20"/>
          <w:szCs w:val="20"/>
          <w:color w:val="auto"/>
        </w:rPr>
      </w:pPr>
    </w:p>
    <w:p>
      <w:pPr>
        <w:ind w:right="180"/>
        <w:spacing w:after="0" w:line="282" w:lineRule="auto"/>
        <w:rPr>
          <w:sz w:val="20"/>
          <w:szCs w:val="20"/>
          <w:color w:val="auto"/>
        </w:rPr>
      </w:pPr>
      <w:r>
        <w:rPr>
          <w:rFonts w:ascii="Arial" w:cs="Arial" w:eastAsia="Arial" w:hAnsi="Arial"/>
          <w:sz w:val="20"/>
          <w:szCs w:val="20"/>
          <w:color w:val="auto"/>
        </w:rPr>
        <w:t>Statements in this press release regarding management's future expectations, predictions, beliefs, goals, intentions, plans, prospects or strategies may constitute forward looking statements within the meaning of the Private Securities Litigation Reform Act of 1995 and other federal securities laws. Such forward-looking statements are subject to known and unknown risks, uncertainties and other factors including risks related to any changes to or the effects on liabilities, financial condition, future capital expenditures, revenue, expenses, net income or loss, synergies and future prospects; our inability to continue to attract and retain customers and contributors to our online marketplace for creative content; competitive factors; our inability to innovate technologically or develop, market and offer new products and services; costs related to litigation or infringement claims, indemnification claims and the inability to prevent misuse of our digital content; our inability to increase market awareness of Shutterstock and our products and services; our inability to effectively manage our growth; our inability to grow at historic growth rates or at all; technological interruptions that impair access to our websites; assertions by third parties of infringement of intellectual property rights by Shutterstock, our inability to effectively manage risks associated with operating internationally; our exposure to foreign exchange rate risk; our inability to address risks associated with sales to large corporate customers; government regulation of the internet; increasing regulation related to the handling of personal data; actions by governments to restrict access to our products and services; our inability to effectively expand our operations into new products, services and technologies; our inability to protect the confidential information of customers; increased tax liabilities associated with our worldwide operations, including our exposure to withholding, sales and transaction tax liabilities; the effect of the TCJA; general economic and political conditions worldwide; our</w:t>
      </w:r>
    </w:p>
    <w:p>
      <w:pPr>
        <w:sectPr>
          <w:pgSz w:w="11900" w:h="16838" w:orient="portrait"/>
          <w:cols w:equalWidth="0" w:num="1">
            <w:col w:w="11420"/>
          </w:cols>
          <w:pgMar w:left="240" w:top="649" w:right="239" w:bottom="1440" w:gutter="0" w:footer="0" w:header="0"/>
        </w:sectPr>
      </w:pPr>
    </w:p>
    <w:bookmarkStart w:id="8" w:name="page9"/>
    <w:bookmarkEnd w:id="8"/>
    <w:p>
      <w:pPr>
        <w:spacing w:after="0" w:line="282" w:lineRule="auto"/>
        <w:rPr>
          <w:sz w:val="20"/>
          <w:szCs w:val="20"/>
          <w:color w:val="auto"/>
        </w:rPr>
      </w:pPr>
      <w:r>
        <w:rPr>
          <w:rFonts w:ascii="Arial" w:cs="Arial" w:eastAsia="Arial" w:hAnsi="Arial"/>
          <w:sz w:val="20"/>
          <w:szCs w:val="20"/>
          <w:color w:val="auto"/>
        </w:rPr>
        <w:t>inability to successfully integrate acquisitions and the associated technology and achieve operational efficiencies; and other factors and risks discussed under the heading "Risk Factors" in our most recent Annual Report on Form 10-K, as well as in other documents that may be filed by Shutterstock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Press Contact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Siobhan Aalders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press@shutterstock.com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917-563-4991</w:t>
      </w:r>
    </w:p>
    <w:sectPr>
      <w:pgSz w:w="11900" w:h="16838" w:orient="portrait"/>
      <w:cols w:equalWidth="0" w:num="1">
        <w:col w:w="11300"/>
      </w:cols>
      <w:pgMar w:left="240" w:top="4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2019-12-28T14:56:38Z</dcterms:created>
  <dcterms:modified xsi:type="dcterms:W3CDTF">2019-12-28T14:56:38Z</dcterms:modified>
</cp:coreProperties>
</file>