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left="420"/>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157480</wp:posOffset>
            </wp:positionH>
            <wp:positionV relativeFrom="page">
              <wp:posOffset>697865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603250</wp:posOffset>
            </wp:positionV>
            <wp:extent cx="72466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
                    </a:xfrm>
                    <a:prstGeom prst="rect">
                      <a:avLst/>
                    </a:prstGeom>
                    <a:noFill/>
                  </pic:spPr>
                </pic:pic>
              </a:graphicData>
            </a:graphic>
          </wp:anchor>
        </w:drawing>
        <w:t>UNITED STATES</w:t>
      </w:r>
    </w:p>
    <w:p>
      <w:pPr>
        <w:spacing w:after="0" w:line="112" w:lineRule="exact"/>
        <w:rPr>
          <w:sz w:val="24"/>
          <w:szCs w:val="24"/>
          <w:color w:val="auto"/>
        </w:rPr>
      </w:pPr>
    </w:p>
    <w:p>
      <w:pPr>
        <w:jc w:val="center"/>
        <w:ind w:left="420"/>
        <w:spacing w:after="0"/>
        <w:rPr>
          <w:sz w:val="20"/>
          <w:szCs w:val="20"/>
          <w:color w:val="auto"/>
        </w:rPr>
      </w:pPr>
      <w:r>
        <w:rPr>
          <w:rFonts w:ascii="Arial" w:cs="Arial" w:eastAsia="Arial" w:hAnsi="Arial"/>
          <w:sz w:val="29"/>
          <w:szCs w:val="29"/>
          <w:b w:val="1"/>
          <w:bCs w:val="1"/>
          <w:color w:val="auto"/>
        </w:rPr>
        <w:t>SECURITIES AND EXCHANGE COMMISSION</w:t>
      </w:r>
    </w:p>
    <w:p>
      <w:pPr>
        <w:spacing w:after="0" w:line="126" w:lineRule="exact"/>
        <w:rPr>
          <w:sz w:val="24"/>
          <w:szCs w:val="24"/>
          <w:color w:val="auto"/>
        </w:rPr>
      </w:pPr>
    </w:p>
    <w:p>
      <w:pPr>
        <w:ind w:left="4980"/>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1454150</wp:posOffset>
            </wp:positionH>
            <wp:positionV relativeFrom="paragraph">
              <wp:posOffset>172085</wp:posOffset>
            </wp:positionV>
            <wp:extent cx="434784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34784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5" w:lineRule="exact"/>
        <w:rPr>
          <w:sz w:val="24"/>
          <w:szCs w:val="24"/>
          <w:color w:val="auto"/>
        </w:rPr>
      </w:pPr>
    </w:p>
    <w:p>
      <w:pPr>
        <w:jc w:val="center"/>
        <w:ind w:right="-45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1454150</wp:posOffset>
            </wp:positionH>
            <wp:positionV relativeFrom="paragraph">
              <wp:posOffset>273050</wp:posOffset>
            </wp:positionV>
            <wp:extent cx="434784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4347845" cy="8890"/>
                    </a:xfrm>
                    <a:prstGeom prst="rect">
                      <a:avLst/>
                    </a:prstGeom>
                    <a:noFill/>
                  </pic:spPr>
                </pic:pic>
              </a:graphicData>
            </a:graphic>
          </wp:anchor>
        </w:drawing>
      </w:r>
    </w:p>
    <w:p>
      <w:pPr>
        <w:spacing w:after="0" w:line="200" w:lineRule="exact"/>
        <w:rPr>
          <w:sz w:val="24"/>
          <w:szCs w:val="24"/>
          <w:color w:val="auto"/>
        </w:rPr>
      </w:pPr>
    </w:p>
    <w:p>
      <w:pPr>
        <w:spacing w:after="0" w:line="223" w:lineRule="exact"/>
        <w:rPr>
          <w:sz w:val="24"/>
          <w:szCs w:val="24"/>
          <w:color w:val="auto"/>
        </w:rPr>
      </w:pPr>
    </w:p>
    <w:p>
      <w:pPr>
        <w:jc w:val="center"/>
        <w:ind w:right="-459"/>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459"/>
        <w:spacing w:after="0"/>
        <w:rPr>
          <w:sz w:val="20"/>
          <w:szCs w:val="20"/>
          <w:color w:val="auto"/>
        </w:rPr>
      </w:pPr>
      <w:r>
        <w:rPr>
          <w:rFonts w:ascii="Arial" w:cs="Arial" w:eastAsia="Arial" w:hAnsi="Arial"/>
          <w:sz w:val="22"/>
          <w:szCs w:val="22"/>
          <w:b w:val="1"/>
          <w:bCs w:val="1"/>
          <w:color w:val="auto"/>
        </w:rPr>
        <w:t>Pursuant to Section 13 or 15(d) of the</w:t>
      </w:r>
    </w:p>
    <w:p>
      <w:pPr>
        <w:jc w:val="center"/>
        <w:ind w:right="-459"/>
        <w:spacing w:after="0"/>
        <w:rPr>
          <w:sz w:val="20"/>
          <w:szCs w:val="20"/>
          <w:color w:val="auto"/>
        </w:rPr>
      </w:pPr>
      <w:r>
        <w:rPr>
          <w:rFonts w:ascii="Arial" w:cs="Arial" w:eastAsia="Arial" w:hAnsi="Arial"/>
          <w:sz w:val="22"/>
          <w:szCs w:val="22"/>
          <w:b w:val="1"/>
          <w:bCs w:val="1"/>
          <w:color w:val="auto"/>
        </w:rPr>
        <w:t>Securities Exchange Act of 1934</w:t>
      </w:r>
    </w:p>
    <w:p>
      <w:pPr>
        <w:spacing w:after="0" w:line="29" w:lineRule="exact"/>
        <w:rPr>
          <w:sz w:val="24"/>
          <w:szCs w:val="24"/>
          <w:color w:val="auto"/>
        </w:rPr>
      </w:pPr>
    </w:p>
    <w:p>
      <w:pPr>
        <w:jc w:val="center"/>
        <w:ind w:right="-219"/>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July 11, 2016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1454150</wp:posOffset>
            </wp:positionH>
            <wp:positionV relativeFrom="paragraph">
              <wp:posOffset>34290</wp:posOffset>
            </wp:positionV>
            <wp:extent cx="434784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4347845" cy="8890"/>
                    </a:xfrm>
                    <a:prstGeom prst="rect">
                      <a:avLst/>
                    </a:prstGeom>
                    <a:noFill/>
                  </pic:spPr>
                </pic:pic>
              </a:graphicData>
            </a:graphic>
          </wp:anchor>
        </w:drawing>
      </w:r>
    </w:p>
    <w:p>
      <w:pPr>
        <w:spacing w:after="0" w:line="398" w:lineRule="exact"/>
        <w:rPr>
          <w:sz w:val="24"/>
          <w:szCs w:val="24"/>
          <w:color w:val="auto"/>
        </w:rPr>
      </w:pPr>
    </w:p>
    <w:p>
      <w:pPr>
        <w:jc w:val="center"/>
        <w:ind w:right="-459"/>
        <w:spacing w:after="0"/>
        <w:rPr>
          <w:sz w:val="20"/>
          <w:szCs w:val="20"/>
          <w:color w:val="auto"/>
        </w:rPr>
      </w:pPr>
      <w:r>
        <w:rPr>
          <w:rFonts w:ascii="Arial" w:cs="Arial" w:eastAsia="Arial" w:hAnsi="Arial"/>
          <w:sz w:val="32"/>
          <w:szCs w:val="32"/>
          <w:b w:val="1"/>
          <w:bCs w:val="1"/>
          <w:color w:val="auto"/>
        </w:rPr>
        <w:t>Shutterstock, Inc.</w:t>
      </w:r>
    </w:p>
    <w:p>
      <w:pPr>
        <w:spacing w:after="0" w:line="40" w:lineRule="exact"/>
        <w:rPr>
          <w:sz w:val="24"/>
          <w:szCs w:val="24"/>
          <w:color w:val="auto"/>
        </w:rPr>
      </w:pPr>
    </w:p>
    <w:p>
      <w:pPr>
        <w:ind w:left="3840"/>
        <w:spacing w:after="0"/>
        <w:rPr>
          <w:sz w:val="20"/>
          <w:szCs w:val="20"/>
          <w:color w:val="auto"/>
        </w:rPr>
      </w:pPr>
      <w:r>
        <w:rPr>
          <w:rFonts w:ascii="Arial" w:cs="Arial" w:eastAsia="Arial" w:hAnsi="Arial"/>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1454150</wp:posOffset>
            </wp:positionH>
            <wp:positionV relativeFrom="paragraph">
              <wp:posOffset>159385</wp:posOffset>
            </wp:positionV>
            <wp:extent cx="434784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4347845" cy="8890"/>
                    </a:xfrm>
                    <a:prstGeom prst="rect">
                      <a:avLst/>
                    </a:prstGeom>
                    <a:noFill/>
                  </pic:spPr>
                </pic:pic>
              </a:graphicData>
            </a:graphic>
          </wp:anchor>
        </w:drawing>
      </w:r>
    </w:p>
    <w:p>
      <w:pPr>
        <w:spacing w:after="0" w:line="200" w:lineRule="exact"/>
        <w:rPr>
          <w:sz w:val="24"/>
          <w:szCs w:val="24"/>
          <w:color w:val="auto"/>
        </w:rPr>
      </w:pPr>
    </w:p>
    <w:p>
      <w:pPr>
        <w:spacing w:after="0" w:line="296" w:lineRule="exact"/>
        <w:rPr>
          <w:sz w:val="24"/>
          <w:szCs w:val="24"/>
          <w:color w:val="auto"/>
        </w:rPr>
      </w:pPr>
    </w:p>
    <w:tbl>
      <w:tblPr>
        <w:tblLayout w:type="fixed"/>
        <w:tblInd w:w="960" w:type="dxa"/>
        <w:tblCellMar>
          <w:top w:w="0" w:type="dxa"/>
          <w:left w:w="0" w:type="dxa"/>
          <w:bottom w:w="0" w:type="dxa"/>
          <w:right w:w="0" w:type="dxa"/>
        </w:tblCellMar>
      </w:tblPr>
      <w:tr>
        <w:trPr>
          <w:trHeight w:val="234"/>
        </w:trPr>
        <w:tc>
          <w:tcPr>
            <w:tcW w:w="2920" w:type="dxa"/>
            <w:vAlign w:val="bottom"/>
          </w:tcPr>
          <w:p>
            <w:pPr>
              <w:jc w:val="center"/>
              <w:ind w:right="1322"/>
              <w:spacing w:after="0"/>
              <w:rPr>
                <w:sz w:val="20"/>
                <w:szCs w:val="20"/>
                <w:color w:val="auto"/>
              </w:rPr>
            </w:pPr>
            <w:r>
              <w:rPr>
                <w:rFonts w:ascii="Arial" w:cs="Arial" w:eastAsia="Arial" w:hAnsi="Arial"/>
                <w:sz w:val="18"/>
                <w:szCs w:val="18"/>
                <w:b w:val="1"/>
                <w:bCs w:val="1"/>
                <w:color w:val="auto"/>
                <w:w w:val="91"/>
              </w:rPr>
              <w:t>Delaware</w:t>
            </w:r>
          </w:p>
        </w:tc>
        <w:tc>
          <w:tcPr>
            <w:tcW w:w="3700" w:type="dxa"/>
            <w:vAlign w:val="bottom"/>
          </w:tcPr>
          <w:p>
            <w:pPr>
              <w:ind w:left="1400"/>
              <w:spacing w:after="0"/>
              <w:rPr>
                <w:sz w:val="20"/>
                <w:szCs w:val="20"/>
                <w:color w:val="auto"/>
              </w:rPr>
            </w:pPr>
            <w:r>
              <w:rPr>
                <w:rFonts w:ascii="Arial" w:cs="Arial" w:eastAsia="Arial" w:hAnsi="Arial"/>
                <w:sz w:val="18"/>
                <w:szCs w:val="18"/>
                <w:b w:val="1"/>
                <w:bCs w:val="1"/>
                <w:color w:val="auto"/>
              </w:rPr>
              <w:t>001-35669</w:t>
            </w:r>
          </w:p>
        </w:tc>
        <w:tc>
          <w:tcPr>
            <w:tcW w:w="2620" w:type="dxa"/>
            <w:vAlign w:val="bottom"/>
          </w:tcPr>
          <w:p>
            <w:pPr>
              <w:jc w:val="center"/>
              <w:ind w:left="1462"/>
              <w:spacing w:after="0"/>
              <w:rPr>
                <w:sz w:val="20"/>
                <w:szCs w:val="20"/>
                <w:color w:val="auto"/>
              </w:rPr>
            </w:pPr>
            <w:r>
              <w:rPr>
                <w:rFonts w:ascii="Arial" w:cs="Arial" w:eastAsia="Arial" w:hAnsi="Arial"/>
                <w:sz w:val="18"/>
                <w:szCs w:val="18"/>
                <w:b w:val="1"/>
                <w:bCs w:val="1"/>
                <w:color w:val="auto"/>
                <w:w w:val="91"/>
              </w:rPr>
              <w:t>80-0812659</w:t>
            </w:r>
          </w:p>
        </w:tc>
      </w:tr>
      <w:tr>
        <w:trPr>
          <w:trHeight w:val="184"/>
        </w:trPr>
        <w:tc>
          <w:tcPr>
            <w:tcW w:w="2920" w:type="dxa"/>
            <w:vAlign w:val="bottom"/>
          </w:tcPr>
          <w:p>
            <w:pPr>
              <w:jc w:val="center"/>
              <w:ind w:right="1322"/>
              <w:spacing w:after="0"/>
              <w:rPr>
                <w:sz w:val="20"/>
                <w:szCs w:val="20"/>
                <w:color w:val="auto"/>
              </w:rPr>
            </w:pPr>
            <w:r>
              <w:rPr>
                <w:rFonts w:ascii="Arial" w:cs="Arial" w:eastAsia="Arial" w:hAnsi="Arial"/>
                <w:sz w:val="14"/>
                <w:szCs w:val="14"/>
                <w:color w:val="auto"/>
                <w:w w:val="95"/>
              </w:rPr>
              <w:t>(State or other jurisdiction</w:t>
            </w:r>
          </w:p>
        </w:tc>
        <w:tc>
          <w:tcPr>
            <w:tcW w:w="3700" w:type="dxa"/>
            <w:vAlign w:val="bottom"/>
          </w:tcPr>
          <w:p>
            <w:pPr>
              <w:ind w:left="1400"/>
              <w:spacing w:after="0"/>
              <w:rPr>
                <w:sz w:val="20"/>
                <w:szCs w:val="20"/>
                <w:color w:val="auto"/>
              </w:rPr>
            </w:pPr>
            <w:r>
              <w:rPr>
                <w:rFonts w:ascii="Arial" w:cs="Arial" w:eastAsia="Arial" w:hAnsi="Arial"/>
                <w:sz w:val="14"/>
                <w:szCs w:val="14"/>
                <w:color w:val="auto"/>
              </w:rPr>
              <w:t>(Commission</w:t>
            </w:r>
          </w:p>
        </w:tc>
        <w:tc>
          <w:tcPr>
            <w:tcW w:w="2620" w:type="dxa"/>
            <w:vAlign w:val="bottom"/>
          </w:tcPr>
          <w:p>
            <w:pPr>
              <w:jc w:val="center"/>
              <w:ind w:left="1462"/>
              <w:spacing w:after="0"/>
              <w:rPr>
                <w:sz w:val="20"/>
                <w:szCs w:val="20"/>
                <w:color w:val="auto"/>
              </w:rPr>
            </w:pPr>
            <w:r>
              <w:rPr>
                <w:rFonts w:ascii="Arial" w:cs="Arial" w:eastAsia="Arial" w:hAnsi="Arial"/>
                <w:sz w:val="14"/>
                <w:szCs w:val="14"/>
                <w:color w:val="auto"/>
                <w:w w:val="96"/>
              </w:rPr>
              <w:t>(IRS Employer</w:t>
            </w:r>
          </w:p>
        </w:tc>
      </w:tr>
      <w:tr>
        <w:trPr>
          <w:trHeight w:val="182"/>
        </w:trPr>
        <w:tc>
          <w:tcPr>
            <w:tcW w:w="2920" w:type="dxa"/>
            <w:vAlign w:val="bottom"/>
          </w:tcPr>
          <w:p>
            <w:pPr>
              <w:jc w:val="center"/>
              <w:ind w:right="1302"/>
              <w:spacing w:after="0"/>
              <w:rPr>
                <w:sz w:val="20"/>
                <w:szCs w:val="20"/>
                <w:color w:val="auto"/>
              </w:rPr>
            </w:pPr>
            <w:r>
              <w:rPr>
                <w:rFonts w:ascii="Arial" w:cs="Arial" w:eastAsia="Arial" w:hAnsi="Arial"/>
                <w:sz w:val="14"/>
                <w:szCs w:val="14"/>
                <w:color w:val="auto"/>
                <w:w w:val="96"/>
              </w:rPr>
              <w:t>of incorporation)</w:t>
            </w:r>
          </w:p>
        </w:tc>
        <w:tc>
          <w:tcPr>
            <w:tcW w:w="3700" w:type="dxa"/>
            <w:vAlign w:val="bottom"/>
          </w:tcPr>
          <w:p>
            <w:pPr>
              <w:ind w:left="1400"/>
              <w:spacing w:after="0"/>
              <w:rPr>
                <w:sz w:val="20"/>
                <w:szCs w:val="20"/>
                <w:color w:val="auto"/>
              </w:rPr>
            </w:pPr>
            <w:r>
              <w:rPr>
                <w:rFonts w:ascii="Arial" w:cs="Arial" w:eastAsia="Arial" w:hAnsi="Arial"/>
                <w:sz w:val="14"/>
                <w:szCs w:val="14"/>
                <w:color w:val="auto"/>
              </w:rPr>
              <w:t>File Number)</w:t>
            </w:r>
          </w:p>
        </w:tc>
        <w:tc>
          <w:tcPr>
            <w:tcW w:w="2620" w:type="dxa"/>
            <w:vAlign w:val="bottom"/>
          </w:tcPr>
          <w:p>
            <w:pPr>
              <w:jc w:val="center"/>
              <w:ind w:left="1462"/>
              <w:spacing w:after="0"/>
              <w:rPr>
                <w:sz w:val="20"/>
                <w:szCs w:val="20"/>
                <w:color w:val="auto"/>
              </w:rPr>
            </w:pPr>
            <w:r>
              <w:rPr>
                <w:rFonts w:ascii="Arial" w:cs="Arial" w:eastAsia="Arial" w:hAnsi="Arial"/>
                <w:sz w:val="14"/>
                <w:szCs w:val="14"/>
                <w:color w:val="auto"/>
                <w:w w:val="99"/>
              </w:rPr>
              <w:t>Identification No.)</w:t>
            </w:r>
          </w:p>
        </w:tc>
      </w:tr>
    </w:tbl>
    <w:p>
      <w:pPr>
        <w:spacing w:after="0" w:line="200" w:lineRule="exact"/>
        <w:rPr>
          <w:sz w:val="24"/>
          <w:szCs w:val="24"/>
          <w:color w:val="auto"/>
        </w:rPr>
      </w:pPr>
    </w:p>
    <w:p>
      <w:pPr>
        <w:spacing w:after="0" w:line="280" w:lineRule="exact"/>
        <w:rPr>
          <w:sz w:val="24"/>
          <w:szCs w:val="24"/>
          <w:color w:val="auto"/>
        </w:rPr>
      </w:pPr>
    </w:p>
    <w:p>
      <w:pPr>
        <w:jc w:val="center"/>
        <w:ind w:right="-459"/>
        <w:spacing w:after="0"/>
        <w:rPr>
          <w:sz w:val="20"/>
          <w:szCs w:val="20"/>
          <w:color w:val="auto"/>
        </w:rPr>
      </w:pPr>
      <w:r>
        <w:rPr>
          <w:rFonts w:ascii="Arial" w:cs="Arial" w:eastAsia="Arial" w:hAnsi="Arial"/>
          <w:sz w:val="18"/>
          <w:szCs w:val="18"/>
          <w:b w:val="1"/>
          <w:bCs w:val="1"/>
          <w:color w:val="auto"/>
        </w:rPr>
        <w:t>350 Fifth Avenue, 21st Floor</w:t>
      </w:r>
    </w:p>
    <w:p>
      <w:pPr>
        <w:spacing w:after="0" w:line="27" w:lineRule="exact"/>
        <w:rPr>
          <w:sz w:val="24"/>
          <w:szCs w:val="24"/>
          <w:color w:val="auto"/>
        </w:rPr>
      </w:pPr>
    </w:p>
    <w:p>
      <w:pPr>
        <w:jc w:val="center"/>
        <w:ind w:right="-459"/>
        <w:spacing w:after="0"/>
        <w:rPr>
          <w:sz w:val="20"/>
          <w:szCs w:val="20"/>
          <w:color w:val="auto"/>
        </w:rPr>
      </w:pPr>
      <w:r>
        <w:rPr>
          <w:rFonts w:ascii="Arial" w:cs="Arial" w:eastAsia="Arial" w:hAnsi="Arial"/>
          <w:sz w:val="18"/>
          <w:szCs w:val="18"/>
          <w:b w:val="1"/>
          <w:bCs w:val="1"/>
          <w:color w:val="auto"/>
        </w:rPr>
        <w:t>New York, New York 10118</w:t>
      </w:r>
    </w:p>
    <w:p>
      <w:pPr>
        <w:spacing w:after="0" w:line="9" w:lineRule="exact"/>
        <w:rPr>
          <w:sz w:val="24"/>
          <w:szCs w:val="24"/>
          <w:color w:val="auto"/>
        </w:rPr>
      </w:pPr>
    </w:p>
    <w:p>
      <w:pPr>
        <w:jc w:val="center"/>
        <w:ind w:right="-459"/>
        <w:spacing w:after="0"/>
        <w:rPr>
          <w:sz w:val="20"/>
          <w:szCs w:val="20"/>
          <w:color w:val="auto"/>
        </w:rPr>
      </w:pPr>
      <w:r>
        <w:rPr>
          <w:rFonts w:ascii="Arial" w:cs="Arial" w:eastAsia="Arial" w:hAnsi="Arial"/>
          <w:sz w:val="18"/>
          <w:szCs w:val="18"/>
          <w:color w:val="auto"/>
        </w:rPr>
        <w:t>(Address of principal executive offices, including zip code)</w:t>
      </w:r>
    </w:p>
    <w:p>
      <w:pPr>
        <w:spacing w:after="0" w:line="207" w:lineRule="exact"/>
        <w:rPr>
          <w:sz w:val="24"/>
          <w:szCs w:val="24"/>
          <w:color w:val="auto"/>
        </w:rPr>
      </w:pPr>
    </w:p>
    <w:p>
      <w:pPr>
        <w:jc w:val="center"/>
        <w:ind w:right="-459"/>
        <w:spacing w:after="0"/>
        <w:rPr>
          <w:sz w:val="20"/>
          <w:szCs w:val="20"/>
          <w:color w:val="auto"/>
        </w:rPr>
      </w:pPr>
      <w:r>
        <w:rPr>
          <w:rFonts w:ascii="Arial" w:cs="Arial" w:eastAsia="Arial" w:hAnsi="Arial"/>
          <w:sz w:val="18"/>
          <w:szCs w:val="18"/>
          <w:b w:val="1"/>
          <w:bCs w:val="1"/>
          <w:color w:val="auto"/>
        </w:rPr>
        <w:t>(646) 766-1855</w:t>
      </w:r>
    </w:p>
    <w:p>
      <w:pPr>
        <w:spacing w:after="0" w:line="27" w:lineRule="exact"/>
        <w:rPr>
          <w:sz w:val="24"/>
          <w:szCs w:val="24"/>
          <w:color w:val="auto"/>
        </w:rPr>
      </w:pPr>
    </w:p>
    <w:p>
      <w:pPr>
        <w:jc w:val="center"/>
        <w:ind w:right="-459"/>
        <w:spacing w:after="0"/>
        <w:rPr>
          <w:sz w:val="20"/>
          <w:szCs w:val="20"/>
          <w:color w:val="auto"/>
        </w:rPr>
      </w:pPr>
      <w:r>
        <w:rPr>
          <w:rFonts w:ascii="Arial" w:cs="Arial" w:eastAsia="Arial" w:hAnsi="Arial"/>
          <w:sz w:val="18"/>
          <w:szCs w:val="18"/>
          <w:color w:val="auto"/>
        </w:rPr>
        <w:t>(Registrant’s telephone number, including area code)</w:t>
      </w:r>
    </w:p>
    <w:p>
      <w:pPr>
        <w:spacing w:after="0" w:line="207" w:lineRule="exact"/>
        <w:rPr>
          <w:sz w:val="24"/>
          <w:szCs w:val="24"/>
          <w:color w:val="auto"/>
        </w:rPr>
      </w:pPr>
    </w:p>
    <w:p>
      <w:pPr>
        <w:jc w:val="center"/>
        <w:ind w:right="-459"/>
        <w:spacing w:after="0"/>
        <w:rPr>
          <w:sz w:val="20"/>
          <w:szCs w:val="20"/>
          <w:color w:val="auto"/>
        </w:rPr>
      </w:pPr>
      <w:r>
        <w:rPr>
          <w:rFonts w:ascii="Arial" w:cs="Arial" w:eastAsia="Arial" w:hAnsi="Arial"/>
          <w:sz w:val="18"/>
          <w:szCs w:val="18"/>
          <w:b w:val="1"/>
          <w:bCs w:val="1"/>
          <w:color w:val="auto"/>
        </w:rPr>
        <w:t>Not Applicable</w:t>
      </w:r>
    </w:p>
    <w:p>
      <w:pPr>
        <w:spacing w:after="0" w:line="27" w:lineRule="exact"/>
        <w:rPr>
          <w:sz w:val="24"/>
          <w:szCs w:val="24"/>
          <w:color w:val="auto"/>
        </w:rPr>
      </w:pPr>
    </w:p>
    <w:p>
      <w:pPr>
        <w:jc w:val="center"/>
        <w:ind w:right="-45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1609090</wp:posOffset>
            </wp:positionH>
            <wp:positionV relativeFrom="paragraph">
              <wp:posOffset>160020</wp:posOffset>
            </wp:positionV>
            <wp:extent cx="404749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4047490" cy="8890"/>
                    </a:xfrm>
                    <a:prstGeom prst="rect">
                      <a:avLst/>
                    </a:prstGeom>
                    <a:noFill/>
                  </pic:spPr>
                </pic:pic>
              </a:graphicData>
            </a:graphic>
          </wp:anchor>
        </w:drawing>
      </w:r>
    </w:p>
    <w:p>
      <w:pPr>
        <w:spacing w:after="0" w:line="339" w:lineRule="exact"/>
        <w:rPr>
          <w:sz w:val="24"/>
          <w:szCs w:val="24"/>
          <w:color w:val="auto"/>
        </w:rPr>
      </w:pPr>
    </w:p>
    <w:p>
      <w:pPr>
        <w:ind w:firstLine="405"/>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224" w:lineRule="exact"/>
        <w:rPr>
          <w:sz w:val="24"/>
          <w:szCs w:val="24"/>
          <w:color w:val="auto"/>
        </w:rPr>
      </w:pPr>
    </w:p>
    <w:p>
      <w:pPr>
        <w:ind w:left="720" w:hanging="685"/>
        <w:spacing w:after="0"/>
        <w:tabs>
          <w:tab w:leader="none" w:pos="72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63" w:lineRule="exact"/>
        <w:rPr>
          <w:rFonts w:ascii="Arial" w:cs="Arial" w:eastAsia="Arial" w:hAnsi="Arial"/>
          <w:sz w:val="18"/>
          <w:szCs w:val="18"/>
          <w:color w:val="auto"/>
        </w:rPr>
      </w:pPr>
    </w:p>
    <w:p>
      <w:pPr>
        <w:ind w:left="720" w:hanging="685"/>
        <w:spacing w:after="0"/>
        <w:tabs>
          <w:tab w:leader="none" w:pos="72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63" w:lineRule="exact"/>
        <w:rPr>
          <w:rFonts w:ascii="Arial" w:cs="Arial" w:eastAsia="Arial" w:hAnsi="Arial"/>
          <w:sz w:val="18"/>
          <w:szCs w:val="18"/>
          <w:color w:val="auto"/>
        </w:rPr>
      </w:pPr>
    </w:p>
    <w:p>
      <w:pPr>
        <w:ind w:left="720" w:hanging="685"/>
        <w:spacing w:after="0"/>
        <w:tabs>
          <w:tab w:leader="none" w:pos="72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63" w:lineRule="exact"/>
        <w:rPr>
          <w:rFonts w:ascii="Arial" w:cs="Arial" w:eastAsia="Arial" w:hAnsi="Arial"/>
          <w:sz w:val="18"/>
          <w:szCs w:val="18"/>
          <w:color w:val="auto"/>
        </w:rPr>
      </w:pPr>
    </w:p>
    <w:p>
      <w:pPr>
        <w:ind w:left="720" w:hanging="685"/>
        <w:spacing w:after="0"/>
        <w:tabs>
          <w:tab w:leader="none" w:pos="72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272415</wp:posOffset>
            </wp:positionV>
            <wp:extent cx="72466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186690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960"/>
          </w:cols>
          <w:pgMar w:left="240" w:top="1188" w:right="699" w:bottom="1440" w:gutter="0" w:footer="0" w:header="0"/>
        </w:sectPr>
      </w:pPr>
    </w:p>
    <w:bookmarkStart w:id="1" w:name="page2"/>
    <w:bookmarkEnd w:id="1"/>
    <w:p>
      <w:pPr>
        <w:ind w:left="1300" w:hanging="1255"/>
        <w:spacing w:after="0" w:line="282" w:lineRule="auto"/>
        <w:tabs>
          <w:tab w:leader="none" w:pos="1280" w:val="left"/>
        </w:tabs>
        <w:rPr>
          <w:sz w:val="20"/>
          <w:szCs w:val="20"/>
          <w:color w:val="auto"/>
        </w:rPr>
      </w:pPr>
      <w:r>
        <w:rPr>
          <w:rFonts w:ascii="Arial" w:cs="Arial" w:eastAsia="Arial" w:hAnsi="Arial"/>
          <w:sz w:val="18"/>
          <w:szCs w:val="18"/>
          <w:b w:val="1"/>
          <w:bCs w:val="1"/>
          <w:color w:val="auto"/>
        </w:rPr>
        <w:t>Item 5.02</w:t>
      </w:r>
      <w:r>
        <w:rPr>
          <w:sz w:val="20"/>
          <w:szCs w:val="20"/>
          <w:color w:val="auto"/>
        </w:rPr>
        <w:tab/>
      </w:r>
      <w:r>
        <w:rPr>
          <w:rFonts w:ascii="Arial" w:cs="Arial" w:eastAsia="Arial" w:hAnsi="Arial"/>
          <w:sz w:val="18"/>
          <w:szCs w:val="18"/>
          <w:b w:val="1"/>
          <w:bCs w:val="1"/>
          <w:color w:val="auto"/>
        </w:rPr>
        <w:t>Departure of Directors or Certain Officers; Election of Directors; Appointment of Certain Officers; Compensatory Arrangements of Certain Officers</w:t>
      </w:r>
    </w:p>
    <w:p>
      <w:pPr>
        <w:spacing w:after="0" w:line="85" w:lineRule="exact"/>
        <w:rPr>
          <w:sz w:val="20"/>
          <w:szCs w:val="20"/>
          <w:color w:val="auto"/>
        </w:rPr>
      </w:pPr>
    </w:p>
    <w:p>
      <w:pPr>
        <w:ind w:right="140" w:firstLine="405"/>
        <w:spacing w:after="0" w:line="264" w:lineRule="auto"/>
        <w:rPr>
          <w:sz w:val="20"/>
          <w:szCs w:val="20"/>
          <w:color w:val="auto"/>
        </w:rPr>
      </w:pPr>
      <w:r>
        <w:rPr>
          <w:rFonts w:ascii="Arial" w:cs="Arial" w:eastAsia="Arial" w:hAnsi="Arial"/>
          <w:sz w:val="18"/>
          <w:szCs w:val="18"/>
          <w:color w:val="auto"/>
        </w:rPr>
        <w:t>On July 11, 2016, Anshu Aggarwal, Chief Technology Officer of Shutterstock, Inc. (the “Company”), notified the Company of his decision to resign from his position, effective July 29, 2016, to spend more time with his family. The Company has commenced an external search for a Chief Technology Officer to succeed Mr. Aggarwal.</w:t>
      </w:r>
    </w:p>
    <w:p>
      <w:pPr>
        <w:sectPr>
          <w:pgSz w:w="11900" w:h="16838" w:orient="portrait"/>
          <w:cols w:equalWidth="0" w:num="1">
            <w:col w:w="11260"/>
          </w:cols>
          <w:pgMar w:left="240" w:top="850" w:right="399" w:bottom="1440" w:gutter="0" w:footer="0" w:header="0"/>
        </w:sectPr>
      </w:pPr>
    </w:p>
    <w:bookmarkStart w:id="2" w:name="page3"/>
    <w:bookmarkEnd w:id="2"/>
    <w:p>
      <w:pPr>
        <w:jc w:val="center"/>
        <w:ind w:right="-699"/>
        <w:spacing w:after="0"/>
        <w:rPr>
          <w:sz w:val="20"/>
          <w:szCs w:val="20"/>
          <w:color w:val="auto"/>
        </w:rPr>
      </w:pPr>
      <w:r>
        <w:rPr>
          <w:rFonts w:ascii="Arial" w:cs="Arial" w:eastAsia="Arial" w:hAnsi="Arial"/>
          <w:sz w:val="18"/>
          <w:szCs w:val="18"/>
          <w:b w:val="1"/>
          <w:bCs w:val="1"/>
          <w:color w:val="auto"/>
        </w:rPr>
        <w:t>SIGNATURE</w:t>
      </w:r>
    </w:p>
    <w:p>
      <w:pPr>
        <w:spacing w:after="0" w:line="27" w:lineRule="exact"/>
        <w:rPr>
          <w:sz w:val="20"/>
          <w:szCs w:val="20"/>
          <w:color w:val="auto"/>
        </w:rPr>
      </w:pPr>
    </w:p>
    <w:p>
      <w:pPr>
        <w:ind w:firstLine="450"/>
        <w:spacing w:after="0" w:line="261"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34"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SHUTTERSTOCK, INC.</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40"/>
        <w:spacing w:after="0"/>
        <w:tabs>
          <w:tab w:leader="none" w:pos="5600" w:val="left"/>
          <w:tab w:leader="none" w:pos="6180" w:val="left"/>
        </w:tabs>
        <w:rPr>
          <w:sz w:val="20"/>
          <w:szCs w:val="20"/>
          <w:color w:val="auto"/>
        </w:rPr>
      </w:pPr>
      <w:r>
        <w:rPr>
          <w:rFonts w:ascii="Arial" w:cs="Arial" w:eastAsia="Arial" w:hAnsi="Arial"/>
          <w:sz w:val="18"/>
          <w:szCs w:val="18"/>
          <w:color w:val="auto"/>
        </w:rPr>
        <w:t>Dated: July 14, 2016</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Laurie Harrison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3915410</wp:posOffset>
            </wp:positionH>
            <wp:positionV relativeFrom="paragraph">
              <wp:posOffset>31750</wp:posOffset>
            </wp:positionV>
            <wp:extent cx="331914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19145" cy="8890"/>
                    </a:xfrm>
                    <a:prstGeom prst="rect">
                      <a:avLst/>
                    </a:prstGeom>
                    <a:noFill/>
                  </pic:spPr>
                </pic:pic>
              </a:graphicData>
            </a:graphic>
          </wp:anchor>
        </w:drawing>
      </w:r>
    </w:p>
    <w:p>
      <w:pPr>
        <w:spacing w:after="0" w:line="57"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Laurie Harrison</w:t>
      </w:r>
    </w:p>
    <w:p>
      <w:pPr>
        <w:spacing w:after="0" w:line="6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VP, General Counsel and Secretary</w:t>
      </w:r>
    </w:p>
    <w:sectPr>
      <w:pgSz w:w="11900" w:h="16838" w:orient="portrait"/>
      <w:cols w:equalWidth="0" w:num="1">
        <w:col w:w="10740"/>
      </w:cols>
      <w:pgMar w:left="240" w:top="688" w:right="9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o"/>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2019-12-08T21:35:41Z</dcterms:created>
  <dcterms:modified xsi:type="dcterms:W3CDTF">2019-12-08T21:35:41Z</dcterms:modified>
</cp:coreProperties>
</file>