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457200</wp:posOffset>
            </wp:positionH>
            <wp:positionV relativeFrom="page">
              <wp:posOffset>1083310</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page">
              <wp:posOffset>457200</wp:posOffset>
            </wp:positionH>
            <wp:positionV relativeFrom="page">
              <wp:posOffset>1041400</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40"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112"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99060</wp:posOffset>
            </wp:positionV>
            <wp:extent cx="5715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4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46990</wp:posOffset>
            </wp:positionV>
            <wp:extent cx="5715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6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w:t>
      </w:r>
    </w:p>
    <w:p>
      <w:pPr>
        <w:spacing w:after="0" w:line="1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Securities Exchange Act of 1934</w:t>
      </w:r>
    </w:p>
    <w:p>
      <w:pPr>
        <w:spacing w:after="0" w:line="177"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48895</wp:posOffset>
            </wp:positionV>
            <wp:extent cx="5715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62"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32"/>
          <w:szCs w:val="32"/>
          <w:b w:val="1"/>
          <w:bCs w:val="1"/>
          <w:color w:val="auto"/>
        </w:rPr>
        <w:t>Shutterstock, Inc.</w:t>
      </w:r>
    </w:p>
    <w:p>
      <w:pPr>
        <w:spacing w:after="0" w:line="82"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60" w:type="dxa"/>
            <w:vAlign w:val="bottom"/>
            <w:gridSpan w:val="2"/>
          </w:tcPr>
          <w:p>
            <w:pPr>
              <w:jc w:val="center"/>
              <w:ind w:left="372"/>
              <w:spacing w:after="0"/>
              <w:rPr>
                <w:sz w:val="20"/>
                <w:szCs w:val="20"/>
                <w:color w:val="auto"/>
              </w:rPr>
            </w:pPr>
            <w:r>
              <w:rPr>
                <w:rFonts w:ascii="Times New Roman" w:cs="Times New Roman" w:eastAsia="Times New Roman" w:hAnsi="Times New Roman"/>
                <w:sz w:val="18"/>
                <w:szCs w:val="18"/>
                <w:b w:val="1"/>
                <w:bCs w:val="1"/>
                <w:color w:val="auto"/>
                <w:w w:val="97"/>
              </w:rPr>
              <w:t>001-35669</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80-0812659</w:t>
            </w:r>
          </w:p>
        </w:tc>
      </w:tr>
      <w:tr>
        <w:trPr>
          <w:trHeight w:val="27"/>
        </w:trPr>
        <w:tc>
          <w:tcPr>
            <w:tcW w:w="33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180"/>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(State or other jurisdiction of incorporation)</w:t>
            </w:r>
          </w:p>
        </w:tc>
        <w:tc>
          <w:tcPr>
            <w:tcW w:w="440" w:type="dxa"/>
            <w:vAlign w:val="bottom"/>
          </w:tcPr>
          <w:p>
            <w:pPr>
              <w:spacing w:after="0"/>
              <w:rPr>
                <w:sz w:val="15"/>
                <w:szCs w:val="15"/>
                <w:color w:val="auto"/>
              </w:rPr>
            </w:pPr>
          </w:p>
        </w:tc>
        <w:tc>
          <w:tcPr>
            <w:tcW w:w="444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color w:val="auto"/>
              </w:rPr>
              <w:t>(Commission File Number)</w:t>
            </w:r>
          </w:p>
        </w:tc>
        <w:tc>
          <w:tcPr>
            <w:tcW w:w="3000" w:type="dxa"/>
            <w:vAlign w:val="bottom"/>
          </w:tcPr>
          <w:p>
            <w:pPr>
              <w:jc w:val="center"/>
              <w:ind w:right="281"/>
              <w:spacing w:after="0"/>
              <w:rPr>
                <w:sz w:val="20"/>
                <w:szCs w:val="20"/>
                <w:color w:val="auto"/>
              </w:rPr>
            </w:pPr>
            <w:r>
              <w:rPr>
                <w:rFonts w:ascii="Times New Roman" w:cs="Times New Roman" w:eastAsia="Times New Roman" w:hAnsi="Times New Roman"/>
                <w:sz w:val="14"/>
                <w:szCs w:val="14"/>
                <w:color w:val="auto"/>
                <w:w w:val="99"/>
              </w:rPr>
              <w:t>(IRS Employer Identification No.)</w:t>
            </w:r>
          </w:p>
        </w:tc>
      </w:tr>
      <w:tr>
        <w:trPr>
          <w:trHeight w:val="411"/>
        </w:trPr>
        <w:tc>
          <w:tcPr>
            <w:tcW w:w="3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350 Fifth Avenue, 20th Floor</w:t>
            </w:r>
          </w:p>
        </w:tc>
        <w:tc>
          <w:tcPr>
            <w:tcW w:w="3000" w:type="dxa"/>
            <w:vAlign w:val="bottom"/>
          </w:tcPr>
          <w:p>
            <w:pPr>
              <w:spacing w:after="0"/>
              <w:rPr>
                <w:sz w:val="24"/>
                <w:szCs w:val="24"/>
                <w:color w:val="auto"/>
              </w:rPr>
            </w:pPr>
          </w:p>
        </w:tc>
      </w:tr>
      <w:tr>
        <w:trPr>
          <w:trHeight w:val="213"/>
        </w:trPr>
        <w:tc>
          <w:tcPr>
            <w:tcW w:w="3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5"/>
              </w:rPr>
              <w:t>New York, NY 10118</w:t>
            </w:r>
          </w:p>
        </w:tc>
        <w:tc>
          <w:tcPr>
            <w:tcW w:w="3000" w:type="dxa"/>
            <w:vAlign w:val="bottom"/>
          </w:tcPr>
          <w:p>
            <w:pPr>
              <w:spacing w:after="0"/>
              <w:rPr>
                <w:sz w:val="18"/>
                <w:szCs w:val="18"/>
                <w:color w:val="auto"/>
              </w:rPr>
            </w:pPr>
          </w:p>
        </w:tc>
      </w:tr>
      <w:tr>
        <w:trPr>
          <w:trHeight w:val="228"/>
        </w:trPr>
        <w:tc>
          <w:tcPr>
            <w:tcW w:w="3360" w:type="dxa"/>
            <w:vAlign w:val="bottom"/>
          </w:tcPr>
          <w:p>
            <w:pPr>
              <w:spacing w:after="0"/>
              <w:rPr>
                <w:sz w:val="19"/>
                <w:szCs w:val="19"/>
                <w:color w:val="auto"/>
              </w:rPr>
            </w:pPr>
          </w:p>
        </w:tc>
        <w:tc>
          <w:tcPr>
            <w:tcW w:w="48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(Address of principal executive offices, including zip code)</w:t>
            </w:r>
          </w:p>
        </w:tc>
        <w:tc>
          <w:tcPr>
            <w:tcW w:w="3000" w:type="dxa"/>
            <w:vAlign w:val="bottom"/>
          </w:tcPr>
          <w:p>
            <w:pPr>
              <w:spacing w:after="0"/>
              <w:rPr>
                <w:sz w:val="19"/>
                <w:szCs w:val="19"/>
                <w:color w:val="auto"/>
              </w:rPr>
            </w:pPr>
          </w:p>
        </w:tc>
      </w:tr>
      <w:tr>
        <w:trPr>
          <w:trHeight w:val="316"/>
        </w:trPr>
        <w:tc>
          <w:tcPr>
            <w:tcW w:w="3360" w:type="dxa"/>
            <w:vAlign w:val="bottom"/>
          </w:tcPr>
          <w:p>
            <w:pPr>
              <w:spacing w:after="0"/>
              <w:rPr>
                <w:sz w:val="24"/>
                <w:szCs w:val="24"/>
                <w:color w:val="auto"/>
              </w:rPr>
            </w:pPr>
          </w:p>
        </w:tc>
        <w:tc>
          <w:tcPr>
            <w:tcW w:w="4060" w:type="dxa"/>
            <w:vAlign w:val="bottom"/>
            <w:gridSpan w:val="2"/>
          </w:tcPr>
          <w:p>
            <w:pPr>
              <w:jc w:val="center"/>
              <w:ind w:left="392"/>
              <w:spacing w:after="0"/>
              <w:rPr>
                <w:sz w:val="20"/>
                <w:szCs w:val="20"/>
                <w:color w:val="auto"/>
              </w:rPr>
            </w:pPr>
            <w:r>
              <w:rPr>
                <w:rFonts w:ascii="Times New Roman" w:cs="Times New Roman" w:eastAsia="Times New Roman" w:hAnsi="Times New Roman"/>
                <w:sz w:val="18"/>
                <w:szCs w:val="18"/>
                <w:b w:val="1"/>
                <w:bCs w:val="1"/>
                <w:color w:val="auto"/>
                <w:w w:val="97"/>
              </w:rPr>
              <w:t>(646) 710-3417</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96"/>
        </w:trPr>
        <w:tc>
          <w:tcPr>
            <w:tcW w:w="3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7"/>
              </w:rPr>
              <w:t>(Registrant’s telephone number, including area code)</w:t>
            </w:r>
          </w:p>
        </w:tc>
        <w:tc>
          <w:tcPr>
            <w:tcW w:w="3000" w:type="dxa"/>
            <w:vAlign w:val="bottom"/>
          </w:tcPr>
          <w:p>
            <w:pPr>
              <w:spacing w:after="0"/>
              <w:rPr>
                <w:sz w:val="24"/>
                <w:szCs w:val="24"/>
                <w:color w:val="auto"/>
              </w:rPr>
            </w:pPr>
          </w:p>
        </w:tc>
      </w:tr>
      <w:tr>
        <w:trPr>
          <w:trHeight w:val="230"/>
        </w:trPr>
        <w:tc>
          <w:tcPr>
            <w:tcW w:w="3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c>
          <w:tcPr>
            <w:tcW w:w="3000" w:type="dxa"/>
            <w:vAlign w:val="bottom"/>
          </w:tcPr>
          <w:p>
            <w:pPr>
              <w:spacing w:after="0"/>
              <w:rPr>
                <w:sz w:val="20"/>
                <w:szCs w:val="20"/>
                <w:color w:val="auto"/>
              </w:rPr>
            </w:pPr>
          </w:p>
        </w:tc>
      </w:tr>
    </w:tbl>
    <w:p>
      <w:pPr>
        <w:ind w:left="294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4" w:lineRule="exact"/>
        <w:rPr>
          <w:sz w:val="24"/>
          <w:szCs w:val="24"/>
          <w:color w:val="auto"/>
        </w:rPr>
      </w:pPr>
    </w:p>
    <w:p>
      <w:pPr>
        <w:ind w:right="660" w:firstLine="395"/>
        <w:spacing w:after="0" w:line="24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7" w:lineRule="exact"/>
        <w:rPr>
          <w:sz w:val="24"/>
          <w:szCs w:val="24"/>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6"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8" w:lineRule="exact"/>
        <w:rPr>
          <w:sz w:val="24"/>
          <w:szCs w:val="24"/>
          <w:color w:val="auto"/>
        </w:rPr>
      </w:pPr>
    </w:p>
    <w:tbl>
      <w:tblPr>
        <w:tblLayout w:type="fixed"/>
        <w:tblInd w:w="400" w:type="dxa"/>
        <w:tblCellMar>
          <w:top w:w="0" w:type="dxa"/>
          <w:left w:w="0" w:type="dxa"/>
          <w:bottom w:w="0" w:type="dxa"/>
          <w:right w:w="0" w:type="dxa"/>
        </w:tblCellMar>
      </w:tblPr>
      <w:tr>
        <w:trPr>
          <w:trHeight w:val="204"/>
        </w:trPr>
        <w:tc>
          <w:tcPr>
            <w:tcW w:w="3840" w:type="dxa"/>
            <w:vAlign w:val="bottom"/>
            <w:tcBorders>
              <w:top w:val="single" w:sz="8" w:color="auto"/>
              <w:bottom w:val="single" w:sz="8" w:color="auto"/>
            </w:tcBorders>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220" w:type="dxa"/>
            <w:vAlign w:val="bottom"/>
            <w:tcBorders>
              <w:top w:val="single" w:sz="8" w:color="auto"/>
              <w:bottom w:val="single" w:sz="8" w:color="auto"/>
            </w:tcBorders>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4680" w:type="dxa"/>
            <w:vAlign w:val="bottom"/>
            <w:tcBorders>
              <w:top w:val="single" w:sz="8" w:color="auto"/>
              <w:bottom w:val="single" w:sz="8" w:color="auto"/>
            </w:tcBorders>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184"/>
        </w:trPr>
        <w:tc>
          <w:tcPr>
            <w:tcW w:w="3840" w:type="dxa"/>
            <w:vAlign w:val="bottom"/>
          </w:tcPr>
          <w:p>
            <w:pPr>
              <w:jc w:val="center"/>
              <w:ind w:left="230"/>
              <w:spacing w:after="0"/>
              <w:rPr>
                <w:sz w:val="20"/>
                <w:szCs w:val="20"/>
                <w:color w:val="auto"/>
              </w:rPr>
            </w:pPr>
            <w:r>
              <w:rPr>
                <w:rFonts w:ascii="Times New Roman" w:cs="Times New Roman" w:eastAsia="Times New Roman" w:hAnsi="Times New Roman"/>
                <w:sz w:val="14"/>
                <w:szCs w:val="14"/>
                <w:b w:val="1"/>
                <w:bCs w:val="1"/>
                <w:color w:val="auto"/>
                <w:w w:val="99"/>
              </w:rPr>
              <w:t>Common Stock, $0.01 par value per share</w:t>
            </w:r>
          </w:p>
        </w:tc>
        <w:tc>
          <w:tcPr>
            <w:tcW w:w="2220" w:type="dxa"/>
            <w:vAlign w:val="bottom"/>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SSTK</w:t>
            </w:r>
          </w:p>
        </w:tc>
        <w:tc>
          <w:tcPr>
            <w:tcW w:w="4680" w:type="dxa"/>
            <w:vAlign w:val="bottom"/>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bl>
    <w:p>
      <w:pPr>
        <w:spacing w:after="0" w:line="126" w:lineRule="exact"/>
        <w:rPr>
          <w:sz w:val="24"/>
          <w:szCs w:val="24"/>
          <w:color w:val="auto"/>
        </w:rPr>
      </w:pPr>
    </w:p>
    <w:p>
      <w:pPr>
        <w:ind w:left="900"/>
        <w:spacing w:after="0" w:line="23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ind w:left="900" w:hanging="482"/>
        <w:spacing w:after="0"/>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69" w:lineRule="exact"/>
        <w:rPr>
          <w:rFonts w:ascii="MS PGothic" w:cs="MS PGothic" w:eastAsia="MS PGothic" w:hAnsi="MS PGothic"/>
          <w:sz w:val="18"/>
          <w:szCs w:val="18"/>
          <w:color w:val="auto"/>
        </w:rPr>
      </w:pPr>
    </w:p>
    <w:p>
      <w:pPr>
        <w:ind w:left="900" w:hanging="482"/>
        <w:spacing w:after="0" w:line="231" w:lineRule="auto"/>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1517650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293370</wp:posOffset>
            </wp:positionV>
            <wp:extent cx="694690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46900" cy="1651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268605</wp:posOffset>
            </wp:positionV>
            <wp:extent cx="69469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46900" cy="825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 w:name="page2"/>
    <w:bookmarkEnd w:id="1"/>
    <w:p>
      <w:pPr>
        <w:ind w:left="42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6"/>
          <w:szCs w:val="16"/>
          <w:b w:val="1"/>
          <w:bCs w:val="1"/>
          <w:color w:val="auto"/>
        </w:rPr>
        <w:t>Submission of Matters to a Vote of Security Holders.</w:t>
      </w:r>
    </w:p>
    <w:p>
      <w:pPr>
        <w:spacing w:after="0" w:line="203"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On December 22, 2025, Shutterstock, Inc. (the “Company”) held its Annual Meeting of Stockholders (the “Annual Meeting”). As of November 19, 2025, the record date for the Annual Meeting, there were a total of 35,520,353 shares of the Company’s common stock outstanding and entitled to vote at the Annual Meeting. At the Annual Meeting, 31,293,114 shares of the Company’s common stock were represented in person or by proxy, and therefore a quorum was present.</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Described below are the matters voted upon at the Annual Meeting and the voting results.</w:t>
      </w: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Proposal One - Election of Directors</w:t>
      </w:r>
    </w:p>
    <w:p>
      <w:pPr>
        <w:spacing w:after="0" w:line="214"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At the Annual Meeting, the Company’s stockholders elected the following Class III director nominees to serve on the Company’s Board of Directors until the 2028 Annual Meeting of Stockholders or, in each case, until the director’s successor is duly elected and qualified or, if earlier, his or her death, resignation or removal. The votes cast were as follows:</w:t>
      </w:r>
    </w:p>
    <w:p>
      <w:pPr>
        <w:spacing w:after="0" w:line="217" w:lineRule="exact"/>
        <w:rPr>
          <w:sz w:val="20"/>
          <w:szCs w:val="20"/>
          <w:color w:val="auto"/>
        </w:rPr>
      </w:pPr>
    </w:p>
    <w:tbl>
      <w:tblPr>
        <w:tblLayout w:type="fixed"/>
        <w:tblInd w:w="400" w:type="dxa"/>
        <w:tblCellMar>
          <w:top w:w="0" w:type="dxa"/>
          <w:left w:w="0" w:type="dxa"/>
          <w:bottom w:w="0" w:type="dxa"/>
          <w:right w:w="0" w:type="dxa"/>
        </w:tblCellMar>
      </w:tblPr>
      <w:tr>
        <w:trPr>
          <w:trHeight w:val="231"/>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Withhold</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Broker Non-Votes</w:t>
            </w:r>
          </w:p>
        </w:tc>
      </w:tr>
      <w:tr>
        <w:trPr>
          <w:trHeight w:val="217"/>
        </w:trPr>
        <w:tc>
          <w:tcPr>
            <w:tcW w:w="1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Jonathan Oringer</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28,275,082</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886,145</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2,131,887</w:t>
            </w:r>
          </w:p>
        </w:tc>
      </w:tr>
      <w:tr>
        <w:trPr>
          <w:trHeight w:val="22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Rachna Bhasin</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28,554,658</w:t>
            </w:r>
          </w:p>
        </w:tc>
        <w:tc>
          <w:tcPr>
            <w:tcW w:w="1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606,569</w:t>
            </w:r>
          </w:p>
        </w:tc>
        <w:tc>
          <w:tcPr>
            <w:tcW w:w="1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2,131,887</w:t>
            </w:r>
          </w:p>
        </w:tc>
      </w:tr>
      <w:tr>
        <w:trPr>
          <w:trHeight w:val="224"/>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Jaime Teevan</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29,017,192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144,035</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2,131,887</w:t>
            </w:r>
          </w:p>
        </w:tc>
      </w:tr>
    </w:tbl>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Proposal Two - Advisory Vote on the Compensation of the Company's Named Executive Officers</w:t>
      </w:r>
    </w:p>
    <w:p>
      <w:pPr>
        <w:spacing w:after="0" w:line="214" w:lineRule="exact"/>
        <w:rPr>
          <w:sz w:val="20"/>
          <w:szCs w:val="20"/>
          <w:color w:val="auto"/>
        </w:rPr>
      </w:pPr>
    </w:p>
    <w:p>
      <w:pPr>
        <w:ind w:right="340" w:firstLine="395"/>
        <w:spacing w:after="0" w:line="268" w:lineRule="auto"/>
        <w:rPr>
          <w:sz w:val="20"/>
          <w:szCs w:val="20"/>
          <w:color w:val="auto"/>
        </w:rPr>
      </w:pPr>
      <w:r>
        <w:rPr>
          <w:rFonts w:ascii="Times New Roman" w:cs="Times New Roman" w:eastAsia="Times New Roman" w:hAnsi="Times New Roman"/>
          <w:sz w:val="18"/>
          <w:szCs w:val="18"/>
          <w:color w:val="auto"/>
        </w:rPr>
        <w:t>At the Annual Meeting, the Company’s stockholders approved, on an advisory basis, the compensation of the Company's named executive officers as disclosed in the Company's proxy statement. The votes cast were as follows:</w:t>
      </w:r>
    </w:p>
    <w:p>
      <w:pPr>
        <w:spacing w:after="0" w:line="207" w:lineRule="exact"/>
        <w:rPr>
          <w:sz w:val="20"/>
          <w:szCs w:val="20"/>
          <w:color w:val="auto"/>
        </w:rPr>
      </w:pPr>
    </w:p>
    <w:tbl>
      <w:tblPr>
        <w:tblLayout w:type="fixed"/>
        <w:tblInd w:w="400" w:type="dxa"/>
        <w:tblCellMar>
          <w:top w:w="0" w:type="dxa"/>
          <w:left w:w="0" w:type="dxa"/>
          <w:bottom w:w="0" w:type="dxa"/>
          <w:right w:w="0" w:type="dxa"/>
        </w:tblCellMar>
      </w:tblPr>
      <w:tr>
        <w:trPr>
          <w:trHeight w:val="231"/>
        </w:trPr>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Against</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Abstain</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Broker Non-Votes</w:t>
            </w:r>
          </w:p>
        </w:tc>
      </w:tr>
      <w:tr>
        <w:trPr>
          <w:trHeight w:val="217"/>
        </w:trPr>
        <w:tc>
          <w:tcPr>
            <w:tcW w:w="156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24,891,023</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4,240,770</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29,434</w:t>
            </w:r>
          </w:p>
        </w:tc>
        <w:tc>
          <w:tcPr>
            <w:tcW w:w="12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2,131,887</w:t>
            </w:r>
          </w:p>
        </w:tc>
      </w:tr>
    </w:tbl>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Proposal Three - Ratification of Appointment of Independent Registered Public Accounting Firm</w:t>
      </w:r>
    </w:p>
    <w:p>
      <w:pPr>
        <w:spacing w:after="0" w:line="214" w:lineRule="exact"/>
        <w:rPr>
          <w:sz w:val="20"/>
          <w:szCs w:val="20"/>
          <w:color w:val="auto"/>
        </w:rPr>
      </w:pPr>
    </w:p>
    <w:p>
      <w:pPr>
        <w:ind w:right="400" w:firstLine="395"/>
        <w:spacing w:after="0" w:line="268" w:lineRule="auto"/>
        <w:rPr>
          <w:sz w:val="20"/>
          <w:szCs w:val="20"/>
          <w:color w:val="auto"/>
        </w:rPr>
      </w:pPr>
      <w:r>
        <w:rPr>
          <w:rFonts w:ascii="Times New Roman" w:cs="Times New Roman" w:eastAsia="Times New Roman" w:hAnsi="Times New Roman"/>
          <w:sz w:val="18"/>
          <w:szCs w:val="18"/>
          <w:color w:val="auto"/>
        </w:rPr>
        <w:t>At the Annual Meeting, the Company’s stockholders ratified the Audit Committee’s appointment of PricewaterhouseCoopers LLP as the Company’s independent registered public accounting firm for the fiscal year ending December 31, 2025. The votes cast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7500" w:type="dxa"/>
            <w:vAlign w:val="bottom"/>
            <w:gridSpan w:val="3"/>
          </w:tcPr>
          <w:p>
            <w:pPr>
              <w:jc w:val="center"/>
              <w:ind w:right="5940"/>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7"/>
        </w:trPr>
        <w:tc>
          <w:tcPr>
            <w:tcW w:w="40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31,007,244</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280,835</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tcBorders>
              <w:top w:val="single" w:sz="8" w:color="CCEEFF"/>
            </w:tcBorders>
            <w:shd w:val="clear" w:color="auto" w:fill="CCEEFF"/>
          </w:tcPr>
          <w:p>
            <w:pPr>
              <w:spacing w:after="0"/>
              <w:rPr>
                <w:sz w:val="18"/>
                <w:szCs w:val="18"/>
                <w:color w:val="auto"/>
              </w:rPr>
            </w:pPr>
          </w:p>
        </w:tc>
        <w:tc>
          <w:tcPr>
            <w:tcW w:w="5840" w:type="dxa"/>
            <w:vAlign w:val="bottom"/>
          </w:tcPr>
          <w:p>
            <w:pPr>
              <w:spacing w:after="0"/>
              <w:rPr>
                <w:sz w:val="18"/>
                <w:szCs w:val="18"/>
                <w:color w:val="auto"/>
              </w:rPr>
            </w:pPr>
          </w:p>
        </w:tc>
      </w:tr>
      <w:tr>
        <w:trPr>
          <w:trHeight w:val="1164"/>
        </w:trPr>
        <w:tc>
          <w:tcPr>
            <w:tcW w:w="4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2" w:name="page3"/>
    <w:bookmarkEnd w:id="2"/>
    <w:p>
      <w:pPr>
        <w:spacing w:after="0" w:line="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3" w:lineRule="exact"/>
        <w:rPr>
          <w:sz w:val="20"/>
          <w:szCs w:val="20"/>
          <w:color w:val="auto"/>
        </w:rPr>
      </w:pPr>
    </w:p>
    <w:p>
      <w:pPr>
        <w:ind w:right="880" w:firstLine="439"/>
        <w:spacing w:after="0" w:line="24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766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SHUTTERSTOCK, INC.</w:t>
            </w:r>
          </w:p>
        </w:tc>
      </w:tr>
      <w:tr>
        <w:trPr>
          <w:trHeight w:val="36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22, 2025</w:t>
            </w:r>
          </w:p>
        </w:tc>
        <w:tc>
          <w:tcPr>
            <w:tcW w:w="19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Lapham</w:t>
            </w:r>
          </w:p>
        </w:tc>
      </w:tr>
      <w:tr>
        <w:trPr>
          <w:trHeight w:val="212"/>
        </w:trPr>
        <w:tc>
          <w:tcPr>
            <w:tcW w:w="3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John Lapham</w:t>
            </w:r>
          </w:p>
        </w:tc>
      </w:tr>
      <w:tr>
        <w:trPr>
          <w:trHeight w:val="228"/>
        </w:trPr>
        <w:tc>
          <w:tcPr>
            <w:tcW w:w="3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1" w:lineRule="exact"/>
        <w:rPr>
          <w:sz w:val="20"/>
          <w:szCs w:val="20"/>
          <w:color w:val="auto"/>
        </w:rPr>
      </w:pPr>
    </w:p>
    <w:sectPr>
      <w:pgSz w:w="11900" w:h="16838" w:orient="portrait"/>
      <w:cols w:equalWidth="0" w:num="1">
        <w:col w:w="11340"/>
      </w:cols>
      <w:pgMar w:left="32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2025-12-22T16:21:50Z</dcterms:created>
  <dcterms:modified xsi:type="dcterms:W3CDTF">2025-12-22T16:21:50Z</dcterms:modified>
</cp:coreProperties>
</file>