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780" w:right="260" w:hanging="448"/>
        <w:spacing w:after="0" w:line="256" w:lineRule="auto"/>
        <w:tabs>
          <w:tab w:leader="none" w:pos="65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3" w:lineRule="exact"/>
        <w:rPr>
          <w:sz w:val="24"/>
          <w:szCs w:val="24"/>
          <w:color w:val="auto"/>
        </w:rPr>
      </w:pPr>
    </w:p>
    <w:p>
      <w:pPr>
        <w:ind w:left="780" w:right="220" w:hanging="448"/>
        <w:spacing w:after="0" w:line="256" w:lineRule="auto"/>
        <w:tabs>
          <w:tab w:leader="none" w:pos="6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8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80-0812659</w:t>
            </w:r>
          </w:p>
        </w:tc>
      </w:tr>
      <w:tr>
        <w:trPr>
          <w:trHeight w:val="216"/>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(State or other jurisdiction of</w:t>
            </w:r>
          </w:p>
        </w:tc>
        <w:tc>
          <w:tcPr>
            <w:tcW w:w="3640" w:type="dxa"/>
            <w:vAlign w:val="bottom"/>
          </w:tcPr>
          <w:p>
            <w:pPr>
              <w:jc w:val="center"/>
              <w:ind w:left="1890"/>
              <w:spacing w:after="0"/>
              <w:rPr>
                <w:sz w:val="20"/>
                <w:szCs w:val="20"/>
                <w:color w:val="auto"/>
              </w:rPr>
            </w:pPr>
            <w:r>
              <w:rPr>
                <w:rFonts w:ascii="Arial" w:cs="Arial" w:eastAsia="Arial" w:hAnsi="Arial"/>
                <w:sz w:val="18"/>
                <w:szCs w:val="18"/>
                <w:color w:val="auto"/>
                <w:w w:val="92"/>
              </w:rPr>
              <w:t>(I.R.S. Employer</w:t>
            </w:r>
          </w:p>
        </w:tc>
      </w:tr>
      <w:tr>
        <w:trPr>
          <w:trHeight w:val="23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incorporation or organization)</w:t>
            </w:r>
          </w:p>
        </w:tc>
        <w:tc>
          <w:tcPr>
            <w:tcW w:w="3640" w:type="dxa"/>
            <w:vAlign w:val="bottom"/>
          </w:tcPr>
          <w:p>
            <w:pPr>
              <w:jc w:val="center"/>
              <w:ind w:left="1890"/>
              <w:spacing w:after="0"/>
              <w:rPr>
                <w:sz w:val="20"/>
                <w:szCs w:val="20"/>
                <w:color w:val="auto"/>
              </w:rPr>
            </w:pPr>
            <w:r>
              <w:rPr>
                <w:rFonts w:ascii="Arial" w:cs="Arial" w:eastAsia="Arial" w:hAnsi="Arial"/>
                <w:sz w:val="18"/>
                <w:szCs w:val="18"/>
                <w:color w:val="auto"/>
                <w:w w:val="94"/>
              </w:rPr>
              <w:t>Identification Number)</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Oringer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 Broad Street, 30th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419-4452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7" w:lineRule="exact"/>
        <w:rPr>
          <w:sz w:val="24"/>
          <w:szCs w:val="24"/>
          <w:color w:val="auto"/>
        </w:rPr>
      </w:pPr>
    </w:p>
    <w:p>
      <w:pPr>
        <w:ind w:right="360" w:firstLine="324"/>
        <w:spacing w:after="0" w:line="264"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o Yes x No</w:t>
      </w:r>
    </w:p>
    <w:p>
      <w:pPr>
        <w:spacing w:after="0" w:line="168"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68"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30" w:right="239" w:bottom="0" w:gutter="0" w:footer="0" w:header="0"/>
        </w:sectPr>
      </w:pPr>
    </w:p>
    <w:p>
      <w:pPr>
        <w:spacing w:after="0" w:line="133"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530"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530" w:right="239" w:bottom="0" w:gutter="0" w:footer="0" w:header="0"/>
          <w:type w:val="continuous"/>
        </w:sectPr>
      </w:pPr>
    </w:p>
    <w:p>
      <w:pPr>
        <w:spacing w:after="0" w:line="2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1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5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November 16, 2012</w:t>
            </w:r>
          </w:p>
        </w:tc>
        <w:tc>
          <w:tcPr>
            <w:tcW w:w="760" w:type="dxa"/>
            <w:vAlign w:val="bottom"/>
          </w:tcPr>
          <w:p>
            <w:pPr>
              <w:spacing w:after="0"/>
              <w:rPr>
                <w:sz w:val="14"/>
                <w:szCs w:val="14"/>
                <w:color w:val="auto"/>
              </w:rPr>
            </w:pPr>
          </w:p>
        </w:tc>
      </w:tr>
      <w:tr>
        <w:trPr>
          <w:trHeight w:val="228"/>
        </w:trPr>
        <w:tc>
          <w:tcPr>
            <w:tcW w:w="800" w:type="dxa"/>
            <w:vAlign w:val="bottom"/>
          </w:tcPr>
          <w:p>
            <w:pPr>
              <w:spacing w:after="0"/>
              <w:rPr>
                <w:sz w:val="19"/>
                <w:szCs w:val="19"/>
                <w:color w:val="auto"/>
              </w:rPr>
            </w:pPr>
          </w:p>
        </w:tc>
        <w:tc>
          <w:tcPr>
            <w:tcW w:w="4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40" w:type="dxa"/>
            <w:vAlign w:val="bottom"/>
          </w:tcPr>
          <w:p>
            <w:pPr>
              <w:spacing w:after="0"/>
              <w:rPr>
                <w:sz w:val="19"/>
                <w:szCs w:val="19"/>
                <w:color w:val="auto"/>
              </w:rPr>
            </w:pPr>
          </w:p>
        </w:tc>
        <w:tc>
          <w:tcPr>
            <w:tcW w:w="4700" w:type="dxa"/>
            <w:vAlign w:val="bottom"/>
            <w:tcBorders>
              <w:top w:val="single" w:sz="8" w:color="auto"/>
            </w:tcBorders>
          </w:tcPr>
          <w:p>
            <w:pPr>
              <w:jc w:val="right"/>
              <w:ind w:right="1879"/>
              <w:spacing w:after="0"/>
              <w:rPr>
                <w:sz w:val="20"/>
                <w:szCs w:val="20"/>
                <w:color w:val="auto"/>
              </w:rPr>
            </w:pPr>
            <w:r>
              <w:rPr>
                <w:rFonts w:ascii="Arial" w:cs="Arial" w:eastAsia="Arial" w:hAnsi="Arial"/>
                <w:sz w:val="18"/>
                <w:szCs w:val="18"/>
                <w:b w:val="1"/>
                <w:bCs w:val="1"/>
                <w:color w:val="auto"/>
              </w:rPr>
              <w:t>33,513,281</w:t>
            </w:r>
          </w:p>
        </w:tc>
        <w:tc>
          <w:tcPr>
            <w:tcW w:w="760" w:type="dxa"/>
            <w:vAlign w:val="bottom"/>
          </w:tcPr>
          <w:p>
            <w:pPr>
              <w:spacing w:after="0"/>
              <w:rPr>
                <w:sz w:val="19"/>
                <w:szCs w:val="19"/>
                <w:color w:val="auto"/>
              </w:rPr>
            </w:pPr>
          </w:p>
        </w:tc>
      </w:tr>
      <w:tr>
        <w:trPr>
          <w:trHeight w:val="184"/>
        </w:trPr>
        <w:tc>
          <w:tcPr>
            <w:tcW w:w="80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82"/>
        </w:trPr>
        <w:tc>
          <w:tcPr>
            <w:tcW w:w="80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7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bl>
    <w:p>
      <w:pPr>
        <w:sectPr>
          <w:pgSz w:w="11900" w:h="16838" w:orient="portrait"/>
          <w:cols w:equalWidth="0" w:num="1">
            <w:col w:w="11420"/>
          </w:cols>
          <w:pgMar w:left="240" w:top="530" w:right="239" w:bottom="0" w:gutter="0" w:footer="0" w:header="0"/>
          <w:type w:val="continuous"/>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purpose of this Amendment No. 1 on Form 10-Q/A to Shutterstock, Inc.’s quarterly report on Form 10-Q for the quarter ended September 30, 2012, filed with the Securities and Exchange Commission on November 20, 2012 (the “Form 10-Q”), is to furnish Exhibit 101 to the Form 10-Q in accordance with Rule 405 of Regulation S-T and to file an Amended and Restated Exhibit 10.6(c).</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 other changes have been made to the Form 10-Q. This Amendment No. 1 speaks as of the original filing date of the Form 10-Q, does not reflect events that may have occurred subsequent to the original filing date and does not modify or update in any way disclosures made in the original Form 10-Q.</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10-Q/A, which is incorporated herein by reference.</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SHUTTERSTOCK, INC.</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December 19, 2012</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Oringer</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7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700" w:type="dxa"/>
            <w:vAlign w:val="bottom"/>
          </w:tcPr>
          <w:p>
            <w:pPr>
              <w:ind w:left="19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December 19, 2012</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Bixby</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7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700" w:type="dxa"/>
            <w:vAlign w:val="bottom"/>
          </w:tcPr>
          <w:p>
            <w:pPr>
              <w:ind w:left="19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700" w:type="dxa"/>
            <w:vAlign w:val="bottom"/>
          </w:tcPr>
          <w:p>
            <w:pPr>
              <w:ind w:left="1860"/>
              <w:spacing w:after="0"/>
              <w:rPr>
                <w:sz w:val="20"/>
                <w:szCs w:val="20"/>
                <w:color w:val="auto"/>
              </w:rPr>
            </w:pPr>
            <w:r>
              <w:rPr>
                <w:rFonts w:ascii="Arial" w:cs="Arial" w:eastAsia="Arial" w:hAnsi="Arial"/>
                <w:sz w:val="18"/>
                <w:szCs w:val="18"/>
                <w:color w:val="auto"/>
              </w:rPr>
              <w:t>4</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ind w:left="178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800" w:type="dxa"/>
            <w:vAlign w:val="bottom"/>
            <w:tcBorders>
              <w:bottom w:val="single" w:sz="8" w:color="auto"/>
            </w:tcBorders>
          </w:tcPr>
          <w:p>
            <w:pPr>
              <w:spacing w:after="0"/>
              <w:rPr>
                <w:sz w:val="14"/>
                <w:szCs w:val="14"/>
                <w:color w:val="auto"/>
              </w:rPr>
            </w:pPr>
          </w:p>
        </w:tc>
      </w:tr>
      <w:tr>
        <w:trPr>
          <w:trHeight w:val="142"/>
        </w:trPr>
        <w:tc>
          <w:tcPr>
            <w:tcW w:w="1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4000" w:type="dxa"/>
            <w:vAlign w:val="bottom"/>
            <w:tcBorders>
              <w:bottom w:val="single" w:sz="8" w:color="auto"/>
            </w:tcBorders>
          </w:tcPr>
          <w:p>
            <w:pPr>
              <w:ind w:left="1640"/>
              <w:spacing w:after="0" w:line="142" w:lineRule="exact"/>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16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File No.</w:t>
            </w:r>
          </w:p>
        </w:tc>
        <w:tc>
          <w:tcPr>
            <w:tcW w:w="200" w:type="dxa"/>
            <w:vAlign w:val="bottom"/>
          </w:tcPr>
          <w:p>
            <w:pPr>
              <w:spacing w:after="0"/>
              <w:rPr>
                <w:sz w:val="12"/>
                <w:szCs w:val="12"/>
                <w:color w:val="auto"/>
              </w:rPr>
            </w:pPr>
          </w:p>
        </w:tc>
        <w:tc>
          <w:tcPr>
            <w:tcW w:w="9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2"/>
                <w:szCs w:val="12"/>
                <w:color w:val="auto"/>
              </w:rPr>
            </w:pPr>
          </w:p>
        </w:tc>
        <w:tc>
          <w:tcPr>
            <w:tcW w:w="180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411"/>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1"/>
              </w:rPr>
              <w:t>Agreement and Plan of Merger, dated as of October 5,</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S-1/A</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w w:val="89"/>
              </w:rPr>
              <w:t>333-181376</w:t>
            </w:r>
          </w:p>
        </w:tc>
        <w:tc>
          <w:tcPr>
            <w:tcW w:w="2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October 5, 2012</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0"/>
              </w:rPr>
              <w:t>2012, between the Registrant and Shutterstock Images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LLC.</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1"/>
              </w:rPr>
              <w:t>Agreement and Plan of Merger, dated as of October 5,</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S-1/A</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w w:val="89"/>
              </w:rPr>
              <w:t>333-181376</w:t>
            </w:r>
          </w:p>
        </w:tc>
        <w:tc>
          <w:tcPr>
            <w:tcW w:w="2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October 5, 2012</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2"/>
              </w:rPr>
              <w:t>2012, among the Registrant, Shutterstock Investors II,</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 Insight Venture Partners (Cayman) V, L.P.,</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9"/>
              </w:rPr>
              <w:t>Shutterstock Investors III, Inc. and Insight Venture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Partners V Coinvestment Fund, L.P.</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of</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S-1/A</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w w:val="89"/>
              </w:rPr>
              <w:t>333-181376</w:t>
            </w:r>
          </w:p>
        </w:tc>
        <w:tc>
          <w:tcPr>
            <w:tcW w:w="2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June 29, 2012</w:t>
            </w:r>
          </w:p>
        </w:tc>
      </w:tr>
      <w:tr>
        <w:trPr>
          <w:trHeight w:val="230"/>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the Registrant, as currently in effect.</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5"/>
              </w:rPr>
              <w:t>Amended and Restated Bylaws of the Registrant, as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S-1/A</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w w:val="89"/>
              </w:rPr>
              <w:t>333-181376</w:t>
            </w:r>
          </w:p>
        </w:tc>
        <w:tc>
          <w:tcPr>
            <w:tcW w:w="2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September 27, 2012</w:t>
            </w:r>
          </w:p>
        </w:tc>
      </w:tr>
      <w:tr>
        <w:trPr>
          <w:trHeight w:val="230"/>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currently in effect.</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1"/>
              </w:rPr>
              <w:t>Registration Rights Agreement, dated as of October 5,</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S-1/A</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w w:val="89"/>
              </w:rPr>
              <w:t>333-181376</w:t>
            </w:r>
          </w:p>
        </w:tc>
        <w:tc>
          <w:tcPr>
            <w:tcW w:w="2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October 5, 2012</w:t>
            </w: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3"/>
              </w:rPr>
              <w:t>2012, between the Registrant and the investors listed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on Schedule 1 thereto.</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 §</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Form of Indemnification Agreement between the</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S-1/A</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w w:val="89"/>
              </w:rPr>
              <w:t>333-181376</w:t>
            </w:r>
          </w:p>
        </w:tc>
        <w:tc>
          <w:tcPr>
            <w:tcW w:w="2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August 30, 2012</w:t>
            </w:r>
          </w:p>
        </w:tc>
      </w:tr>
    </w:tbl>
    <w:p>
      <w:pPr>
        <w:sectPr>
          <w:pgSz w:w="11900" w:h="16843" w:orient="portrait"/>
          <w:cols w:equalWidth="0" w:num="1">
            <w:col w:w="11460"/>
          </w:cols>
          <w:pgMar w:left="240" w:top="729"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Registrant and each of its Officers and Directors.</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10.2** §</w:t>
            </w:r>
          </w:p>
        </w:tc>
        <w:tc>
          <w:tcPr>
            <w:tcW w:w="4380" w:type="dxa"/>
            <w:vAlign w:val="bottom"/>
          </w:tcPr>
          <w:p>
            <w:pPr>
              <w:ind w:left="300"/>
              <w:spacing w:after="0"/>
              <w:rPr>
                <w:sz w:val="20"/>
                <w:szCs w:val="20"/>
                <w:color w:val="auto"/>
              </w:rPr>
            </w:pPr>
            <w:r>
              <w:rPr>
                <w:rFonts w:ascii="Arial" w:cs="Arial" w:eastAsia="Arial" w:hAnsi="Arial"/>
                <w:sz w:val="18"/>
                <w:szCs w:val="18"/>
                <w:color w:val="auto"/>
              </w:rPr>
              <w:t>2012 Omnibus Equity Incentive Plan and Form of</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10.2</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Award Agreements.</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10.3** §</w:t>
            </w:r>
          </w:p>
        </w:tc>
        <w:tc>
          <w:tcPr>
            <w:tcW w:w="4380" w:type="dxa"/>
            <w:vAlign w:val="bottom"/>
          </w:tcPr>
          <w:p>
            <w:pPr>
              <w:ind w:left="300"/>
              <w:spacing w:after="0"/>
              <w:rPr>
                <w:sz w:val="20"/>
                <w:szCs w:val="20"/>
                <w:color w:val="auto"/>
              </w:rPr>
            </w:pPr>
            <w:r>
              <w:rPr>
                <w:rFonts w:ascii="Arial" w:cs="Arial" w:eastAsia="Arial" w:hAnsi="Arial"/>
                <w:sz w:val="18"/>
                <w:szCs w:val="18"/>
                <w:color w:val="auto"/>
              </w:rPr>
              <w:t>2012 Employee Stock Purchase Plan and Form of</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10.3</w:t>
            </w:r>
          </w:p>
        </w:tc>
        <w:tc>
          <w:tcPr>
            <w:tcW w:w="2100" w:type="dxa"/>
            <w:vAlign w:val="bottom"/>
          </w:tcPr>
          <w:p>
            <w:pPr>
              <w:ind w:left="260"/>
              <w:spacing w:after="0"/>
              <w:rPr>
                <w:sz w:val="20"/>
                <w:szCs w:val="20"/>
                <w:color w:val="auto"/>
              </w:rPr>
            </w:pPr>
            <w:r>
              <w:rPr>
                <w:rFonts w:ascii="Arial" w:cs="Arial" w:eastAsia="Arial" w:hAnsi="Arial"/>
                <w:sz w:val="18"/>
                <w:szCs w:val="18"/>
                <w:color w:val="auto"/>
              </w:rPr>
              <w:t>June 29, 2012</w:t>
            </w: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Subscription Agreement.</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10.4** §</w:t>
            </w:r>
          </w:p>
        </w:tc>
        <w:tc>
          <w:tcPr>
            <w:tcW w:w="4380" w:type="dxa"/>
            <w:vAlign w:val="bottom"/>
          </w:tcPr>
          <w:p>
            <w:pPr>
              <w:ind w:left="300"/>
              <w:spacing w:after="0"/>
              <w:rPr>
                <w:sz w:val="20"/>
                <w:szCs w:val="20"/>
                <w:color w:val="auto"/>
              </w:rPr>
            </w:pPr>
            <w:r>
              <w:rPr>
                <w:rFonts w:ascii="Arial" w:cs="Arial" w:eastAsia="Arial" w:hAnsi="Arial"/>
                <w:sz w:val="18"/>
                <w:szCs w:val="18"/>
                <w:color w:val="auto"/>
              </w:rPr>
              <w:t>Shutterstock, Inc. Short-Term Incentive Plan.</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10.7</w:t>
            </w:r>
          </w:p>
        </w:tc>
        <w:tc>
          <w:tcPr>
            <w:tcW w:w="2100" w:type="dxa"/>
            <w:vAlign w:val="bottom"/>
          </w:tcPr>
          <w:p>
            <w:pPr>
              <w:ind w:left="260"/>
              <w:spacing w:after="0"/>
              <w:rPr>
                <w:sz w:val="20"/>
                <w:szCs w:val="20"/>
                <w:color w:val="auto"/>
              </w:rPr>
            </w:pPr>
            <w:r>
              <w:rPr>
                <w:rFonts w:ascii="Arial" w:cs="Arial" w:eastAsia="Arial" w:hAnsi="Arial"/>
                <w:sz w:val="18"/>
                <w:szCs w:val="18"/>
                <w:color w:val="auto"/>
              </w:rPr>
              <w:t>August 30, 2012</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10.5(a)** §</w:t>
            </w:r>
          </w:p>
        </w:tc>
        <w:tc>
          <w:tcPr>
            <w:tcW w:w="4380" w:type="dxa"/>
            <w:vAlign w:val="bottom"/>
          </w:tcPr>
          <w:p>
            <w:pPr>
              <w:ind w:left="300"/>
              <w:spacing w:after="0"/>
              <w:rPr>
                <w:sz w:val="20"/>
                <w:szCs w:val="20"/>
                <w:color w:val="auto"/>
              </w:rPr>
            </w:pPr>
            <w:r>
              <w:rPr>
                <w:rFonts w:ascii="Arial" w:cs="Arial" w:eastAsia="Arial" w:hAnsi="Arial"/>
                <w:sz w:val="18"/>
                <w:szCs w:val="18"/>
                <w:color w:val="auto"/>
                <w:w w:val="93"/>
              </w:rPr>
              <w:t>Employment Agreement between Shutterstock Images</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10.8(a)</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3"/>
              </w:rPr>
              <w:t>LLC and Jonathan Oringer dated September 24,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10.5(b)** §</w:t>
            </w:r>
          </w:p>
        </w:tc>
        <w:tc>
          <w:tcPr>
            <w:tcW w:w="4380" w:type="dxa"/>
            <w:vAlign w:val="bottom"/>
          </w:tcPr>
          <w:p>
            <w:pPr>
              <w:ind w:left="300"/>
              <w:spacing w:after="0"/>
              <w:rPr>
                <w:sz w:val="20"/>
                <w:szCs w:val="20"/>
                <w:color w:val="auto"/>
              </w:rPr>
            </w:pPr>
            <w:r>
              <w:rPr>
                <w:rFonts w:ascii="Arial" w:cs="Arial" w:eastAsia="Arial" w:hAnsi="Arial"/>
                <w:sz w:val="18"/>
                <w:szCs w:val="18"/>
                <w:color w:val="auto"/>
                <w:w w:val="92"/>
              </w:rPr>
              <w:t>Severance and Change in Control Agreement between</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10.8(b)</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4"/>
              </w:rPr>
              <w:t>Shutterstock Images LLC and Jonathan Oringer dated</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September 24,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10.6(a)** §</w:t>
            </w:r>
          </w:p>
        </w:tc>
        <w:tc>
          <w:tcPr>
            <w:tcW w:w="4380" w:type="dxa"/>
            <w:vAlign w:val="bottom"/>
          </w:tcPr>
          <w:p>
            <w:pPr>
              <w:ind w:left="300"/>
              <w:spacing w:after="0"/>
              <w:rPr>
                <w:sz w:val="20"/>
                <w:szCs w:val="20"/>
                <w:color w:val="auto"/>
              </w:rPr>
            </w:pPr>
            <w:r>
              <w:rPr>
                <w:rFonts w:ascii="Arial" w:cs="Arial" w:eastAsia="Arial" w:hAnsi="Arial"/>
                <w:sz w:val="18"/>
                <w:szCs w:val="18"/>
                <w:color w:val="auto"/>
                <w:w w:val="93"/>
              </w:rPr>
              <w:t>Employment Agreement between Shutterstock Images</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10.9(a)</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8"/>
              </w:rPr>
              <w:t>LLC and Thilo Semmelbauer dated March 21, 2010.</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10.6(b)** §</w:t>
            </w:r>
          </w:p>
        </w:tc>
        <w:tc>
          <w:tcPr>
            <w:tcW w:w="4380" w:type="dxa"/>
            <w:vAlign w:val="bottom"/>
          </w:tcPr>
          <w:p>
            <w:pPr>
              <w:ind w:left="300"/>
              <w:spacing w:after="0"/>
              <w:rPr>
                <w:sz w:val="20"/>
                <w:szCs w:val="20"/>
                <w:color w:val="auto"/>
              </w:rPr>
            </w:pPr>
            <w:r>
              <w:rPr>
                <w:rFonts w:ascii="Arial" w:cs="Arial" w:eastAsia="Arial" w:hAnsi="Arial"/>
                <w:sz w:val="18"/>
                <w:szCs w:val="18"/>
                <w:color w:val="auto"/>
                <w:w w:val="92"/>
              </w:rPr>
              <w:t>Severance and Change in Control Agreement between</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10.9(b)</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Shutterstock Images LLC and Thilo Semmelbauer</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dated September 24,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10.6(c)+§</w:t>
            </w:r>
          </w:p>
        </w:tc>
        <w:tc>
          <w:tcPr>
            <w:tcW w:w="4380" w:type="dxa"/>
            <w:vAlign w:val="bottom"/>
          </w:tcPr>
          <w:p>
            <w:pPr>
              <w:ind w:left="300"/>
              <w:spacing w:after="0"/>
              <w:rPr>
                <w:sz w:val="20"/>
                <w:szCs w:val="20"/>
                <w:color w:val="auto"/>
              </w:rPr>
            </w:pPr>
            <w:r>
              <w:rPr>
                <w:rFonts w:ascii="Arial" w:cs="Arial" w:eastAsia="Arial" w:hAnsi="Arial"/>
                <w:sz w:val="18"/>
                <w:szCs w:val="18"/>
                <w:color w:val="auto"/>
                <w:w w:val="97"/>
              </w:rPr>
              <w:t>Amended and Restated Restricted Stock Agreement</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between the Registrant and Thilo Semmelbauer</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effective as of October 5,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10.7(a)** §</w:t>
            </w:r>
          </w:p>
        </w:tc>
        <w:tc>
          <w:tcPr>
            <w:tcW w:w="4380" w:type="dxa"/>
            <w:vAlign w:val="bottom"/>
          </w:tcPr>
          <w:p>
            <w:pPr>
              <w:ind w:left="300"/>
              <w:spacing w:after="0"/>
              <w:rPr>
                <w:sz w:val="20"/>
                <w:szCs w:val="20"/>
                <w:color w:val="auto"/>
              </w:rPr>
            </w:pPr>
            <w:r>
              <w:rPr>
                <w:rFonts w:ascii="Arial" w:cs="Arial" w:eastAsia="Arial" w:hAnsi="Arial"/>
                <w:sz w:val="18"/>
                <w:szCs w:val="18"/>
                <w:color w:val="auto"/>
                <w:w w:val="93"/>
              </w:rPr>
              <w:t>Employment Agreement between Shutterstock Images</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10.10(a)</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LLC and Timothy E. Bixby dated May 16, 2011.</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5</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32"/>
        </w:trPr>
        <w:tc>
          <w:tcPr>
            <w:tcW w:w="118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r>
      <w:tr>
        <w:trPr>
          <w:trHeight w:val="766"/>
        </w:trPr>
        <w:tc>
          <w:tcPr>
            <w:tcW w:w="1180" w:type="dxa"/>
            <w:vAlign w:val="bottom"/>
          </w:tcPr>
          <w:p>
            <w:pPr>
              <w:spacing w:after="0"/>
              <w:rPr>
                <w:sz w:val="20"/>
                <w:szCs w:val="20"/>
                <w:color w:val="auto"/>
              </w:rPr>
            </w:pPr>
            <w:r>
              <w:rPr>
                <w:rFonts w:ascii="Arial" w:cs="Arial" w:eastAsia="Arial" w:hAnsi="Arial"/>
                <w:sz w:val="18"/>
                <w:szCs w:val="18"/>
                <w:color w:val="auto"/>
              </w:rPr>
              <w:t>10.7(b)** §</w:t>
            </w:r>
          </w:p>
        </w:tc>
        <w:tc>
          <w:tcPr>
            <w:tcW w:w="4380" w:type="dxa"/>
            <w:vAlign w:val="bottom"/>
          </w:tcPr>
          <w:p>
            <w:pPr>
              <w:ind w:left="300"/>
              <w:spacing w:after="0"/>
              <w:rPr>
                <w:sz w:val="20"/>
                <w:szCs w:val="20"/>
                <w:color w:val="auto"/>
              </w:rPr>
            </w:pPr>
            <w:r>
              <w:rPr>
                <w:rFonts w:ascii="Arial" w:cs="Arial" w:eastAsia="Arial" w:hAnsi="Arial"/>
                <w:sz w:val="18"/>
                <w:szCs w:val="18"/>
                <w:color w:val="auto"/>
                <w:w w:val="92"/>
              </w:rPr>
              <w:t>Severance and Change in Control Agreement between</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10.10(b)</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5"/>
              </w:rPr>
              <w:t>Shutterstock Images LLC and Timothy E. Bixby dated</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September 24,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10.8(a)** §</w:t>
            </w:r>
          </w:p>
        </w:tc>
        <w:tc>
          <w:tcPr>
            <w:tcW w:w="4380" w:type="dxa"/>
            <w:vAlign w:val="bottom"/>
          </w:tcPr>
          <w:p>
            <w:pPr>
              <w:ind w:left="300"/>
              <w:spacing w:after="0"/>
              <w:rPr>
                <w:sz w:val="20"/>
                <w:szCs w:val="20"/>
                <w:color w:val="auto"/>
              </w:rPr>
            </w:pPr>
            <w:r>
              <w:rPr>
                <w:rFonts w:ascii="Arial" w:cs="Arial" w:eastAsia="Arial" w:hAnsi="Arial"/>
                <w:sz w:val="18"/>
                <w:szCs w:val="18"/>
                <w:color w:val="auto"/>
                <w:w w:val="93"/>
              </w:rPr>
              <w:t>Employment Agreement between Shutterstock Images</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10.11(a)</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LLC and James Chou dated September 24,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10.8(b)** §</w:t>
            </w:r>
          </w:p>
        </w:tc>
        <w:tc>
          <w:tcPr>
            <w:tcW w:w="4380" w:type="dxa"/>
            <w:vAlign w:val="bottom"/>
          </w:tcPr>
          <w:p>
            <w:pPr>
              <w:ind w:left="300"/>
              <w:spacing w:after="0"/>
              <w:rPr>
                <w:sz w:val="20"/>
                <w:szCs w:val="20"/>
                <w:color w:val="auto"/>
              </w:rPr>
            </w:pPr>
            <w:r>
              <w:rPr>
                <w:rFonts w:ascii="Arial" w:cs="Arial" w:eastAsia="Arial" w:hAnsi="Arial"/>
                <w:sz w:val="18"/>
                <w:szCs w:val="18"/>
                <w:color w:val="auto"/>
                <w:w w:val="92"/>
              </w:rPr>
              <w:t>Severance and Change in Control Agreement between</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10.11(b)</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Shutterstock Images LLC and James Chou dated</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September 24,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4380" w:type="dxa"/>
            <w:vAlign w:val="bottom"/>
          </w:tcPr>
          <w:p>
            <w:pPr>
              <w:ind w:left="300"/>
              <w:spacing w:after="0"/>
              <w:rPr>
                <w:sz w:val="20"/>
                <w:szCs w:val="20"/>
                <w:color w:val="auto"/>
              </w:rPr>
            </w:pPr>
            <w:r>
              <w:rPr>
                <w:rFonts w:ascii="Arial" w:cs="Arial" w:eastAsia="Arial" w:hAnsi="Arial"/>
                <w:sz w:val="18"/>
                <w:szCs w:val="18"/>
                <w:color w:val="auto"/>
                <w:w w:val="95"/>
              </w:rPr>
              <w:t>Loan and Security Agreement between Silicon Valley</w:t>
            </w:r>
          </w:p>
        </w:tc>
        <w:tc>
          <w:tcPr>
            <w:tcW w:w="1060" w:type="dxa"/>
            <w:vAlign w:val="bottom"/>
          </w:tcPr>
          <w:p>
            <w:pPr>
              <w:ind w:left="140"/>
              <w:spacing w:after="0"/>
              <w:rPr>
                <w:sz w:val="20"/>
                <w:szCs w:val="20"/>
                <w:color w:val="auto"/>
              </w:rPr>
            </w:pPr>
            <w:r>
              <w:rPr>
                <w:rFonts w:ascii="Arial" w:cs="Arial" w:eastAsia="Arial" w:hAnsi="Arial"/>
                <w:sz w:val="18"/>
                <w:szCs w:val="18"/>
                <w:color w:val="auto"/>
              </w:rPr>
              <w:t>S-1/A</w:t>
            </w:r>
          </w:p>
        </w:tc>
        <w:tc>
          <w:tcPr>
            <w:tcW w:w="1600" w:type="dxa"/>
            <w:vAlign w:val="bottom"/>
          </w:tcPr>
          <w:p>
            <w:pPr>
              <w:ind w:left="460"/>
              <w:spacing w:after="0"/>
              <w:rPr>
                <w:sz w:val="20"/>
                <w:szCs w:val="20"/>
                <w:color w:val="auto"/>
              </w:rPr>
            </w:pPr>
            <w:r>
              <w:rPr>
                <w:rFonts w:ascii="Arial" w:cs="Arial" w:eastAsia="Arial" w:hAnsi="Arial"/>
                <w:sz w:val="18"/>
                <w:szCs w:val="18"/>
                <w:color w:val="auto"/>
              </w:rPr>
              <w:t>333-181376</w:t>
            </w:r>
          </w:p>
        </w:tc>
        <w:tc>
          <w:tcPr>
            <w:tcW w:w="1140" w:type="dxa"/>
            <w:vAlign w:val="bottom"/>
          </w:tcPr>
          <w:p>
            <w:pPr>
              <w:ind w:left="260"/>
              <w:spacing w:after="0"/>
              <w:rPr>
                <w:sz w:val="20"/>
                <w:szCs w:val="20"/>
                <w:color w:val="auto"/>
              </w:rPr>
            </w:pPr>
            <w:r>
              <w:rPr>
                <w:rFonts w:ascii="Arial" w:cs="Arial" w:eastAsia="Arial" w:hAnsi="Arial"/>
                <w:sz w:val="18"/>
                <w:szCs w:val="18"/>
                <w:color w:val="auto"/>
              </w:rPr>
              <w:t>10.12</w:t>
            </w:r>
          </w:p>
        </w:tc>
        <w:tc>
          <w:tcPr>
            <w:tcW w:w="2100" w:type="dxa"/>
            <w:vAlign w:val="bottom"/>
          </w:tcPr>
          <w:p>
            <w:pPr>
              <w:ind w:left="260"/>
              <w:spacing w:after="0"/>
              <w:rPr>
                <w:sz w:val="20"/>
                <w:szCs w:val="20"/>
                <w:color w:val="auto"/>
              </w:rPr>
            </w:pPr>
            <w:r>
              <w:rPr>
                <w:rFonts w:ascii="Arial" w:cs="Arial" w:eastAsia="Arial" w:hAnsi="Arial"/>
                <w:sz w:val="18"/>
                <w:szCs w:val="18"/>
                <w:color w:val="auto"/>
              </w:rPr>
              <w:t>September 27,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5"/>
              </w:rPr>
              <w:t>Bank and Shutterstock Images LLC dated September</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21, 2012.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438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w:t>
            </w:r>
          </w:p>
        </w:tc>
        <w:tc>
          <w:tcPr>
            <w:tcW w:w="1060" w:type="dxa"/>
            <w:vAlign w:val="bottom"/>
          </w:tcPr>
          <w:p>
            <w:pPr>
              <w:ind w:left="140"/>
              <w:spacing w:after="0"/>
              <w:rPr>
                <w:sz w:val="20"/>
                <w:szCs w:val="20"/>
                <w:color w:val="auto"/>
              </w:rPr>
            </w:pPr>
            <w:r>
              <w:rPr>
                <w:rFonts w:ascii="Arial" w:cs="Arial" w:eastAsia="Arial" w:hAnsi="Arial"/>
                <w:sz w:val="18"/>
                <w:szCs w:val="18"/>
                <w:color w:val="auto"/>
              </w:rPr>
              <w:t>10-Q</w:t>
            </w:r>
          </w:p>
        </w:tc>
        <w:tc>
          <w:tcPr>
            <w:tcW w:w="1600" w:type="dxa"/>
            <w:vAlign w:val="bottom"/>
          </w:tcPr>
          <w:p>
            <w:pPr>
              <w:ind w:left="460"/>
              <w:spacing w:after="0"/>
              <w:rPr>
                <w:sz w:val="20"/>
                <w:szCs w:val="20"/>
                <w:color w:val="auto"/>
              </w:rPr>
            </w:pPr>
            <w:r>
              <w:rPr>
                <w:rFonts w:ascii="Arial" w:cs="Arial" w:eastAsia="Arial" w:hAnsi="Arial"/>
                <w:sz w:val="18"/>
                <w:szCs w:val="18"/>
                <w:color w:val="auto"/>
              </w:rPr>
              <w:t>001-35669</w:t>
            </w:r>
          </w:p>
        </w:tc>
        <w:tc>
          <w:tcPr>
            <w:tcW w:w="1140" w:type="dxa"/>
            <w:vAlign w:val="bottom"/>
          </w:tcPr>
          <w:p>
            <w:pPr>
              <w:ind w:left="260"/>
              <w:spacing w:after="0"/>
              <w:rPr>
                <w:sz w:val="20"/>
                <w:szCs w:val="20"/>
                <w:color w:val="auto"/>
              </w:rPr>
            </w:pPr>
            <w:r>
              <w:rPr>
                <w:rFonts w:ascii="Arial" w:cs="Arial" w:eastAsia="Arial" w:hAnsi="Arial"/>
                <w:sz w:val="18"/>
                <w:szCs w:val="18"/>
                <w:color w:val="auto"/>
              </w:rPr>
              <w:t>31.1</w:t>
            </w:r>
          </w:p>
        </w:tc>
        <w:tc>
          <w:tcPr>
            <w:tcW w:w="2100" w:type="dxa"/>
            <w:vAlign w:val="bottom"/>
          </w:tcPr>
          <w:p>
            <w:pPr>
              <w:ind w:left="260"/>
              <w:spacing w:after="0"/>
              <w:rPr>
                <w:sz w:val="20"/>
                <w:szCs w:val="20"/>
                <w:color w:val="auto"/>
              </w:rPr>
            </w:pPr>
            <w:r>
              <w:rPr>
                <w:rFonts w:ascii="Arial" w:cs="Arial" w:eastAsia="Arial" w:hAnsi="Arial"/>
                <w:sz w:val="18"/>
                <w:szCs w:val="18"/>
                <w:color w:val="auto"/>
              </w:rPr>
              <w:t>November 20,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Exchange Act Rules 13a-14(a) and 15d-14(a), as</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1"/>
              </w:rPr>
              <w:t>adopted pursuant to Section 302 of the Sarbanes-Oxley</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Act of 2002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438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w:t>
            </w:r>
          </w:p>
        </w:tc>
        <w:tc>
          <w:tcPr>
            <w:tcW w:w="1060" w:type="dxa"/>
            <w:vAlign w:val="bottom"/>
          </w:tcPr>
          <w:p>
            <w:pPr>
              <w:ind w:left="140"/>
              <w:spacing w:after="0"/>
              <w:rPr>
                <w:sz w:val="20"/>
                <w:szCs w:val="20"/>
                <w:color w:val="auto"/>
              </w:rPr>
            </w:pPr>
            <w:r>
              <w:rPr>
                <w:rFonts w:ascii="Arial" w:cs="Arial" w:eastAsia="Arial" w:hAnsi="Arial"/>
                <w:sz w:val="18"/>
                <w:szCs w:val="18"/>
                <w:color w:val="auto"/>
              </w:rPr>
              <w:t>10-Q</w:t>
            </w:r>
          </w:p>
        </w:tc>
        <w:tc>
          <w:tcPr>
            <w:tcW w:w="1600" w:type="dxa"/>
            <w:vAlign w:val="bottom"/>
          </w:tcPr>
          <w:p>
            <w:pPr>
              <w:ind w:left="460"/>
              <w:spacing w:after="0"/>
              <w:rPr>
                <w:sz w:val="20"/>
                <w:szCs w:val="20"/>
                <w:color w:val="auto"/>
              </w:rPr>
            </w:pPr>
            <w:r>
              <w:rPr>
                <w:rFonts w:ascii="Arial" w:cs="Arial" w:eastAsia="Arial" w:hAnsi="Arial"/>
                <w:sz w:val="18"/>
                <w:szCs w:val="18"/>
                <w:color w:val="auto"/>
              </w:rPr>
              <w:t>001-35669</w:t>
            </w:r>
          </w:p>
        </w:tc>
        <w:tc>
          <w:tcPr>
            <w:tcW w:w="1140" w:type="dxa"/>
            <w:vAlign w:val="bottom"/>
          </w:tcPr>
          <w:p>
            <w:pPr>
              <w:ind w:left="260"/>
              <w:spacing w:after="0"/>
              <w:rPr>
                <w:sz w:val="20"/>
                <w:szCs w:val="20"/>
                <w:color w:val="auto"/>
              </w:rPr>
            </w:pPr>
            <w:r>
              <w:rPr>
                <w:rFonts w:ascii="Arial" w:cs="Arial" w:eastAsia="Arial" w:hAnsi="Arial"/>
                <w:sz w:val="18"/>
                <w:szCs w:val="18"/>
                <w:color w:val="auto"/>
              </w:rPr>
              <w:t>31.2</w:t>
            </w:r>
          </w:p>
        </w:tc>
        <w:tc>
          <w:tcPr>
            <w:tcW w:w="2100" w:type="dxa"/>
            <w:vAlign w:val="bottom"/>
          </w:tcPr>
          <w:p>
            <w:pPr>
              <w:ind w:left="260"/>
              <w:spacing w:after="0"/>
              <w:rPr>
                <w:sz w:val="20"/>
                <w:szCs w:val="20"/>
                <w:color w:val="auto"/>
              </w:rPr>
            </w:pPr>
            <w:r>
              <w:rPr>
                <w:rFonts w:ascii="Arial" w:cs="Arial" w:eastAsia="Arial" w:hAnsi="Arial"/>
                <w:sz w:val="18"/>
                <w:szCs w:val="18"/>
                <w:color w:val="auto"/>
              </w:rPr>
              <w:t>November 20,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Exchange Act Rules 13a-14(a) and 15d-14(a), as</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1"/>
              </w:rPr>
              <w:t>adopted pursuant to Section 302 of the Sarbanes-Oxley</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Act of 2002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4380" w:type="dxa"/>
            <w:vAlign w:val="bottom"/>
          </w:tcPr>
          <w:p>
            <w:pPr>
              <w:ind w:left="300"/>
              <w:spacing w:after="0"/>
              <w:rPr>
                <w:sz w:val="20"/>
                <w:szCs w:val="20"/>
                <w:color w:val="auto"/>
              </w:rPr>
            </w:pPr>
            <w:r>
              <w:rPr>
                <w:rFonts w:ascii="Arial" w:cs="Arial" w:eastAsia="Arial" w:hAnsi="Arial"/>
                <w:sz w:val="18"/>
                <w:szCs w:val="18"/>
                <w:color w:val="auto"/>
                <w:w w:val="99"/>
              </w:rPr>
              <w:t>Certifications of Chief Executive Officer pursuant to</w:t>
            </w:r>
          </w:p>
        </w:tc>
        <w:tc>
          <w:tcPr>
            <w:tcW w:w="1060" w:type="dxa"/>
            <w:vAlign w:val="bottom"/>
          </w:tcPr>
          <w:p>
            <w:pPr>
              <w:ind w:left="140"/>
              <w:spacing w:after="0"/>
              <w:rPr>
                <w:sz w:val="20"/>
                <w:szCs w:val="20"/>
                <w:color w:val="auto"/>
              </w:rPr>
            </w:pPr>
            <w:r>
              <w:rPr>
                <w:rFonts w:ascii="Arial" w:cs="Arial" w:eastAsia="Arial" w:hAnsi="Arial"/>
                <w:sz w:val="18"/>
                <w:szCs w:val="18"/>
                <w:color w:val="auto"/>
              </w:rPr>
              <w:t>10-Q</w:t>
            </w:r>
          </w:p>
        </w:tc>
        <w:tc>
          <w:tcPr>
            <w:tcW w:w="1600" w:type="dxa"/>
            <w:vAlign w:val="bottom"/>
          </w:tcPr>
          <w:p>
            <w:pPr>
              <w:ind w:left="460"/>
              <w:spacing w:after="0"/>
              <w:rPr>
                <w:sz w:val="20"/>
                <w:szCs w:val="20"/>
                <w:color w:val="auto"/>
              </w:rPr>
            </w:pPr>
            <w:r>
              <w:rPr>
                <w:rFonts w:ascii="Arial" w:cs="Arial" w:eastAsia="Arial" w:hAnsi="Arial"/>
                <w:sz w:val="18"/>
                <w:szCs w:val="18"/>
                <w:color w:val="auto"/>
              </w:rPr>
              <w:t>001-35669</w:t>
            </w:r>
          </w:p>
        </w:tc>
        <w:tc>
          <w:tcPr>
            <w:tcW w:w="1140" w:type="dxa"/>
            <w:vAlign w:val="bottom"/>
          </w:tcPr>
          <w:p>
            <w:pPr>
              <w:ind w:left="260"/>
              <w:spacing w:after="0"/>
              <w:rPr>
                <w:sz w:val="20"/>
                <w:szCs w:val="20"/>
                <w:color w:val="auto"/>
              </w:rPr>
            </w:pPr>
            <w:r>
              <w:rPr>
                <w:rFonts w:ascii="Arial" w:cs="Arial" w:eastAsia="Arial" w:hAnsi="Arial"/>
                <w:sz w:val="18"/>
                <w:szCs w:val="18"/>
                <w:color w:val="auto"/>
              </w:rPr>
              <w:t>32.1</w:t>
            </w:r>
          </w:p>
        </w:tc>
        <w:tc>
          <w:tcPr>
            <w:tcW w:w="2100" w:type="dxa"/>
            <w:vAlign w:val="bottom"/>
          </w:tcPr>
          <w:p>
            <w:pPr>
              <w:ind w:left="260"/>
              <w:spacing w:after="0"/>
              <w:rPr>
                <w:sz w:val="20"/>
                <w:szCs w:val="20"/>
                <w:color w:val="auto"/>
              </w:rPr>
            </w:pPr>
            <w:r>
              <w:rPr>
                <w:rFonts w:ascii="Arial" w:cs="Arial" w:eastAsia="Arial" w:hAnsi="Arial"/>
                <w:sz w:val="18"/>
                <w:szCs w:val="18"/>
                <w:color w:val="auto"/>
              </w:rPr>
              <w:t>November 20,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0"/>
              </w:rPr>
              <w:t>18 U.S.C. Section 1350, as adopted pursuant to Section</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906 of the Sarbanes-Oxley Act of 2002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4380" w:type="dxa"/>
            <w:vAlign w:val="bottom"/>
          </w:tcPr>
          <w:p>
            <w:pPr>
              <w:ind w:left="300"/>
              <w:spacing w:after="0"/>
              <w:rPr>
                <w:sz w:val="20"/>
                <w:szCs w:val="20"/>
                <w:color w:val="auto"/>
              </w:rPr>
            </w:pPr>
            <w:r>
              <w:rPr>
                <w:rFonts w:ascii="Arial" w:cs="Arial" w:eastAsia="Arial" w:hAnsi="Arial"/>
                <w:sz w:val="18"/>
                <w:szCs w:val="18"/>
                <w:color w:val="auto"/>
                <w:w w:val="95"/>
              </w:rPr>
              <w:t>Certifications of Chief Financial Officer pursuant to 18</w:t>
            </w:r>
          </w:p>
        </w:tc>
        <w:tc>
          <w:tcPr>
            <w:tcW w:w="1060" w:type="dxa"/>
            <w:vAlign w:val="bottom"/>
          </w:tcPr>
          <w:p>
            <w:pPr>
              <w:ind w:left="140"/>
              <w:spacing w:after="0"/>
              <w:rPr>
                <w:sz w:val="20"/>
                <w:szCs w:val="20"/>
                <w:color w:val="auto"/>
              </w:rPr>
            </w:pPr>
            <w:r>
              <w:rPr>
                <w:rFonts w:ascii="Arial" w:cs="Arial" w:eastAsia="Arial" w:hAnsi="Arial"/>
                <w:sz w:val="18"/>
                <w:szCs w:val="18"/>
                <w:color w:val="auto"/>
              </w:rPr>
              <w:t>10-Q</w:t>
            </w:r>
          </w:p>
        </w:tc>
        <w:tc>
          <w:tcPr>
            <w:tcW w:w="1600" w:type="dxa"/>
            <w:vAlign w:val="bottom"/>
          </w:tcPr>
          <w:p>
            <w:pPr>
              <w:ind w:left="460"/>
              <w:spacing w:after="0"/>
              <w:rPr>
                <w:sz w:val="20"/>
                <w:szCs w:val="20"/>
                <w:color w:val="auto"/>
              </w:rPr>
            </w:pPr>
            <w:r>
              <w:rPr>
                <w:rFonts w:ascii="Arial" w:cs="Arial" w:eastAsia="Arial" w:hAnsi="Arial"/>
                <w:sz w:val="18"/>
                <w:szCs w:val="18"/>
                <w:color w:val="auto"/>
              </w:rPr>
              <w:t>001-35669</w:t>
            </w:r>
          </w:p>
        </w:tc>
        <w:tc>
          <w:tcPr>
            <w:tcW w:w="1140" w:type="dxa"/>
            <w:vAlign w:val="bottom"/>
          </w:tcPr>
          <w:p>
            <w:pPr>
              <w:ind w:left="260"/>
              <w:spacing w:after="0"/>
              <w:rPr>
                <w:sz w:val="20"/>
                <w:szCs w:val="20"/>
                <w:color w:val="auto"/>
              </w:rPr>
            </w:pPr>
            <w:r>
              <w:rPr>
                <w:rFonts w:ascii="Arial" w:cs="Arial" w:eastAsia="Arial" w:hAnsi="Arial"/>
                <w:sz w:val="18"/>
                <w:szCs w:val="18"/>
                <w:color w:val="auto"/>
              </w:rPr>
              <w:t>32.2</w:t>
            </w:r>
          </w:p>
        </w:tc>
        <w:tc>
          <w:tcPr>
            <w:tcW w:w="2100" w:type="dxa"/>
            <w:vAlign w:val="bottom"/>
          </w:tcPr>
          <w:p>
            <w:pPr>
              <w:ind w:left="260"/>
              <w:spacing w:after="0"/>
              <w:rPr>
                <w:sz w:val="20"/>
                <w:szCs w:val="20"/>
                <w:color w:val="auto"/>
              </w:rPr>
            </w:pPr>
            <w:r>
              <w:rPr>
                <w:rFonts w:ascii="Arial" w:cs="Arial" w:eastAsia="Arial" w:hAnsi="Arial"/>
                <w:sz w:val="18"/>
                <w:szCs w:val="18"/>
                <w:color w:val="auto"/>
              </w:rPr>
              <w:t>November 20, 2012</w:t>
            </w:r>
          </w:p>
        </w:tc>
      </w:tr>
      <w:tr>
        <w:trPr>
          <w:trHeight w:val="216"/>
        </w:trPr>
        <w:tc>
          <w:tcPr>
            <w:tcW w:w="118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w w:val="96"/>
              </w:rPr>
              <w:t>U.S.C. Section 1350, as adopted pursuant to Section</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906 of the Sarbanes-Oxley Act of 2002</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4380" w:type="dxa"/>
            <w:vAlign w:val="bottom"/>
          </w:tcPr>
          <w:p>
            <w:pPr>
              <w:ind w:left="300"/>
              <w:spacing w:after="0"/>
              <w:rPr>
                <w:sz w:val="20"/>
                <w:szCs w:val="20"/>
                <w:color w:val="auto"/>
              </w:rPr>
            </w:pPr>
            <w:r>
              <w:rPr>
                <w:rFonts w:ascii="Arial" w:cs="Arial" w:eastAsia="Arial" w:hAnsi="Arial"/>
                <w:sz w:val="18"/>
                <w:szCs w:val="18"/>
                <w:color w:val="auto"/>
              </w:rPr>
              <w:t>XBRL Instance Document</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43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438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Document</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438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-6012815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-6012815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 w:name="page4"/>
    <w:bookmarkEnd w:id="3"/>
    <w:p>
      <w:pPr>
        <w:ind w:left="1480"/>
        <w:spacing w:after="0"/>
        <w:rPr>
          <w:sz w:val="20"/>
          <w:szCs w:val="20"/>
          <w:color w:val="auto"/>
        </w:rPr>
      </w:pPr>
      <w:r>
        <w:rPr>
          <w:rFonts w:ascii="Arial" w:cs="Arial" w:eastAsia="Arial" w:hAnsi="Arial"/>
          <w:sz w:val="16"/>
          <w:szCs w:val="16"/>
          <w:color w:val="auto"/>
        </w:rPr>
        <w:t>Document</w:t>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ectPr>
          <w:pgSz w:w="11900" w:h="16838" w:orient="portrait"/>
          <w:cols w:equalWidth="0" w:num="2">
            <w:col w:w="860" w:space="620"/>
            <w:col w:w="9940"/>
          </w:cols>
          <w:pgMar w:left="240" w:top="125"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211455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640"/>
            <w:col w:w="9940"/>
          </w:cols>
          <w:pgMar w:left="240" w:top="125" w:right="239" w:bottom="1440" w:gutter="0" w:footer="0" w:header="0"/>
          <w:type w:val="continuous"/>
        </w:sectPr>
      </w:pPr>
    </w:p>
    <w:p>
      <w:pPr>
        <w:spacing w:after="0" w:line="24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340" w:right="140" w:hanging="332"/>
        <w:spacing w:after="0" w:line="286"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66" w:lineRule="exact"/>
        <w:rPr>
          <w:sz w:val="20"/>
          <w:szCs w:val="20"/>
          <w:color w:val="auto"/>
        </w:rPr>
      </w:pPr>
    </w:p>
    <w:p>
      <w:pPr>
        <w:ind w:left="340" w:right="700" w:hanging="332"/>
        <w:spacing w:after="0" w:line="277" w:lineRule="auto"/>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exhibits were previously included or incorporated by reference in Shutterstock, Inc.’s quarterly report on Form 10-Q for the quarter ended September 30, 2012, filed with the Securities and Exchange Commission on November 20, 2012.</w:t>
      </w:r>
    </w:p>
    <w:p>
      <w:pPr>
        <w:spacing w:after="0" w:line="17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340" w:hanging="332"/>
        <w:spacing w:after="0" w:line="308"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RESTRICTED STOCK AGREEMENT</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AMENDED AND RESTATED RESTRICTED STOCK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effective as of October 5, 2012, is made between Thilo Semmelbauer (the “</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 and Shutterstock,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its assignees of rights 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20" w:firstLine="656"/>
        <w:spacing w:after="0" w:line="264" w:lineRule="auto"/>
        <w:tabs>
          <w:tab w:leader="none" w:pos="1309"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August 17, 2010, the Company granted the Shareholder a membership interest (the “</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in Shutterstock Images LLC (“</w:t>
      </w:r>
      <w:r>
        <w:rPr>
          <w:rFonts w:ascii="Arial" w:cs="Arial" w:eastAsia="Arial" w:hAnsi="Arial"/>
          <w:sz w:val="18"/>
          <w:szCs w:val="18"/>
          <w:b w:val="1"/>
          <w:bCs w:val="1"/>
          <w:i w:val="1"/>
          <w:iCs w:val="1"/>
          <w:color w:val="auto"/>
        </w:rPr>
        <w:t>Shutterstock LLC</w:t>
      </w:r>
      <w:r>
        <w:rPr>
          <w:rFonts w:ascii="Arial" w:cs="Arial" w:eastAsia="Arial" w:hAnsi="Arial"/>
          <w:sz w:val="18"/>
          <w:szCs w:val="18"/>
          <w:color w:val="auto"/>
        </w:rPr>
        <w:t>”) pursuant to the Profits Interest Grant and Repurchase Agreement (the “</w:t>
      </w:r>
      <w:r>
        <w:rPr>
          <w:rFonts w:ascii="Arial" w:cs="Arial" w:eastAsia="Arial" w:hAnsi="Arial"/>
          <w:sz w:val="18"/>
          <w:szCs w:val="18"/>
          <w:b w:val="1"/>
          <w:bCs w:val="1"/>
          <w:i w:val="1"/>
          <w:iCs w:val="1"/>
          <w:color w:val="auto"/>
        </w:rPr>
        <w:t>Grant Agreement</w:t>
      </w:r>
      <w:r>
        <w:rPr>
          <w:rFonts w:ascii="Arial" w:cs="Arial" w:eastAsia="Arial" w:hAnsi="Arial"/>
          <w:sz w:val="18"/>
          <w:szCs w:val="18"/>
          <w:color w:val="auto"/>
        </w:rPr>
        <w:t>”), which was subject to vesting based on the Shareholder’s continued service to Shutterstock LLC.</w:t>
      </w:r>
    </w:p>
    <w:p>
      <w:pPr>
        <w:spacing w:after="0" w:line="181" w:lineRule="exact"/>
        <w:rPr>
          <w:rFonts w:ascii="Arial" w:cs="Arial" w:eastAsia="Arial" w:hAnsi="Arial"/>
          <w:sz w:val="18"/>
          <w:szCs w:val="18"/>
          <w:color w:val="auto"/>
        </w:rPr>
      </w:pPr>
    </w:p>
    <w:p>
      <w:pPr>
        <w:ind w:firstLine="656"/>
        <w:spacing w:after="0" w:line="277" w:lineRule="auto"/>
        <w:tabs>
          <w:tab w:leader="none" w:pos="1299"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Shareholder timely filed an election under Section 83(b)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in connection with the Membership Interest and Grant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connection with a merger transaction whereby Shutterstock LLC was merged with and into the Company (such transaction, the</w:t>
      </w:r>
    </w:p>
    <w:p>
      <w:pPr>
        <w:spacing w:after="0" w:line="3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the Shareholder received in the Merger in exchange for his Membership Interests 427,649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84" w:lineRule="exact"/>
        <w:rPr>
          <w:sz w:val="20"/>
          <w:szCs w:val="20"/>
          <w:color w:val="auto"/>
        </w:rPr>
      </w:pPr>
    </w:p>
    <w:p>
      <w:pPr>
        <w:ind w:right="200" w:firstLine="656"/>
        <w:spacing w:after="0" w:line="312" w:lineRule="auto"/>
        <w:tabs>
          <w:tab w:leader="none" w:pos="13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the Agreement and Plan of Merger with respect to the Merger, the allocable portion of the Shares issued to the Shareholder in the Merger that is attributable to the Shareholder’s Membership Interest that was subject to vesting as of the date of the Merger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will continue to remain subject to the same vesting conditions that were applicable to the Membership Interest as of the Closing Date.</w:t>
      </w:r>
    </w:p>
    <w:p>
      <w:pPr>
        <w:spacing w:after="0" w:line="146" w:lineRule="exact"/>
        <w:rPr>
          <w:rFonts w:ascii="Arial" w:cs="Arial" w:eastAsia="Arial" w:hAnsi="Arial"/>
          <w:sz w:val="16"/>
          <w:szCs w:val="16"/>
          <w:color w:val="auto"/>
        </w:rPr>
      </w:pPr>
    </w:p>
    <w:p>
      <w:pPr>
        <w:jc w:val="both"/>
        <w:ind w:right="120" w:firstLine="656"/>
        <w:spacing w:after="0" w:line="302" w:lineRule="auto"/>
        <w:tabs>
          <w:tab w:leader="none" w:pos="1303"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the Closing Date, the Shareholder was vested as to 7/15 of his Membership Interest and, therefore, 7/15 of the number of Shares, or 199,570 shares, are fully vested (the “</w:t>
      </w:r>
      <w:r>
        <w:rPr>
          <w:rFonts w:ascii="Arial" w:cs="Arial" w:eastAsia="Arial" w:hAnsi="Arial"/>
          <w:sz w:val="16"/>
          <w:szCs w:val="16"/>
          <w:b w:val="1"/>
          <w:bCs w:val="1"/>
          <w:i w:val="1"/>
          <w:iCs w:val="1"/>
          <w:color w:val="auto"/>
        </w:rPr>
        <w:t>Vested Shares</w:t>
      </w:r>
      <w:r>
        <w:rPr>
          <w:rFonts w:ascii="Arial" w:cs="Arial" w:eastAsia="Arial" w:hAnsi="Arial"/>
          <w:sz w:val="16"/>
          <w:szCs w:val="16"/>
          <w:color w:val="auto"/>
        </w:rPr>
        <w:t>”). The remaining 8/15 of the number of Shares, or 228,079 shares, relate to the unvested portion of the Membership Interest as of the Closing Date (the “</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which will vest and the Company’s right to reacquire the Restricted Shares shall lapse in accordance with the vesting schedule applicable to the Membership Interest, subject to the terms and conditions as more fully set forth in this Agreement.</w:t>
      </w:r>
    </w:p>
    <w:p>
      <w:pPr>
        <w:spacing w:after="0" w:line="154" w:lineRule="exact"/>
        <w:rPr>
          <w:rFonts w:ascii="Arial" w:cs="Arial" w:eastAsia="Arial" w:hAnsi="Arial"/>
          <w:sz w:val="16"/>
          <w:szCs w:val="16"/>
          <w:color w:val="auto"/>
        </w:rPr>
      </w:pPr>
    </w:p>
    <w:p>
      <w:pPr>
        <w:ind w:right="60" w:firstLine="656"/>
        <w:spacing w:after="0" w:line="277" w:lineRule="auto"/>
        <w:tabs>
          <w:tab w:leader="none" w:pos="12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October 5, 2012, the Company and the Shareholder entered into a Restricted Stock Agreement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setting forth the terms and conditions regarding the vesting of the Restricted Shares.</w:t>
      </w:r>
    </w:p>
    <w:p>
      <w:pPr>
        <w:spacing w:after="0" w:line="170" w:lineRule="exact"/>
        <w:rPr>
          <w:rFonts w:ascii="Arial" w:cs="Arial" w:eastAsia="Arial" w:hAnsi="Arial"/>
          <w:sz w:val="18"/>
          <w:szCs w:val="18"/>
          <w:color w:val="auto"/>
        </w:rPr>
      </w:pPr>
    </w:p>
    <w:p>
      <w:pPr>
        <w:ind w:right="60" w:firstLine="656"/>
        <w:spacing w:after="0" w:line="277" w:lineRule="auto"/>
        <w:tabs>
          <w:tab w:leader="none" w:pos="13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the Shareholder desire to amend and restate the Original Agreement in its entirety, effective as of October 5, 2012, as set forth in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240" w:firstLine="656"/>
        <w:spacing w:after="0" w:line="264"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parties hereto desire that this Agreement set forth the terms and conditions regarding the vesting of the Restricted Shares, and this Agreement supersedes in its entirety the Grant Agreement and the Original Agreement with respect to the terms and conditions regarding the vesting of the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conditions set forth herein, and for other good and sufficient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Purchase and the Company agree as follows:</w:t>
      </w:r>
    </w:p>
    <w:p>
      <w:pPr>
        <w:spacing w:after="0" w:line="166" w:lineRule="exact"/>
        <w:rPr>
          <w:sz w:val="20"/>
          <w:szCs w:val="20"/>
          <w:color w:val="auto"/>
        </w:rPr>
      </w:pPr>
    </w:p>
    <w:p>
      <w:pPr>
        <w:ind w:right="200" w:firstLine="656"/>
        <w:spacing w:after="0" w:line="277"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The Restricted Stock will vest and the Company’s right to reacquire the Restricted Shares will lapse in accordance with the following schedule:</w:t>
      </w:r>
    </w:p>
    <w:p>
      <w:pPr>
        <w:spacing w:after="0" w:line="170" w:lineRule="exact"/>
        <w:rPr>
          <w:rFonts w:ascii="Arial" w:cs="Arial" w:eastAsia="Arial" w:hAnsi="Arial"/>
          <w:sz w:val="18"/>
          <w:szCs w:val="18"/>
          <w:color w:val="auto"/>
        </w:rPr>
      </w:pPr>
    </w:p>
    <w:p>
      <w:pPr>
        <w:ind w:right="220" w:firstLine="1305"/>
        <w:spacing w:after="0" w:line="264" w:lineRule="auto"/>
        <w:tabs>
          <w:tab w:leader="none" w:pos="19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provided otherwise in Section 1(b) below, 1/14 of the Restricted Shares shall vest on January 5, 2013 and 1/14 of the Restricted Shares shall vest each calendar quarter thereafter, such that all the Restricted Shares are vested and released from the Company’s right to acquire such Restricted Shares as of April 5, 2016.</w:t>
      </w:r>
    </w:p>
    <w:p>
      <w:pPr>
        <w:spacing w:after="0" w:line="181" w:lineRule="exact"/>
        <w:rPr>
          <w:rFonts w:ascii="Arial" w:cs="Arial" w:eastAsia="Arial" w:hAnsi="Arial"/>
          <w:sz w:val="18"/>
          <w:szCs w:val="18"/>
          <w:color w:val="auto"/>
        </w:rPr>
      </w:pPr>
    </w:p>
    <w:p>
      <w:pPr>
        <w:jc w:val="both"/>
        <w:ind w:right="220" w:firstLine="1305"/>
        <w:spacing w:after="0" w:line="259" w:lineRule="auto"/>
        <w:tabs>
          <w:tab w:leader="none" w:pos="19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50% of then-outstanding Restricted Shares, which is equal to 114,040 Restricted Shares, shall immediately vest and be released from the Company’s right to acquire such Restricted Shares upon the date of the effectiveness of the registration statement relating to the Company’s initial public offering (such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and, following the Acceleration Date, the remaining Restricted Shares shall vest ratably over the remaining quarterly vesting dates between the Acceleration Date and April 5, 2016.</w:t>
      </w:r>
    </w:p>
    <w:p>
      <w:pPr>
        <w:spacing w:after="0" w:line="186" w:lineRule="exact"/>
        <w:rPr>
          <w:rFonts w:ascii="Arial" w:cs="Arial" w:eastAsia="Arial" w:hAnsi="Arial"/>
          <w:sz w:val="18"/>
          <w:szCs w:val="18"/>
          <w:color w:val="auto"/>
        </w:rPr>
      </w:pPr>
    </w:p>
    <w:p>
      <w:pPr>
        <w:ind w:right="60" w:firstLine="1305"/>
        <w:spacing w:after="0" w:line="264" w:lineRule="auto"/>
        <w:tabs>
          <w:tab w:leader="none" w:pos="19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the foregoing, immediately following the vesting of 114,040 Restricted Shares on the Acceleration Date pursuant to Section 1(b) above, 10,692 of such shares shall be resubjected to vesting and shall vest ratably over the remaining quarterly vesting dates between the Acceleration Date and April 5, 2016.</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Escrow of Restricted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40" w:firstLine="1305"/>
        <w:spacing w:after="0" w:line="264" w:lineRule="auto"/>
        <w:tabs>
          <w:tab w:leader="none" w:pos="16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Restricted Shares will, upon execution of this Agreement, be delivered and deposited with the Secretary of the Company or the Secretary’s designee (the “</w:t>
      </w:r>
      <w:r>
        <w:rPr>
          <w:rFonts w:ascii="Arial" w:cs="Arial" w:eastAsia="Arial" w:hAnsi="Arial"/>
          <w:sz w:val="18"/>
          <w:szCs w:val="18"/>
          <w:b w:val="1"/>
          <w:bCs w:val="1"/>
          <w:i w:val="1"/>
          <w:iCs w:val="1"/>
          <w:color w:val="auto"/>
        </w:rPr>
        <w:t>Escrow Holder</w:t>
      </w:r>
      <w:r>
        <w:rPr>
          <w:rFonts w:ascii="Arial" w:cs="Arial" w:eastAsia="Arial" w:hAnsi="Arial"/>
          <w:sz w:val="18"/>
          <w:szCs w:val="18"/>
          <w:color w:val="auto"/>
        </w:rPr>
        <w:t>”). The Restricted Shares will be held by the Escrow Holder until such time as the Restricted Shares vest or the date the Shareholder ceases to be a Service Provider.</w:t>
      </w:r>
    </w:p>
    <w:p>
      <w:pPr>
        <w:spacing w:after="0" w:line="181" w:lineRule="exact"/>
        <w:rPr>
          <w:rFonts w:ascii="Arial" w:cs="Arial" w:eastAsia="Arial" w:hAnsi="Arial"/>
          <w:sz w:val="18"/>
          <w:szCs w:val="18"/>
          <w:color w:val="auto"/>
        </w:rPr>
      </w:pPr>
    </w:p>
    <w:p>
      <w:pPr>
        <w:ind w:right="140" w:firstLine="1305"/>
        <w:spacing w:after="0" w:line="277" w:lineRule="auto"/>
        <w:tabs>
          <w:tab w:leader="none" w:pos="1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Escrow Holder will not be liable for any act it may do or omit to do with respect to holding the Restricted Shares in escrow while acting in good faith and in the exercise of its judgment.</w:t>
      </w:r>
    </w:p>
    <w:p>
      <w:pPr>
        <w:spacing w:after="0" w:line="170" w:lineRule="exact"/>
        <w:rPr>
          <w:rFonts w:ascii="Arial" w:cs="Arial" w:eastAsia="Arial" w:hAnsi="Arial"/>
          <w:sz w:val="18"/>
          <w:szCs w:val="18"/>
          <w:color w:val="auto"/>
        </w:rPr>
      </w:pPr>
    </w:p>
    <w:p>
      <w:pPr>
        <w:ind w:firstLine="1305"/>
        <w:spacing w:after="0" w:line="342" w:lineRule="auto"/>
        <w:tabs>
          <w:tab w:leader="none" w:pos="1631" w:val="left"/>
        </w:tabs>
        <w:numPr>
          <w:ilvl w:val="1"/>
          <w:numId w:val="11"/>
        </w:numPr>
        <w:rPr>
          <w:rFonts w:ascii="Arial" w:cs="Arial" w:eastAsia="Arial" w:hAnsi="Arial"/>
          <w:sz w:val="16"/>
          <w:szCs w:val="16"/>
          <w:color w:val="auto"/>
        </w:rPr>
      </w:pPr>
      <w:r>
        <w:rPr>
          <w:rFonts w:ascii="Arial" w:cs="Arial" w:eastAsia="Arial" w:hAnsi="Arial"/>
          <w:sz w:val="16"/>
          <w:szCs w:val="16"/>
          <w:color w:val="auto"/>
        </w:rPr>
        <w:t>Upon the Shareholder’s termination as an employee, director, consultant or other service provider to the Company (a “</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Provider</w:t>
      </w:r>
      <w:r>
        <w:rPr>
          <w:rFonts w:ascii="Arial" w:cs="Arial" w:eastAsia="Arial" w:hAnsi="Arial"/>
          <w:sz w:val="16"/>
          <w:szCs w:val="16"/>
          <w:color w:val="auto"/>
        </w:rPr>
        <w:t>”) for any reason, the Escrow Holder, upon receipt of written notice of such termination, will take all steps necessary to accomplish the transfer of the</w:t>
      </w:r>
    </w:p>
    <w:p>
      <w:pPr>
        <w:sectPr>
          <w:pgSz w:w="11900" w:h="16908" w:orient="portrait"/>
          <w:cols w:equalWidth="0" w:num="1">
            <w:col w:w="11420"/>
          </w:cols>
          <w:pgMar w:left="240" w:top="121" w:right="239" w:bottom="0" w:gutter="0" w:footer="0" w:header="0"/>
        </w:sectPr>
      </w:pPr>
    </w:p>
    <w:bookmarkStart w:id="5" w:name="page6"/>
    <w:bookmarkEnd w:id="5"/>
    <w:p>
      <w:pPr>
        <w:spacing w:after="0" w:line="8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unvested Restricted Shares to the Company. The Shareholder hereby appoints the Escrow Holder with full power of substitution, as the Shareholder’s true and lawful attorney in fact with irrevocable power and authority in the name and on behalf of the Shareholder to take any action and execute all documents and instruments, including, without limitation,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powers which may be necessary to transfer the unvested Restricted Shares to the Company upon such termination.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The Escrow Holder will immediately take all steps necessary to accomplish the transfer of Restricted Shares to the Shareholder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vest.</w:t>
      </w:r>
    </w:p>
    <w:p>
      <w:pPr>
        <w:spacing w:after="0" w:line="211" w:lineRule="exact"/>
        <w:rPr>
          <w:sz w:val="20"/>
          <w:szCs w:val="20"/>
          <w:color w:val="auto"/>
        </w:rPr>
      </w:pPr>
    </w:p>
    <w:p>
      <w:pPr>
        <w:ind w:firstLine="1305"/>
        <w:spacing w:after="0" w:line="308" w:lineRule="auto"/>
        <w:tabs>
          <w:tab w:leader="none" w:pos="16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Subject to the terms hereof, the Shareholder will have all the rights of a stockholder with respect to the Restricted Shares while they are held in escrow, including without limitation, the right to vote the Restricted Shares and to receive any cash dividends declared thereon.</w:t>
      </w:r>
    </w:p>
    <w:p>
      <w:pPr>
        <w:spacing w:after="0" w:line="146" w:lineRule="exact"/>
        <w:rPr>
          <w:rFonts w:ascii="Arial" w:cs="Arial" w:eastAsia="Arial" w:hAnsi="Arial"/>
          <w:sz w:val="17"/>
          <w:szCs w:val="17"/>
          <w:color w:val="auto"/>
        </w:rPr>
      </w:pPr>
    </w:p>
    <w:p>
      <w:pPr>
        <w:ind w:right="20" w:firstLine="656"/>
        <w:spacing w:after="0" w:line="271" w:lineRule="auto"/>
        <w:tabs>
          <w:tab w:leader="none" w:pos="97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 of Status as a Service Provider</w:t>
      </w:r>
      <w:r>
        <w:rPr>
          <w:rFonts w:ascii="Arial" w:cs="Arial" w:eastAsia="Arial" w:hAnsi="Arial"/>
          <w:sz w:val="17"/>
          <w:szCs w:val="17"/>
          <w:color w:val="auto"/>
        </w:rPr>
        <w:t>. Unless specifically provided otherwise in this Agreement or in another agreement between Shareholder and the Company, the Restricted Shares that have not vested at the time of the Shareholder’s termination as a Service Provider for any reason will be forfeited and automatically transferred to and reacquired by the Company at no cost to the Company upon the date of such termination and the Shareholder will have no further rights thereunder. The Shareholder will not be entitled to a refund of the price paid for the Restricted Shares, if any, returned to the Company pursuant to this Section 3. The Shareholder hereby appoints the Escrow Holder with full power of substitution, as the Shareholder’s true and lawful attorney-in-fact with irrevocable power and authority in the name and on behalf of the Shareholder to take any action and execute all documents and instruments, including, without limitation, stock powers which may be necessary to transfer such unvested Restricted Shares to the Company pursuant to this Section 3 upon such termination of service.</w:t>
      </w:r>
    </w:p>
    <w:p>
      <w:pPr>
        <w:spacing w:after="0" w:line="178" w:lineRule="exact"/>
        <w:rPr>
          <w:rFonts w:ascii="Arial" w:cs="Arial" w:eastAsia="Arial" w:hAnsi="Arial"/>
          <w:sz w:val="17"/>
          <w:szCs w:val="17"/>
          <w:color w:val="auto"/>
        </w:rPr>
      </w:pPr>
    </w:p>
    <w:p>
      <w:pPr>
        <w:ind w:right="480" w:firstLine="656"/>
        <w:spacing w:after="0" w:line="277"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Ownership, Voting Rights, Duties</w:t>
      </w:r>
      <w:r>
        <w:rPr>
          <w:rFonts w:ascii="Arial" w:cs="Arial" w:eastAsia="Arial" w:hAnsi="Arial"/>
          <w:sz w:val="18"/>
          <w:szCs w:val="18"/>
          <w:color w:val="auto"/>
        </w:rPr>
        <w:t>. This Agreement shall not affect in any way the ownership, voting rights or other rights or duties of the Shareholder, except as specifically provided herein.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p>
    <w:p>
      <w:pPr>
        <w:spacing w:after="0" w:line="225" w:lineRule="exact"/>
        <w:rPr>
          <w:rFonts w:ascii="Arial" w:cs="Arial" w:eastAsia="Arial" w:hAnsi="Arial"/>
          <w:sz w:val="18"/>
          <w:szCs w:val="18"/>
          <w:color w:val="auto"/>
        </w:rPr>
      </w:pPr>
    </w:p>
    <w:p>
      <w:pPr>
        <w:ind w:right="420" w:firstLine="1305"/>
        <w:spacing w:after="0" w:line="277" w:lineRule="auto"/>
        <w:tabs>
          <w:tab w:leader="none" w:pos="161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unvested Restricted Shares issued hereunder shall be endorsed with the following legend (in addition to any legend required under applicable state securities laws):</w:t>
      </w:r>
    </w:p>
    <w:p>
      <w:pPr>
        <w:spacing w:after="0" w:line="170" w:lineRule="exact"/>
        <w:rPr>
          <w:sz w:val="20"/>
          <w:szCs w:val="20"/>
          <w:color w:val="auto"/>
        </w:rPr>
      </w:pPr>
    </w:p>
    <w:p>
      <w:pPr>
        <w:jc w:val="both"/>
        <w:ind w:left="1300" w:right="440"/>
        <w:spacing w:after="0" w:line="264" w:lineRule="auto"/>
        <w:rPr>
          <w:sz w:val="20"/>
          <w:szCs w:val="20"/>
          <w:color w:val="auto"/>
        </w:rPr>
      </w:pPr>
      <w:r>
        <w:rPr>
          <w:rFonts w:ascii="Arial" w:cs="Arial" w:eastAsia="Arial" w:hAnsi="Arial"/>
          <w:sz w:val="18"/>
          <w:szCs w:val="18"/>
          <w:color w:val="auto"/>
        </w:rPr>
        <w:t>THE SHARES REPRESENTED HEREBY ARE SUBJECT TO CERTAIN RESTRICTIONS UPON TRANSFER AND RIGHTS OF REPURCHASE AS SET FORTH IN AN AGREEMENT BETWEEN THE COMPANY AND THE STOCKHOLDER, A COPY OF WHICH IS ON FILE WITH THE SECRETARY OF THE COMPANY.</w:t>
      </w:r>
    </w:p>
    <w:p>
      <w:pPr>
        <w:spacing w:after="0" w:line="181" w:lineRule="exact"/>
        <w:rPr>
          <w:sz w:val="20"/>
          <w:szCs w:val="20"/>
          <w:color w:val="auto"/>
        </w:rPr>
      </w:pPr>
    </w:p>
    <w:p>
      <w:pPr>
        <w:ind w:left="1300" w:right="420"/>
        <w:spacing w:after="0" w:line="279" w:lineRule="auto"/>
        <w:rPr>
          <w:sz w:val="20"/>
          <w:szCs w:val="20"/>
          <w:color w:val="auto"/>
        </w:rPr>
      </w:pPr>
      <w:r>
        <w:rPr>
          <w:rFonts w:ascii="Arial" w:cs="Arial" w:eastAsia="Arial" w:hAnsi="Arial"/>
          <w:sz w:val="17"/>
          <w:szCs w:val="17"/>
          <w:color w:val="auto"/>
        </w:rPr>
        <w:t>THE SHARES REPRESENTED HEREBY HAVE NOT BEEN REGISTERED UNDER THE SECURITIES ACT OF 1933, AS AMENDED (THE “SECURITIES ACT”). THEY MAY NOT BE SOLD, OFFERED FOR SALE, PLEDGED, TRANSFERRED OR OTHERWISE DISPOSED OF IN THE ABSENCE OF A REGISTRATION STATEMENT IN EFFECT WITH RESPECT TO THE SHARES UNDER THE SECURITIES ACT OR AN OPINION OF COUNSEL SATISFACTORY TO THE COMPANY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SUCH REGISTRATION IS NOT REQUIRED OR UNLESS SOLD PURSUANT TO RULE 144 OF THE SECURITIES ACT.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At such time as it is appropriate to remove any of the foregoing legends because the restrictions described therein are no longer applicable to the Shares, the Company will use its reasonable efforts to have such legends removed as soon as practicable thereafter.</w:t>
      </w:r>
    </w:p>
    <w:p>
      <w:pPr>
        <w:spacing w:after="0" w:line="170" w:lineRule="exact"/>
        <w:rPr>
          <w:sz w:val="20"/>
          <w:szCs w:val="20"/>
          <w:color w:val="auto"/>
        </w:rPr>
      </w:pPr>
    </w:p>
    <w:p>
      <w:pPr>
        <w:ind w:right="100" w:firstLine="1305"/>
        <w:spacing w:after="0" w:line="264" w:lineRule="auto"/>
        <w:tabs>
          <w:tab w:leader="none" w:pos="162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ind w:right="20" w:firstLine="1305"/>
        <w:spacing w:after="0" w:line="264" w:lineRule="auto"/>
        <w:tabs>
          <w:tab w:leader="none" w:pos="163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4" w:lineRule="auto"/>
        <w:tabs>
          <w:tab w:leader="none" w:pos="1618"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Regardless of any action the Company takes with respect to any or all applicable national, local, or other tax or social contribution, withholding, required deductions, or other payments, if any, that may arise upon the receipt, vesting, the holding or subsequent sale of the Shares, and the receipt of dividends, if any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Shareholder acknowledges and agrees that the ultimate liability for all Tax-Related Items legally due by the Shareholder is and remains the Shareholder’s responsibility, except to the extent the Shareholder is entitled to a gross-up under Section 6(b) below. The Shareholder further acknowledges that the Company (a) makes no representations or undertakings regarding the treatment of any Tax-Related Items in connection with any aspect of the Restricted Shares and the receipt of dividends, if any; and (b) does not commit to and is under no obligation to structure the terms of the Restricted Stock to reduce or eliminate the Shareholder’s liability for Tax-Related Items, or achieve any particular tax result.</w:t>
      </w:r>
    </w:p>
    <w:p>
      <w:pPr>
        <w:spacing w:after="0" w:line="192" w:lineRule="exact"/>
        <w:rPr>
          <w:rFonts w:ascii="Arial" w:cs="Arial" w:eastAsia="Arial" w:hAnsi="Arial"/>
          <w:sz w:val="18"/>
          <w:szCs w:val="18"/>
          <w:color w:val="auto"/>
        </w:rPr>
      </w:pPr>
    </w:p>
    <w:p>
      <w:pPr>
        <w:ind w:firstLine="1305"/>
        <w:spacing w:after="0" w:line="273" w:lineRule="auto"/>
        <w:tabs>
          <w:tab w:leader="none" w:pos="1628"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Tax Gross-Up</w:t>
      </w:r>
      <w:r>
        <w:rPr>
          <w:rFonts w:ascii="Arial" w:cs="Arial" w:eastAsia="Arial" w:hAnsi="Arial"/>
          <w:sz w:val="17"/>
          <w:szCs w:val="17"/>
          <w:color w:val="auto"/>
        </w:rPr>
        <w:t>. The Company shall gross-up Shareholder for all taxes, penalties and interest Shareholder incurs arising out of an Internal Revenue Service (or other government agency) determination that the Membership Interest had a fair market value on the date of grant of more than $0 or a determination that some or all of the terms of the Membership Interest, Grant Agreement, Vested Shares, Restricted Shares or this Agreement are not exempt from or fail to comply with the requirements of Section 409A of the Code and the guidance promulgated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The Company reserves the right to amend the this Agreement at any time to cause this Agreement to either comply with or be exempt from Section 409A, providing that no Company amendment or action shall negatively affect any of Shareholder’s rights.</w:t>
      </w:r>
    </w:p>
    <w:p>
      <w:pPr>
        <w:sectPr>
          <w:pgSz w:w="11900" w:h="16921" w:orient="portrait"/>
          <w:cols w:equalWidth="0" w:num="1">
            <w:col w:w="11400"/>
          </w:cols>
          <w:pgMar w:left="240" w:top="125" w:right="259" w:bottom="0" w:gutter="0" w:footer="0" w:header="0"/>
        </w:sectPr>
      </w:pPr>
    </w:p>
    <w:bookmarkStart w:id="6" w:name="page7"/>
    <w:bookmarkEnd w:id="6"/>
    <w:p>
      <w:pPr>
        <w:ind w:right="60" w:firstLine="1305"/>
        <w:spacing w:after="0" w:line="308" w:lineRule="auto"/>
        <w:tabs>
          <w:tab w:leader="none" w:pos="16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any contrary provision of this Agreement, no Restricted Shares may be released from the escrow established pursuant to Section 2, unless and until satisfactory arrangements (as reasonably determined by the Company) will have been made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Shareholder with respect to the payment of any Tax-Related Items obligations of the Shareholder with respect to the Restricted Shares. In this regard, the Shareholder authorizes the Company, or its respective agents, at their reasonable discretion, to satisfy the obligations with regard to all Tax-Related Items by one or a combination of the following:</w:t>
      </w:r>
    </w:p>
    <w:p>
      <w:pPr>
        <w:spacing w:after="0" w:line="181" w:lineRule="exact"/>
        <w:rPr>
          <w:sz w:val="20"/>
          <w:szCs w:val="20"/>
          <w:color w:val="auto"/>
        </w:rPr>
      </w:pPr>
    </w:p>
    <w:p>
      <w:pPr>
        <w:ind w:left="2620" w:hanging="343"/>
        <w:spacing w:after="0"/>
        <w:tabs>
          <w:tab w:leader="none" w:pos="2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paying cash;</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withholding from the Shareholder’s wages or other cash compensation paid to the Shareholder by the Company; or</w:t>
      </w:r>
    </w:p>
    <w:p>
      <w:pPr>
        <w:spacing w:after="0" w:line="236" w:lineRule="exact"/>
        <w:rPr>
          <w:rFonts w:ascii="Arial" w:cs="Arial" w:eastAsia="Arial" w:hAnsi="Arial"/>
          <w:sz w:val="17"/>
          <w:szCs w:val="17"/>
          <w:color w:val="auto"/>
        </w:rPr>
      </w:pPr>
    </w:p>
    <w:p>
      <w:pPr>
        <w:ind w:right="380" w:firstLine="2277"/>
        <w:spacing w:after="0" w:line="277" w:lineRule="auto"/>
        <w:tabs>
          <w:tab w:leader="none" w:pos="26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withhold or sell the Restricted Shares held in the escrow established pursuant to Section 2 having a fair market value equal to the minimum amount required to be withheld.</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Notwithstanding the immediately preceding provision, in the event the Shareholder designates the order in which (i), (ii) and (iii) above should be applied to satisfy the obligations with regard to Tax-Related Items, then the Company shall abide by and follow Shareholder’s designation.</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Shareholder shall pay to the Company any amount of Tax-Related Items that the Company may be required to withhold with respect to the Restricted Shares that cannot be satisfied by one or more of the means previously described in this Section 6.</w:t>
      </w:r>
    </w:p>
    <w:p>
      <w:pPr>
        <w:spacing w:after="0" w:line="170" w:lineRule="exact"/>
        <w:rPr>
          <w:sz w:val="20"/>
          <w:szCs w:val="20"/>
          <w:color w:val="auto"/>
        </w:rPr>
      </w:pPr>
    </w:p>
    <w:p>
      <w:pPr>
        <w:ind w:right="20" w:firstLine="656"/>
        <w:spacing w:after="0" w:line="253" w:lineRule="auto"/>
        <w:tabs>
          <w:tab w:leader="none" w:pos="97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THE SHAREHOLDER ACKNOWLEDGES AND AGREES THAT THE VESTING OF THE RESTRICTED SHARES PURSUANT TO THE VESTING SCHEDULE HEREOF IS EARNED ONLY BY CONTINUING AS A SERVICE PROVIDER AT THE WILL OF THE COMPANY (OR THE PARENT OR SUBSIDIARY EMPLOYING OR RETAINING THE SHAREHOLDER) AND NOT THROUGH THE ACT OF BEING HIRED, BEING GRANTED THE RIGHT TO PURCHASE SHARES OR ACQUIRING SHARES HEREUNDER. THE SHAREHOLDER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THE SHAREHOLDER’S RIGHT OR THE RIGHT OF THE COMPANY (OR THE PARENT OR SUBSIDIARY EMPLOYING OR RETAINING THE SHAREHOLDER) TO TERMINATE THE SHAREHOLDER’S RELATIONSHIP AS A SERVICE PROVIDER AT ANY TIME, WITH OR WITHOUT CAUSE.</w:t>
      </w:r>
    </w:p>
    <w:p>
      <w:pPr>
        <w:spacing w:after="0" w:line="194" w:lineRule="exact"/>
        <w:rPr>
          <w:rFonts w:ascii="Arial" w:cs="Arial" w:eastAsia="Arial" w:hAnsi="Arial"/>
          <w:sz w:val="18"/>
          <w:szCs w:val="18"/>
          <w:color w:val="auto"/>
        </w:rPr>
      </w:pPr>
    </w:p>
    <w:p>
      <w:pPr>
        <w:ind w:right="60" w:firstLine="656"/>
        <w:spacing w:after="0" w:line="277" w:lineRule="auto"/>
        <w:tabs>
          <w:tab w:leader="none" w:pos="97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hereunder shall be given in person or by registered mail to the address of the Shareholder shown on the records of the Company, and to the Company at their respective principal executive offices.</w:t>
      </w:r>
    </w:p>
    <w:p>
      <w:pPr>
        <w:spacing w:after="0" w:line="170" w:lineRule="exact"/>
        <w:rPr>
          <w:rFonts w:ascii="Arial" w:cs="Arial" w:eastAsia="Arial" w:hAnsi="Arial"/>
          <w:sz w:val="18"/>
          <w:szCs w:val="18"/>
          <w:color w:val="auto"/>
        </w:rPr>
      </w:pPr>
    </w:p>
    <w:p>
      <w:pPr>
        <w:ind w:right="380" w:firstLine="656"/>
        <w:spacing w:after="0" w:line="264" w:lineRule="auto"/>
        <w:tabs>
          <w:tab w:leader="none" w:pos="97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Unvested Restricted Shares Not Transferable</w:t>
      </w:r>
      <w:r>
        <w:rPr>
          <w:rFonts w:ascii="Arial" w:cs="Arial" w:eastAsia="Arial" w:hAnsi="Arial"/>
          <w:sz w:val="18"/>
          <w:szCs w:val="18"/>
          <w:color w:val="auto"/>
        </w:rPr>
        <w:t>. Unvested Restricted Shares subject to this Agreement and the rights and privileges conferred hereby cannot not be transferred, assigned, pledged or hypothecated in any way (whether by operation of law or otherwise) and cannot be subject to sale under execution, attachment or similar process. Upon any attempt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transfer, assign, pledge, hypothecate or otherwise dispose of any unvested Restricted Shares subject to this Agreement, or any right or privilege conferred hereby, or upon any attempted sale under any execution, attachment or similar process, this grant and the rights and privileges conferred hereby immediately will become null and void.</w:t>
      </w:r>
    </w:p>
    <w:p>
      <w:pPr>
        <w:spacing w:after="0" w:line="181" w:lineRule="exact"/>
        <w:rPr>
          <w:sz w:val="20"/>
          <w:szCs w:val="20"/>
          <w:color w:val="auto"/>
        </w:rPr>
      </w:pPr>
    </w:p>
    <w:p>
      <w:pPr>
        <w:ind w:right="40" w:firstLine="656"/>
        <w:spacing w:after="0" w:line="264" w:lineRule="auto"/>
        <w:tabs>
          <w:tab w:leader="none" w:pos="96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Release from Escrow</w:t>
      </w:r>
      <w:r>
        <w:rPr>
          <w:rFonts w:ascii="Arial" w:cs="Arial" w:eastAsia="Arial" w:hAnsi="Arial"/>
          <w:sz w:val="18"/>
          <w:szCs w:val="18"/>
          <w:color w:val="auto"/>
        </w:rPr>
        <w:t>. The Company will not be required to cause the release of the Restricted Shares from the escrow established pursuant to Section 2 prior to the expiration of any contractual lock-up agreement to which the Shareholder is subject, including, without limitation, the lock-up provisions contained in Section 11 hereof.</w:t>
      </w:r>
    </w:p>
    <w:p>
      <w:pPr>
        <w:spacing w:after="0" w:line="181" w:lineRule="exact"/>
        <w:rPr>
          <w:rFonts w:ascii="Arial" w:cs="Arial" w:eastAsia="Arial" w:hAnsi="Arial"/>
          <w:sz w:val="18"/>
          <w:szCs w:val="18"/>
          <w:color w:val="auto"/>
        </w:rPr>
      </w:pPr>
    </w:p>
    <w:p>
      <w:pPr>
        <w:ind w:firstLine="656"/>
        <w:spacing w:after="0" w:line="268" w:lineRule="auto"/>
        <w:tabs>
          <w:tab w:leader="none" w:pos="96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Lock-Up Agreement</w:t>
      </w:r>
      <w:r>
        <w:rPr>
          <w:rFonts w:ascii="Arial" w:cs="Arial" w:eastAsia="Arial" w:hAnsi="Arial"/>
          <w:sz w:val="17"/>
          <w:szCs w:val="17"/>
          <w:color w:val="auto"/>
        </w:rPr>
        <w:t>. In connection with the initial public offering of the Company’s securities and upon request of the Company or the underwriters managing such offering of the Company’s securities, the Shareholder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8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If the underwriters release or waive any of the foregoing restrictions in connection with a transfer of shares of common stock of the Company,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w:t>
      </w:r>
    </w:p>
    <w:p>
      <w:pPr>
        <w:sectPr>
          <w:pgSz w:w="11900" w:h="16838" w:orient="portrait"/>
          <w:cols w:equalWidth="0" w:num="1">
            <w:col w:w="11420"/>
          </w:cols>
          <w:pgMar w:left="240" w:top="341" w:right="239" w:bottom="0" w:gutter="0" w:footer="0" w:header="0"/>
        </w:sectPr>
      </w:pPr>
    </w:p>
    <w:bookmarkStart w:id="7" w:name="page8"/>
    <w:bookmarkEnd w:id="7"/>
    <w:p>
      <w:pPr>
        <w:ind w:right="300"/>
        <w:spacing w:after="0" w:line="277" w:lineRule="auto"/>
        <w:rPr>
          <w:sz w:val="20"/>
          <w:szCs w:val="20"/>
          <w:color w:val="auto"/>
        </w:rPr>
      </w:pPr>
      <w:r>
        <w:rPr>
          <w:rFonts w:ascii="Arial" w:cs="Arial" w:eastAsia="Arial" w:hAnsi="Arial"/>
          <w:sz w:val="18"/>
          <w:szCs w:val="18"/>
          <w:color w:val="auto"/>
        </w:rPr>
        <w:t>transferee has agreed in writing to be bound by the same terms of the lock-up provisions applicable in general to the extent, and for the duration, that such lock-up provision remain in effect at the time of the transfer.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277" w:lineRule="auto"/>
        <w:tabs>
          <w:tab w:leader="none" w:pos="9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the Shareholder and the Company and their respective permitted assignees and transferees, heirs, legatees, executors, administrators and legal successors.</w:t>
      </w:r>
    </w:p>
    <w:p>
      <w:pPr>
        <w:spacing w:after="0" w:line="170" w:lineRule="exact"/>
        <w:rPr>
          <w:rFonts w:ascii="Arial" w:cs="Arial" w:eastAsia="Arial" w:hAnsi="Arial"/>
          <w:sz w:val="18"/>
          <w:szCs w:val="18"/>
          <w:color w:val="auto"/>
        </w:rPr>
      </w:pPr>
    </w:p>
    <w:p>
      <w:pPr>
        <w:ind w:right="40" w:firstLine="656"/>
        <w:spacing w:after="0" w:line="255" w:lineRule="auto"/>
        <w:tabs>
          <w:tab w:leader="none" w:pos="9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Shareholder hereby acknowledges that he has been informed that with respect to the Restricted Shares an election (the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xml:space="preserve">”) may be filed by the Shareholder with the Internal Revenue Service, within thirty (30) days of the Closing Date. Absent such an Election, the Shareholder hereby acknowledges that he has been informed that taxable income may result to the Shareholder at the time or times on which the Company’s right to reacquire the Restricted Shares lapses. The Shareholder is strongly encouraged to seek the advice of his own tax consultants in connection with the receipt of the Restricted Shares and the advisability of filing of the Election under Section 83(b) of the Code. A form of Election under Section 83(b) is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for reference.</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SHAREHOLDER ACKNOWLEDGES THAT IT IS THE SHAREHOLDER’S SOLE RESPONSIBILITY AND NOT THE COMPANY’S TO FILE TIMELY THE ELECTION UNDER SECTION 83(b) OF THE CODE, EVEN IF THE SHAREHOLDER REQUESTS THE COMPANY OR ITS REPRESENTATIVE TO MAKE THIS FILING ON THE SHAREHOLDER’S BEHALF.</w:t>
      </w:r>
    </w:p>
    <w:p>
      <w:pPr>
        <w:spacing w:after="0" w:line="181" w:lineRule="exact"/>
        <w:rPr>
          <w:sz w:val="20"/>
          <w:szCs w:val="20"/>
          <w:color w:val="auto"/>
        </w:rPr>
      </w:pPr>
    </w:p>
    <w:p>
      <w:pPr>
        <w:ind w:firstLine="656"/>
        <w:spacing w:after="0" w:line="259" w:lineRule="auto"/>
        <w:tabs>
          <w:tab w:leader="none" w:pos="96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Shareholder has reviewed with his or her own tax advisors the federal, state, local and foreign tax consequences of this investment and the transactions contemplated by this Agreement. The Shareholder is relying solely on such advisors and not on any statements or representations of the Company or any of its agents. The Shareholder understands that he (and not the Company) shall be responsible for his own tax liability that may arise as a result of this investment or the transactions contemplated by this Agreement.</w:t>
      </w:r>
    </w:p>
    <w:p>
      <w:pPr>
        <w:spacing w:after="0" w:line="186" w:lineRule="exact"/>
        <w:rPr>
          <w:rFonts w:ascii="Arial" w:cs="Arial" w:eastAsia="Arial" w:hAnsi="Arial"/>
          <w:sz w:val="18"/>
          <w:szCs w:val="18"/>
          <w:color w:val="auto"/>
        </w:rPr>
      </w:pPr>
    </w:p>
    <w:p>
      <w:pPr>
        <w:ind w:right="40" w:firstLine="656"/>
        <w:spacing w:after="0" w:line="279" w:lineRule="auto"/>
        <w:tabs>
          <w:tab w:leader="none" w:pos="96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Agreement, Shareholder’s Employment Agreement, and Shareholder’s Severance and Change In Control Agreement constitute the entire understanding of the parties on the subjects covered. The Shareholder expressly warrants that he is not accepting this Agreement in reliance on any promises, representations, or inducements other than those contained herein or therein. Modifications to this Agreement can be made only in an express written contract executed by a duly authorized officer of the Company.</w:t>
      </w:r>
    </w:p>
    <w:p>
      <w:pPr>
        <w:spacing w:after="0" w:line="171" w:lineRule="exact"/>
        <w:rPr>
          <w:rFonts w:ascii="Arial" w:cs="Arial" w:eastAsia="Arial" w:hAnsi="Arial"/>
          <w:sz w:val="17"/>
          <w:szCs w:val="17"/>
          <w:color w:val="auto"/>
        </w:rPr>
      </w:pPr>
    </w:p>
    <w:p>
      <w:pPr>
        <w:ind w:firstLine="656"/>
        <w:spacing w:after="0" w:line="254" w:lineRule="auto"/>
        <w:tabs>
          <w:tab w:leader="none" w:pos="96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This Agreement will be governed by the laws of the State of New York, without giving effect to the conflict of law principles thereof. For purposes of litigating any dispute that arises under this Agreement, the parties hereby submit to and consent to the jurisdiction of the Supreme Court of the State of New York for New York County and/or the United States District Court for the Southern District of New York, to the extent subject matter jurisdiction exists therefore, and the parties irrevocably submit to the jurisdiction of both such courts in respect of any such action or proceeding. The parties irrevocably waive, to the fullest extent permitted by law, any objection that they may now or hereafter nave to the laying of venue of any such action or proceeding brought in the courts of the State of New York and/or the United States District Court for the Southern District of New York, and any claim that any such action or proceeding brought in any such court has been brought in an inconvenient forum. Any judgment may be entered in any court having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jurisdiction thereof. This Agreement supersedes in its entirety the Grant Agreement with respect to the term and conditions regarding the vesting of the Restricted Shares.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Shareholder represents that he has read this Agreement and is familiar with its terms and provisions. The Shareholder hereby agrees to accept as binding, conclusive and final all decisions or interpretations of the Board upon any questions arising under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deemed made as of the date first set forth above.</w:t>
      </w:r>
    </w:p>
    <w:p>
      <w:pPr>
        <w:spacing w:after="0" w:line="229"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THE SHAREHOLDER</w:t>
      </w:r>
      <w:r>
        <w:rPr>
          <w:sz w:val="20"/>
          <w:szCs w:val="20"/>
          <w:color w:val="auto"/>
        </w:rPr>
        <w:tab/>
      </w:r>
      <w:r>
        <w:rPr>
          <w:rFonts w:ascii="Arial" w:cs="Arial" w:eastAsia="Arial" w:hAnsi="Arial"/>
          <w:sz w:val="17"/>
          <w:szCs w:val="17"/>
          <w:color w:val="auto"/>
        </w:rPr>
        <w:t>SHUTTERSTOCK, INC.</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 Thilo Semmelbauer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Thilo Semmelbauer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Timothy E. Bixby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439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Timothy E. Bixby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439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439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39160" cy="889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400"/>
          </w:cols>
          <w:pgMar w:left="240" w:top="125"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1</w:t>
      </w:r>
    </w:p>
    <w:p>
      <w:pPr>
        <w:sectPr>
          <w:pgSz w:w="11900" w:h="16838" w:orient="portrait"/>
          <w:cols w:equalWidth="0" w:num="1">
            <w:col w:w="11400"/>
          </w:cols>
          <w:pgMar w:left="240" w:top="125" w:right="25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ELECTION UNDER SECTION 83(b)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8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TAXPAYER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780"/>
        <w:spacing w:after="0"/>
        <w:rPr>
          <w:sz w:val="20"/>
          <w:szCs w:val="20"/>
          <w:color w:val="auto"/>
        </w:rPr>
      </w:pPr>
      <w:r>
        <w:rPr>
          <w:rFonts w:ascii="Arial" w:cs="Arial" w:eastAsia="Arial" w:hAnsi="Arial"/>
          <w:sz w:val="15"/>
          <w:szCs w:val="15"/>
          <w:color w:val="auto"/>
        </w:rPr>
        <w:t>SPOUSE</w:t>
      </w:r>
    </w:p>
    <w:p>
      <w:pPr>
        <w:spacing w:after="0" w:line="222" w:lineRule="exact"/>
        <w:rPr>
          <w:sz w:val="20"/>
          <w:szCs w:val="20"/>
          <w:color w:val="auto"/>
        </w:rPr>
      </w:pPr>
    </w:p>
    <w:p>
      <w:pPr>
        <w:sectPr>
          <w:pgSz w:w="11900" w:h="16838" w:orient="portrait"/>
          <w:cols w:equalWidth="0" w:num="2">
            <w:col w:w="6260" w:space="720"/>
            <w:col w:w="4440"/>
          </w:cols>
          <w:pgMar w:left="240" w:top="121" w:right="2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Thilo Semmelbauer</w:t>
      </w:r>
    </w:p>
    <w:p>
      <w:pPr>
        <w:spacing w:after="0" w:line="430" w:lineRule="exact"/>
        <w:rPr>
          <w:sz w:val="20"/>
          <w:szCs w:val="20"/>
          <w:color w:val="auto"/>
        </w:rPr>
      </w:pPr>
    </w:p>
    <w:p>
      <w:pPr>
        <w:sectPr>
          <w:pgSz w:w="11900" w:h="16838" w:orient="portrait"/>
          <w:cols w:equalWidth="0" w:num="2">
            <w:col w:w="1940" w:space="720"/>
            <w:col w:w="8760"/>
          </w:cols>
          <w:pgMar w:left="240" w:top="121"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TAXABLE YEAR: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2012</w:t>
      </w:r>
    </w:p>
    <w:p>
      <w:pPr>
        <w:spacing w:after="0" w:line="225" w:lineRule="exact"/>
        <w:rPr>
          <w:sz w:val="20"/>
          <w:szCs w:val="20"/>
          <w:color w:val="auto"/>
        </w:rPr>
      </w:pPr>
    </w:p>
    <w:p>
      <w:pPr>
        <w:sectPr>
          <w:pgSz w:w="11900" w:h="16838" w:orient="portrait"/>
          <w:cols w:equalWidth="0" w:num="2">
            <w:col w:w="2060" w:space="600"/>
            <w:col w:w="8760"/>
          </w:cols>
          <w:pgMar w:left="240" w:top="121" w:right="239" w:bottom="1440" w:gutter="0" w:footer="0" w:header="0"/>
          <w:type w:val="continuous"/>
        </w:sectPr>
      </w:pPr>
    </w:p>
    <w:p>
      <w:pPr>
        <w:spacing w:after="0" w:line="22" w:lineRule="exact"/>
        <w:rPr>
          <w:sz w:val="20"/>
          <w:szCs w:val="20"/>
          <w:color w:val="auto"/>
        </w:rPr>
      </w:pPr>
    </w:p>
    <w:p>
      <w:pPr>
        <w:ind w:left="660" w:right="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228,079 shares (the “Shares”) of the Common Stock of Shutterstock,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property was transferred is: October 5, 2012.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225" w:lineRule="exact"/>
        <w:rPr>
          <w:rFonts w:ascii="Arial" w:cs="Arial" w:eastAsia="Arial" w:hAnsi="Arial"/>
          <w:sz w:val="18"/>
          <w:szCs w:val="18"/>
          <w:color w:val="auto"/>
        </w:rPr>
      </w:pPr>
    </w:p>
    <w:p>
      <w:pPr>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Shares may not be transferred and are subject to forfeiture upon termination of taxpayer’s service relationship with the Company under the terms of an agreement between the taxpayer and the Company. These restrictions lapse upon the satisfaction of certain conditions contained in such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Fair Market Value at the time of transfer, determined without regard to any restriction other than a restriction which by its terms shall never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740" w:type="dxa"/>
            <w:vAlign w:val="bottom"/>
          </w:tcPr>
          <w:p>
            <w:pPr>
              <w:ind w:left="260"/>
              <w:spacing w:after="0"/>
              <w:rPr>
                <w:sz w:val="20"/>
                <w:szCs w:val="20"/>
                <w:color w:val="auto"/>
              </w:rPr>
            </w:pPr>
            <w:r>
              <w:rPr>
                <w:rFonts w:ascii="Arial" w:cs="Arial" w:eastAsia="Arial" w:hAnsi="Arial"/>
                <w:sz w:val="18"/>
                <w:szCs w:val="18"/>
                <w:color w:val="auto"/>
              </w:rPr>
              <w:t>lapse, of such property is: $</w:t>
            </w:r>
          </w:p>
        </w:tc>
        <w:tc>
          <w:tcPr>
            <w:tcW w:w="14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600" w:type="dxa"/>
            <w:vAlign w:val="bottom"/>
          </w:tcPr>
          <w:p>
            <w:pPr>
              <w:spacing w:after="0"/>
              <w:rPr>
                <w:sz w:val="20"/>
                <w:szCs w:val="20"/>
                <w:color w:val="auto"/>
              </w:rPr>
            </w:pPr>
          </w:p>
        </w:tc>
      </w:tr>
      <w:tr>
        <w:trPr>
          <w:trHeight w:val="404"/>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The amount (if any) paid for such property is: $</w:t>
            </w:r>
          </w:p>
        </w:tc>
        <w:tc>
          <w:tcPr>
            <w:tcW w:w="6600" w:type="dxa"/>
            <w:vAlign w:val="bottom"/>
          </w:tcPr>
          <w:p>
            <w:pPr>
              <w:ind w:left="460"/>
              <w:spacing w:after="0"/>
              <w:rPr>
                <w:sz w:val="20"/>
                <w:szCs w:val="20"/>
                <w:color w:val="auto"/>
              </w:rPr>
            </w:pPr>
            <w:r>
              <w:rPr>
                <w:rFonts w:ascii="Arial" w:cs="Arial" w:eastAsia="Arial" w:hAnsi="Arial"/>
                <w:sz w:val="18"/>
                <w:szCs w:val="18"/>
                <w:color w:val="auto"/>
                <w:w w:val="91"/>
              </w:rPr>
              <w:t>, paid for with property with equivalent value in a transaction intended to qualify as a</w:t>
            </w:r>
          </w:p>
        </w:tc>
      </w:tr>
      <w:tr>
        <w:trPr>
          <w:trHeight w:val="230"/>
        </w:trPr>
        <w:tc>
          <w:tcPr>
            <w:tcW w:w="400" w:type="dxa"/>
            <w:vAlign w:val="bottom"/>
          </w:tcPr>
          <w:p>
            <w:pPr>
              <w:spacing w:after="0"/>
              <w:rPr>
                <w:sz w:val="20"/>
                <w:szCs w:val="20"/>
                <w:color w:val="auto"/>
              </w:rPr>
            </w:pPr>
          </w:p>
        </w:tc>
        <w:tc>
          <w:tcPr>
            <w:tcW w:w="10780" w:type="dxa"/>
            <w:vAlign w:val="bottom"/>
            <w:gridSpan w:val="3"/>
          </w:tcPr>
          <w:p>
            <w:pPr>
              <w:ind w:left="260"/>
              <w:spacing w:after="0"/>
              <w:rPr>
                <w:sz w:val="20"/>
                <w:szCs w:val="20"/>
                <w:color w:val="auto"/>
              </w:rPr>
            </w:pPr>
            <w:r>
              <w:rPr>
                <w:rFonts w:ascii="Arial" w:cs="Arial" w:eastAsia="Arial" w:hAnsi="Arial"/>
                <w:sz w:val="18"/>
                <w:szCs w:val="18"/>
                <w:color w:val="auto"/>
              </w:rPr>
              <w:t>tax-free exchange of property for stock pursuant to Section 351 of the Internal Revenue Code of 1986, as amended.</w:t>
            </w: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Dated: October</w:t>
            </w:r>
          </w:p>
        </w:tc>
        <w:tc>
          <w:tcPr>
            <w:tcW w:w="640" w:type="dxa"/>
            <w:vAlign w:val="bottom"/>
          </w:tcPr>
          <w:p>
            <w:pPr>
              <w:jc w:val="right"/>
              <w:spacing w:after="0"/>
              <w:rPr>
                <w:sz w:val="20"/>
                <w:szCs w:val="20"/>
                <w:color w:val="auto"/>
              </w:rPr>
            </w:pPr>
            <w:r>
              <w:rPr>
                <w:rFonts w:ascii="Arial" w:cs="Arial" w:eastAsia="Arial" w:hAnsi="Arial"/>
                <w:sz w:val="18"/>
                <w:szCs w:val="18"/>
                <w:color w:val="auto"/>
              </w:rPr>
              <w:t>, 2012</w:t>
            </w:r>
          </w:p>
        </w:tc>
      </w:tr>
    </w:tbl>
    <w:p>
      <w:pPr>
        <w:ind w:left="5740"/>
        <w:spacing w:after="0"/>
        <w:rPr>
          <w:sz w:val="20"/>
          <w:szCs w:val="20"/>
          <w:color w:val="auto"/>
        </w:rPr>
      </w:pPr>
      <w:r>
        <w:rPr>
          <w:rFonts w:ascii="Arial" w:cs="Arial" w:eastAsia="Arial" w:hAnsi="Arial"/>
          <w:sz w:val="18"/>
          <w:szCs w:val="18"/>
          <w:color w:val="auto"/>
        </w:rPr>
        <w:t>Thilo Semmelbauer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spouse of taxpayer joins in this election.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Dated: October</w:t>
            </w:r>
          </w:p>
        </w:tc>
        <w:tc>
          <w:tcPr>
            <w:tcW w:w="640" w:type="dxa"/>
            <w:vAlign w:val="bottom"/>
          </w:tcPr>
          <w:p>
            <w:pPr>
              <w:jc w:val="right"/>
              <w:spacing w:after="0"/>
              <w:rPr>
                <w:sz w:val="20"/>
                <w:szCs w:val="20"/>
                <w:color w:val="auto"/>
              </w:rPr>
            </w:pPr>
            <w:r>
              <w:rPr>
                <w:rFonts w:ascii="Arial" w:cs="Arial" w:eastAsia="Arial" w:hAnsi="Arial"/>
                <w:sz w:val="18"/>
                <w:szCs w:val="18"/>
                <w:color w:val="auto"/>
              </w:rPr>
              <w:t>, 2012</w:t>
            </w:r>
          </w:p>
        </w:tc>
      </w:tr>
    </w:tbl>
    <w:p>
      <w:pPr>
        <w:ind w:left="5740"/>
        <w:spacing w:after="0"/>
        <w:rPr>
          <w:sz w:val="20"/>
          <w:szCs w:val="20"/>
          <w:color w:val="auto"/>
        </w:rPr>
      </w:pPr>
      <w:r>
        <w:rPr>
          <w:rFonts w:ascii="Arial" w:cs="Arial" w:eastAsia="Arial" w:hAnsi="Arial"/>
          <w:sz w:val="18"/>
          <w:szCs w:val="18"/>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upperLetter"/>
      <w:start w:val="1"/>
    </w:lvl>
  </w:abstractNum>
  <w:abstractNum w:abstractNumId="9">
    <w:nsid w:val="4E6AFB66"/>
    <w:multiLevelType w:val="hybridMultilevel"/>
    <w:lvl w:ilvl="0">
      <w:lvlJc w:val="left"/>
      <w:lvlText w:val="%1."/>
      <w:numFmt w:val="upperLetter"/>
      <w:start w:val="4"/>
    </w:lvl>
  </w:abstractNum>
  <w:abstractNum w:abstractNumId="10">
    <w:nsid w:val="25E45D32"/>
    <w:multiLevelType w:val="hybridMultilevel"/>
    <w:lvl w:ilvl="0">
      <w:lvlJc w:val="left"/>
      <w:lvlText w:val="%1."/>
      <w:numFmt w:val="decimal"/>
      <w:start w:val="1"/>
    </w:lvl>
    <w:lvl w:ilvl="1">
      <w:lvlJc w:val="left"/>
      <w:lvlText w:val="(%2)"/>
      <w:numFmt w:val="lowerLetter"/>
      <w:start w:val="1"/>
    </w:lvl>
  </w:abstractNum>
  <w:abstractNum w:abstractNumId="11">
    <w:nsid w:val="519B500D"/>
    <w:multiLevelType w:val="hybridMultilevel"/>
    <w:lvl w:ilvl="0">
      <w:lvlJc w:val="left"/>
      <w:lvlText w:val="%1"/>
      <w:numFmt w:val="decimal"/>
      <w:start w:val="1"/>
    </w:lvl>
    <w:lvl w:ilvl="1">
      <w:lvlJc w:val="left"/>
      <w:lvlText w:val="(%2)"/>
      <w:numFmt w:val="lowerLetter"/>
      <w:start w:val="5"/>
    </w:lvl>
  </w:abstractNum>
  <w:abstractNum w:abstractNumId="12">
    <w:nsid w:val="431BD7B7"/>
    <w:multiLevelType w:val="hybridMultilevel"/>
    <w:lvl w:ilvl="0">
      <w:lvlJc w:val="left"/>
      <w:lvlText w:val="%1."/>
      <w:numFmt w:val="decimal"/>
      <w:start w:val="3"/>
    </w:lvl>
    <w:lvl w:ilvl="1">
      <w:lvlJc w:val="left"/>
      <w:lvlText w:val="(%2)"/>
      <w:numFmt w:val="lowerLetter"/>
      <w:start w:val="1"/>
    </w:lvl>
  </w:abstractNum>
  <w:abstractNum w:abstractNumId="13">
    <w:nsid w:val="3F2DBA31"/>
    <w:multiLevelType w:val="hybridMultilevel"/>
    <w:lvl w:ilvl="0">
      <w:lvlJc w:val="left"/>
      <w:lvlText w:val="%1"/>
      <w:numFmt w:val="decimal"/>
      <w:start w:val="1"/>
    </w:lvl>
    <w:lvl w:ilvl="1">
      <w:lvlJc w:val="left"/>
      <w:lvlText w:val="(%2)"/>
      <w:numFmt w:val="lowerLetter"/>
      <w:start w:val="2"/>
    </w:lvl>
  </w:abstractNum>
  <w:abstractNum w:abstractNumId="14">
    <w:nsid w:val="7C83E458"/>
    <w:multiLevelType w:val="hybridMultilevel"/>
    <w:lvl w:ilvl="0">
      <w:lvlJc w:val="left"/>
      <w:lvlText w:val="%1."/>
      <w:numFmt w:val="decimal"/>
      <w:start w:val="6"/>
    </w:lvl>
    <w:lvl w:ilvl="1">
      <w:lvlJc w:val="left"/>
      <w:lvlText w:val="(%2)"/>
      <w:numFmt w:val="lowerLetter"/>
      <w:start w:val="1"/>
    </w:lvl>
  </w:abstractNum>
  <w:abstractNum w:abstractNumId="15">
    <w:nsid w:val="257130A3"/>
    <w:multiLevelType w:val="hybridMultilevel"/>
    <w:lvl w:ilvl="0">
      <w:lvlJc w:val="left"/>
      <w:lvlText w:val="(%1)"/>
      <w:numFmt w:val="lowerLetter"/>
      <w:start w:val="3"/>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1."/>
      <w:numFmt w:val="decimal"/>
      <w:start w:val="7"/>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decimal"/>
      <w:start w:val="12"/>
    </w:lvl>
  </w:abstractNum>
  <w:abstractNum w:abstractNumId="20">
    <w:nsid w:val="721DA317"/>
    <w:multiLevelType w:val="hybridMultilevel"/>
    <w:lvl w:ilvl="0">
      <w:lvlJc w:val="left"/>
      <w:lvlText w:val="%1."/>
      <w:numFmt w:val="decimal"/>
      <w:start w:val="14"/>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2019-12-09T20:15:15Z</dcterms:created>
  <dcterms:modified xsi:type="dcterms:W3CDTF">2019-12-09T20:15:15Z</dcterms:modified>
</cp:coreProperties>
</file>