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457200</wp:posOffset>
            </wp:positionH>
            <wp:positionV relativeFrom="page">
              <wp:posOffset>1083310</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page">
              <wp:posOffset>457200</wp:posOffset>
            </wp:positionH>
            <wp:positionV relativeFrom="page">
              <wp:posOffset>1041400</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4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12"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99060</wp:posOffset>
            </wp:positionV>
            <wp:extent cx="7135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4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46990</wp:posOffset>
            </wp:positionV>
            <wp:extent cx="713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5"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9"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44"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31750</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6"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32"/>
          <w:szCs w:val="32"/>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46990</wp:posOffset>
            </wp:positionV>
            <wp:extent cx="7135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5"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30480</wp:posOffset>
            </wp:positionV>
            <wp:extent cx="7135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71" w:lineRule="exact"/>
        <w:rPr>
          <w:sz w:val="24"/>
          <w:szCs w:val="24"/>
          <w:color w:val="auto"/>
        </w:rPr>
      </w:pPr>
    </w:p>
    <w:tbl>
      <w:tblPr>
        <w:tblLayout w:type="fixed"/>
        <w:tblInd w:w="820" w:type="dxa"/>
        <w:tblCellMar>
          <w:top w:w="0" w:type="dxa"/>
          <w:left w:w="0" w:type="dxa"/>
          <w:bottom w:w="0" w:type="dxa"/>
          <w:right w:w="0" w:type="dxa"/>
        </w:tblCellMar>
      </w:tblPr>
      <w:tr>
        <w:trPr>
          <w:trHeight w:val="230"/>
        </w:trPr>
        <w:tc>
          <w:tcPr>
            <w:tcW w:w="2040" w:type="dxa"/>
            <w:vAlign w:val="bottom"/>
          </w:tcPr>
          <w:p>
            <w:pPr>
              <w:jc w:val="center"/>
              <w:ind w:right="4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7"/>
              </w:rPr>
              <w:t>001-35669</w:t>
            </w:r>
          </w:p>
        </w:tc>
        <w:tc>
          <w:tcPr>
            <w:tcW w:w="1700" w:type="dxa"/>
            <w:vAlign w:val="bottom"/>
          </w:tcPr>
          <w:p>
            <w:pPr>
              <w:jc w:val="center"/>
              <w:ind w:left="584"/>
              <w:spacing w:after="0"/>
              <w:rPr>
                <w:sz w:val="20"/>
                <w:szCs w:val="20"/>
                <w:color w:val="auto"/>
              </w:rPr>
            </w:pPr>
            <w:r>
              <w:rPr>
                <w:rFonts w:ascii="Times New Roman" w:cs="Times New Roman" w:eastAsia="Times New Roman" w:hAnsi="Times New Roman"/>
                <w:sz w:val="18"/>
                <w:szCs w:val="18"/>
                <w:b w:val="1"/>
                <w:bCs w:val="1"/>
                <w:color w:val="auto"/>
                <w:w w:val="96"/>
              </w:rPr>
              <w:t>80-0812659</w:t>
            </w:r>
          </w:p>
        </w:tc>
      </w:tr>
      <w:tr>
        <w:trPr>
          <w:trHeight w:val="189"/>
        </w:trPr>
        <w:tc>
          <w:tcPr>
            <w:tcW w:w="2040" w:type="dxa"/>
            <w:vAlign w:val="bottom"/>
          </w:tcPr>
          <w:p>
            <w:pPr>
              <w:jc w:val="center"/>
              <w:ind w:right="484"/>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(Commission</w:t>
            </w:r>
          </w:p>
        </w:tc>
        <w:tc>
          <w:tcPr>
            <w:tcW w:w="1700" w:type="dxa"/>
            <w:vAlign w:val="bottom"/>
          </w:tcPr>
          <w:p>
            <w:pPr>
              <w:jc w:val="center"/>
              <w:ind w:left="604"/>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2040" w:type="dxa"/>
            <w:vAlign w:val="bottom"/>
          </w:tcPr>
          <w:p>
            <w:pPr>
              <w:jc w:val="center"/>
              <w:ind w:right="484"/>
              <w:spacing w:after="0"/>
              <w:rPr>
                <w:sz w:val="20"/>
                <w:szCs w:val="20"/>
                <w:color w:val="auto"/>
              </w:rPr>
            </w:pPr>
            <w:r>
              <w:rPr>
                <w:rFonts w:ascii="Times New Roman" w:cs="Times New Roman" w:eastAsia="Times New Roman" w:hAnsi="Times New Roman"/>
                <w:sz w:val="14"/>
                <w:szCs w:val="14"/>
                <w:color w:val="auto"/>
              </w:rPr>
              <w:t>of incorporation)</w:t>
            </w: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File Number)</w:t>
            </w:r>
          </w:p>
        </w:tc>
        <w:tc>
          <w:tcPr>
            <w:tcW w:w="1700" w:type="dxa"/>
            <w:vAlign w:val="bottom"/>
          </w:tcPr>
          <w:p>
            <w:pPr>
              <w:jc w:val="center"/>
              <w:ind w:left="584"/>
              <w:spacing w:after="0"/>
              <w:rPr>
                <w:sz w:val="20"/>
                <w:szCs w:val="20"/>
                <w:color w:val="auto"/>
              </w:rPr>
            </w:pPr>
            <w:r>
              <w:rPr>
                <w:rFonts w:ascii="Times New Roman" w:cs="Times New Roman" w:eastAsia="Times New Roman" w:hAnsi="Times New Roman"/>
                <w:sz w:val="14"/>
                <w:szCs w:val="14"/>
                <w:color w:val="auto"/>
                <w:w w:val="99"/>
              </w:rPr>
              <w:t>Identification No.)</w:t>
            </w:r>
          </w:p>
        </w:tc>
      </w:tr>
      <w:tr>
        <w:trPr>
          <w:trHeight w:val="424"/>
        </w:trPr>
        <w:tc>
          <w:tcPr>
            <w:tcW w:w="2040" w:type="dxa"/>
            <w:vAlign w:val="bottom"/>
          </w:tcPr>
          <w:p>
            <w:pPr>
              <w:spacing w:after="0"/>
              <w:rPr>
                <w:sz w:val="24"/>
                <w:szCs w:val="24"/>
                <w:color w:val="auto"/>
              </w:rPr>
            </w:pPr>
          </w:p>
        </w:tc>
        <w:tc>
          <w:tcPr>
            <w:tcW w:w="5400" w:type="dxa"/>
            <w:vAlign w:val="bottom"/>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w w:val="96"/>
              </w:rPr>
              <w:t>350 Fifth Avenue, 20th Floor</w:t>
            </w:r>
          </w:p>
        </w:tc>
        <w:tc>
          <w:tcPr>
            <w:tcW w:w="1700" w:type="dxa"/>
            <w:vAlign w:val="bottom"/>
          </w:tcPr>
          <w:p>
            <w:pPr>
              <w:spacing w:after="0"/>
              <w:rPr>
                <w:sz w:val="24"/>
                <w:szCs w:val="24"/>
                <w:color w:val="auto"/>
              </w:rPr>
            </w:pPr>
          </w:p>
        </w:tc>
      </w:tr>
      <w:tr>
        <w:trPr>
          <w:trHeight w:val="213"/>
        </w:trPr>
        <w:tc>
          <w:tcPr>
            <w:tcW w:w="2040" w:type="dxa"/>
            <w:vAlign w:val="bottom"/>
          </w:tcPr>
          <w:p>
            <w:pPr>
              <w:spacing w:after="0"/>
              <w:rPr>
                <w:sz w:val="18"/>
                <w:szCs w:val="18"/>
                <w:color w:val="auto"/>
              </w:rPr>
            </w:pP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5"/>
              </w:rPr>
              <w:t>New York, NY 10118</w:t>
            </w:r>
          </w:p>
        </w:tc>
        <w:tc>
          <w:tcPr>
            <w:tcW w:w="1700" w:type="dxa"/>
            <w:vAlign w:val="bottom"/>
          </w:tcPr>
          <w:p>
            <w:pPr>
              <w:spacing w:after="0"/>
              <w:rPr>
                <w:sz w:val="18"/>
                <w:szCs w:val="18"/>
                <w:color w:val="auto"/>
              </w:rPr>
            </w:pPr>
          </w:p>
        </w:tc>
      </w:tr>
      <w:tr>
        <w:trPr>
          <w:trHeight w:val="228"/>
        </w:trPr>
        <w:tc>
          <w:tcPr>
            <w:tcW w:w="2040" w:type="dxa"/>
            <w:vAlign w:val="bottom"/>
          </w:tcPr>
          <w:p>
            <w:pPr>
              <w:spacing w:after="0"/>
              <w:rPr>
                <w:sz w:val="19"/>
                <w:szCs w:val="19"/>
                <w:color w:val="auto"/>
              </w:rPr>
            </w:pP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w w:val="97"/>
              </w:rPr>
              <w:t>(Address of principal executive offices, including zip code)</w:t>
            </w:r>
          </w:p>
        </w:tc>
        <w:tc>
          <w:tcPr>
            <w:tcW w:w="1700" w:type="dxa"/>
            <w:vAlign w:val="bottom"/>
          </w:tcPr>
          <w:p>
            <w:pPr>
              <w:spacing w:after="0"/>
              <w:rPr>
                <w:sz w:val="19"/>
                <w:szCs w:val="19"/>
                <w:color w:val="auto"/>
              </w:rPr>
            </w:pPr>
          </w:p>
        </w:tc>
      </w:tr>
      <w:tr>
        <w:trPr>
          <w:trHeight w:val="316"/>
        </w:trPr>
        <w:tc>
          <w:tcPr>
            <w:tcW w:w="2040" w:type="dxa"/>
            <w:vAlign w:val="bottom"/>
          </w:tcPr>
          <w:p>
            <w:pPr>
              <w:spacing w:after="0"/>
              <w:rPr>
                <w:sz w:val="24"/>
                <w:szCs w:val="24"/>
                <w:color w:val="auto"/>
              </w:rPr>
            </w:pPr>
          </w:p>
        </w:tc>
        <w:tc>
          <w:tcPr>
            <w:tcW w:w="5400" w:type="dxa"/>
            <w:vAlign w:val="bottom"/>
          </w:tcPr>
          <w:p>
            <w:pPr>
              <w:jc w:val="center"/>
              <w:ind w:right="17"/>
              <w:spacing w:after="0"/>
              <w:rPr>
                <w:sz w:val="20"/>
                <w:szCs w:val="20"/>
                <w:color w:val="auto"/>
              </w:rPr>
            </w:pPr>
            <w:r>
              <w:rPr>
                <w:rFonts w:ascii="Times New Roman" w:cs="Times New Roman" w:eastAsia="Times New Roman" w:hAnsi="Times New Roman"/>
                <w:sz w:val="18"/>
                <w:szCs w:val="18"/>
                <w:color w:val="auto"/>
                <w:w w:val="97"/>
              </w:rPr>
              <w:t>(646) 710-3417</w:t>
            </w:r>
          </w:p>
        </w:tc>
        <w:tc>
          <w:tcPr>
            <w:tcW w:w="1700" w:type="dxa"/>
            <w:vAlign w:val="bottom"/>
          </w:tcPr>
          <w:p>
            <w:pPr>
              <w:spacing w:after="0"/>
              <w:rPr>
                <w:sz w:val="24"/>
                <w:szCs w:val="24"/>
                <w:color w:val="auto"/>
              </w:rPr>
            </w:pPr>
          </w:p>
        </w:tc>
      </w:tr>
    </w:tbl>
    <w:p>
      <w:pPr>
        <w:spacing w:after="0" w:line="8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Not applicable</w:t>
      </w:r>
    </w:p>
    <w:p>
      <w:pPr>
        <w:spacing w:after="0" w:line="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w:t>
      </w:r>
    </w:p>
    <w:p>
      <w:pPr>
        <w:spacing w:after="0" w:line="2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provisions:</w:t>
      </w:r>
    </w:p>
    <w:p>
      <w:pPr>
        <w:ind w:left="840" w:hanging="580"/>
        <w:spacing w:after="0" w:line="182" w:lineRule="auto"/>
        <w:tabs>
          <w:tab w:leader="none" w:pos="840" w:val="left"/>
        </w:tabs>
        <w:numPr>
          <w:ilvl w:val="0"/>
          <w:numId w:val="1"/>
        </w:numPr>
        <w:rPr>
          <w:rFonts w:ascii="MS PGothic" w:cs="MS PGothic" w:eastAsia="MS PGothic" w:hAnsi="MS PGothic"/>
          <w:sz w:val="35"/>
          <w:szCs w:val="35"/>
          <w:color w:val="auto"/>
          <w:vertAlign w:val="subscript"/>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6" w:lineRule="exact"/>
        <w:rPr>
          <w:sz w:val="24"/>
          <w:szCs w:val="24"/>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6" w:lineRule="exact"/>
        <w:rPr>
          <w:rFonts w:ascii="MS PGothic" w:cs="MS PGothic" w:eastAsia="MS PGothic" w:hAnsi="MS PGothic"/>
          <w:sz w:val="18"/>
          <w:szCs w:val="18"/>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6" w:lineRule="exact"/>
        <w:rPr>
          <w:rFonts w:ascii="MS PGothic" w:cs="MS PGothic" w:eastAsia="MS PGothic" w:hAnsi="MS PGothic"/>
          <w:sz w:val="18"/>
          <w:szCs w:val="18"/>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41" w:lineRule="exact"/>
        <w:rPr>
          <w:sz w:val="24"/>
          <w:szCs w:val="24"/>
          <w:color w:val="auto"/>
        </w:rPr>
      </w:pPr>
    </w:p>
    <w:tbl>
      <w:tblPr>
        <w:tblLayout w:type="fixed"/>
        <w:tblInd w:w="280" w:type="dxa"/>
        <w:tblCellMar>
          <w:top w:w="0" w:type="dxa"/>
          <w:left w:w="0" w:type="dxa"/>
          <w:bottom w:w="0" w:type="dxa"/>
          <w:right w:w="0" w:type="dxa"/>
        </w:tblCellMar>
      </w:tblPr>
      <w:tr>
        <w:trPr>
          <w:trHeight w:val="200"/>
        </w:trPr>
        <w:tc>
          <w:tcPr>
            <w:tcW w:w="4380" w:type="dxa"/>
            <w:vAlign w:val="bottom"/>
            <w:tcBorders>
              <w:top w:val="single" w:sz="8" w:color="auto"/>
            </w:tcBorders>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37"/>
        </w:trPr>
        <w:tc>
          <w:tcPr>
            <w:tcW w:w="438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r>
      <w:tr>
        <w:trPr>
          <w:trHeight w:val="180"/>
        </w:trPr>
        <w:tc>
          <w:tcPr>
            <w:tcW w:w="4380" w:type="dxa"/>
            <w:vAlign w:val="bottom"/>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w w:val="99"/>
              </w:rPr>
              <w:t>Common Stock, $0.01 par value per share</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SSTK</w:t>
            </w:r>
          </w:p>
        </w:tc>
        <w:tc>
          <w:tcPr>
            <w:tcW w:w="4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255" w:lineRule="exact"/>
        <w:rPr>
          <w:sz w:val="24"/>
          <w:szCs w:val="24"/>
          <w:color w:val="auto"/>
        </w:rPr>
      </w:pPr>
    </w:p>
    <w:p>
      <w:pPr>
        <w:ind w:left="620" w:right="160"/>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ind w:left="620" w:hanging="458"/>
        <w:spacing w:after="0"/>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08" w:lineRule="exact"/>
        <w:rPr>
          <w:rFonts w:ascii="MS PGothic" w:cs="MS PGothic" w:eastAsia="MS PGothic" w:hAnsi="MS PGothic"/>
          <w:sz w:val="18"/>
          <w:szCs w:val="18"/>
          <w:color w:val="auto"/>
        </w:rPr>
      </w:pPr>
    </w:p>
    <w:p>
      <w:pPr>
        <w:ind w:left="620" w:right="160" w:hanging="458"/>
        <w:spacing w:after="0" w:line="268" w:lineRule="auto"/>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-85090</wp:posOffset>
            </wp:positionH>
            <wp:positionV relativeFrom="paragraph">
              <wp:posOffset>1318260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102235</wp:posOffset>
            </wp:positionV>
            <wp:extent cx="713549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77470</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20"/>
          </w:cols>
          <w:pgMar w:left="440" w:top="1440" w:right="239" w:bottom="1440" w:gutter="0" w:footer="0" w:header="0"/>
        </w:sectPr>
      </w:pPr>
    </w:p>
    <w:bookmarkStart w:id="1" w:name="page2"/>
    <w:bookmarkEnd w:id="1"/>
    <w:p>
      <w:pPr>
        <w:spacing w:after="0" w:line="200" w:lineRule="exact"/>
        <w:rPr>
          <w:sz w:val="20"/>
          <w:szCs w:val="20"/>
          <w:color w:val="auto"/>
        </w:rPr>
      </w:pPr>
    </w:p>
    <w:p>
      <w:pPr>
        <w:spacing w:after="0" w:line="230" w:lineRule="exact"/>
        <w:rPr>
          <w:sz w:val="20"/>
          <w:szCs w:val="20"/>
          <w:color w:val="auto"/>
        </w:rPr>
      </w:pPr>
    </w:p>
    <w:p>
      <w:pPr>
        <w:ind w:left="42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On April 25, 2023, Shutterstock, Inc. (the “Company”) issued a press release announcing its financial results for the fiscal period ended March 31, 2023.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current report and is incorporated herein by reference.</w:t>
      </w:r>
    </w:p>
    <w:p>
      <w:pPr>
        <w:spacing w:after="0" w:line="91"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58" w:lineRule="exact"/>
        <w:rPr>
          <w:sz w:val="20"/>
          <w:szCs w:val="20"/>
          <w:color w:val="auto"/>
        </w:rPr>
      </w:pPr>
    </w:p>
    <w:p>
      <w:pPr>
        <w:ind w:left="42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2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provided above in “Item 2.02 Results of Operations and Financial Condition” is incorporated by reference in this Item 7.01.</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2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201" w:lineRule="exact"/>
        <w:rPr>
          <w:sz w:val="20"/>
          <w:szCs w:val="20"/>
          <w:color w:val="auto"/>
        </w:rPr>
      </w:pPr>
    </w:p>
    <w:p>
      <w:pPr>
        <w:ind w:left="740" w:hanging="340"/>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720"/>
        <w:spacing w:after="0"/>
        <w:tabs>
          <w:tab w:leader="none" w:pos="14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entitled “Shutterstock Reports First Quarter 2023 Financial Results” dated April 25, 2023</w:t>
      </w:r>
    </w:p>
    <w:p>
      <w:pPr>
        <w:spacing w:after="0" w:line="109" w:lineRule="exact"/>
        <w:rPr>
          <w:sz w:val="20"/>
          <w:szCs w:val="20"/>
          <w:color w:val="auto"/>
        </w:rPr>
      </w:pPr>
    </w:p>
    <w:p>
      <w:pPr>
        <w:ind w:left="720"/>
        <w:spacing w:after="0"/>
        <w:tabs>
          <w:tab w:leader="none" w:pos="14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1154430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20" w:type="dxa"/>
            <w:vAlign w:val="bottom"/>
            <w:gridSpan w:val="2"/>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1"/>
        </w:trPr>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7"/>
                <w:szCs w:val="17"/>
                <w:color w:val="auto"/>
              </w:rPr>
            </w:pPr>
          </w:p>
        </w:tc>
        <w:tc>
          <w:tcPr>
            <w:tcW w:w="9420" w:type="dxa"/>
            <w:vAlign w:val="bottom"/>
            <w:gridSpan w:val="2"/>
          </w:tcPr>
          <w:p>
            <w:pPr>
              <w:ind w:left="4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4"/>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401"/>
        </w:trPr>
        <w:tc>
          <w:tcPr>
            <w:tcW w:w="1240" w:type="dxa"/>
            <w:vAlign w:val="bottom"/>
          </w:tcPr>
          <w:p>
            <w:pPr>
              <w:jc w:val="right"/>
              <w:ind w:right="398"/>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entitled “Shutterstock Reports First Quarter 2023 Financial Results” dated April 25, 2023</w:t>
            </w: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2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95"/>
        </w:trPr>
        <w:tc>
          <w:tcPr>
            <w:tcW w:w="1240" w:type="dxa"/>
            <w:vAlign w:val="bottom"/>
          </w:tcPr>
          <w:p>
            <w:pPr>
              <w:jc w:val="right"/>
              <w:ind w:right="418"/>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134620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80"/>
          </w:cols>
          <w:pgMar w:left="560" w:top="1440" w:right="559" w:bottom="1440" w:gutter="0" w:footer="0" w:header="0"/>
        </w:sectPr>
      </w:pPr>
    </w:p>
    <w:bookmarkStart w:id="3" w:name="page4"/>
    <w:bookmarkEnd w:id="3"/>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3" w:lineRule="exact"/>
        <w:rPr>
          <w:sz w:val="20"/>
          <w:szCs w:val="20"/>
          <w:color w:val="auto"/>
        </w:rPr>
      </w:pPr>
    </w:p>
    <w:p>
      <w:pPr>
        <w:ind w:right="780" w:firstLine="439"/>
        <w:spacing w:after="0" w:line="24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812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SHUTTERSTOCK, INC.</w:t>
            </w:r>
          </w:p>
        </w:tc>
      </w:tr>
      <w:tr>
        <w:trPr>
          <w:trHeight w:val="40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25, 2023</w:t>
            </w:r>
          </w:p>
        </w:tc>
        <w:tc>
          <w:tcPr>
            <w:tcW w:w="21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Jarrod Yahes</w:t>
            </w:r>
          </w:p>
        </w:tc>
      </w:tr>
      <w:tr>
        <w:trPr>
          <w:trHeight w:val="212"/>
        </w:trPr>
        <w:tc>
          <w:tcPr>
            <w:tcW w:w="3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Jarrod Yahes</w:t>
            </w:r>
          </w:p>
        </w:tc>
      </w:tr>
      <w:tr>
        <w:trPr>
          <w:trHeight w:val="228"/>
        </w:trPr>
        <w:tc>
          <w:tcPr>
            <w:tcW w:w="3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4" w:name="page5"/>
    <w:bookmarkEnd w:id="4"/>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81915</wp:posOffset>
            </wp:positionV>
            <wp:extent cx="3425825" cy="484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5825" cy="484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Reports First Quarter 2023 Financial Results</w:t>
      </w:r>
    </w:p>
    <w:p>
      <w:pPr>
        <w:spacing w:after="0" w:line="200" w:lineRule="exact"/>
        <w:rPr>
          <w:sz w:val="20"/>
          <w:szCs w:val="20"/>
          <w:color w:val="auto"/>
        </w:rPr>
      </w:pPr>
    </w:p>
    <w:p>
      <w:pPr>
        <w:spacing w:after="0" w:line="225"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New York, NY - April 25, 2023 - </w:t>
      </w:r>
      <w:r>
        <w:rPr>
          <w:rFonts w:ascii="Times New Roman" w:cs="Times New Roman" w:eastAsia="Times New Roman" w:hAnsi="Times New Roman"/>
          <w:sz w:val="18"/>
          <w:szCs w:val="18"/>
          <w:color w:val="auto"/>
        </w:rPr>
        <w:t>Shutterstock, Inc. (NYSE: SSTK) (the “Company”), a premier partner for transformative brands, newsrooms and media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today announced financial results for the first quarter ended March 31, 2023.</w:t>
      </w:r>
    </w:p>
    <w:p>
      <w:pPr>
        <w:spacing w:after="0" w:line="6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Commenting on the Company’s performance, Paul Hennessy, the Company’s Chief Executive Officer, said, “We are pleased to report an exceptional quarter for Shutterstock. We integrated generative AI into our offering and also concluded landmark data partnerships with some of the largest companies in the world. Our investments are paying tangible dividends, as demonstrated by record Adjusted EBITDA in the first quarter and increased guidance for the full year. Shutterstock is an extremely exciting place to be right now with our end-to-end creative platform uniquely positioning us for sustained growth and profitability.”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2023 highlights as compared to First Quarter 2022:</w:t>
      </w:r>
    </w:p>
    <w:p>
      <w:pPr>
        <w:spacing w:after="0" w:line="1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Financial Highlights</w:t>
      </w:r>
    </w:p>
    <w:p>
      <w:pPr>
        <w:spacing w:after="0" w:line="109" w:lineRule="exact"/>
        <w:rPr>
          <w:sz w:val="20"/>
          <w:szCs w:val="20"/>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8% to $215.3 million. On a constant currency basis, revenue increased 10%.</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increased 26% to $40.4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24% to $32.8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27% to $69.8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per diluted share increased $0.19 to $0.90.</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share increased $0.29 to $1.29.</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flows increased $44.1 million to $66.8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increased $40.7 million to $50.9 million.</w:t>
      </w:r>
    </w:p>
    <w:p>
      <w:pPr>
        <w:spacing w:after="0" w:line="3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Key Operating Metrics</w:t>
      </w:r>
    </w:p>
    <w:p>
      <w:pPr>
        <w:spacing w:after="0" w:line="109" w:lineRule="exact"/>
        <w:rPr>
          <w:sz w:val="20"/>
          <w:szCs w:val="20"/>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Subscribers increased to 559,000.</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revenue increased to $90.6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per customer increased to $356.</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downloads decreased to 42.7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download increased to $4.41.</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 collection expanded to 615 million images.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collection expanded to 47 million clips.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SHUTTERSTOCK INVESTOR RELATIONS MICRO SITE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Accessible at content.shutterstock.com/investor-report/index.html.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63"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18"/>
          <w:szCs w:val="18"/>
          <w:color w:val="auto"/>
        </w:rPr>
        <w:t>First quarter revenue of $215.3 million increased $16.1 million or 8% as compared to the first quarter of 2022. Revenue generated through our E-commerce sales channel decreased 6% as compared to the first quarter of 2022, to $119.8 million, and represented 56% of total revenue in the first quarter of 2023. The decline in E-commerce revenue was primarily driven by weakness in customer acquisition, partially offset by revenue generated from Pond5 which was acquired in May 2022. Revenue from our Enterprise sales channel increased 33% as compared to the first quarter of 2022, to $95.5 million, and represented 44% of first quarter revenue in 2023. The increase in Enterprise revenues was primarily driven by growth in our computer vision data partnerships and our Studios business, in addition to revenue generated from our acquisitions of Pond5 and Splash News.</w:t>
      </w:r>
    </w:p>
    <w:p>
      <w:pPr>
        <w:spacing w:after="0" w:line="80"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color w:val="auto"/>
        </w:rPr>
        <w:t>On a constant currency basis, revenue increased 10% in the first quarter of 2023 as compared to the first quarter of 2022. On a constant currency basis, E-commerce revenue decreased by 4% and Enterprise revenues increased by 35% in the first quarter of 2023, as compared to 2022.</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net income per diluted share</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Net income of $32.8 million increased $6.3 million as compared to $26.6 million for the first quarter in 2022. Net income per diluted share was $0.90, as compared to $0.71 for the same period in 2022. These increases are due primarily to the first quarter 2023 revenue growth.</w:t>
      </w:r>
    </w:p>
    <w:p>
      <w:pPr>
        <w:spacing w:after="0" w:line="117" w:lineRule="exact"/>
        <w:rPr>
          <w:sz w:val="20"/>
          <w:szCs w:val="20"/>
          <w:color w:val="auto"/>
        </w:rPr>
      </w:pPr>
    </w:p>
    <w:p>
      <w:pPr>
        <w:ind w:right="1560"/>
        <w:spacing w:after="0" w:line="419" w:lineRule="auto"/>
        <w:rPr>
          <w:sz w:val="20"/>
          <w:szCs w:val="20"/>
          <w:color w:val="auto"/>
        </w:rPr>
      </w:pPr>
      <w:r>
        <w:rPr>
          <w:rFonts w:ascii="Times New Roman" w:cs="Times New Roman" w:eastAsia="Times New Roman" w:hAnsi="Times New Roman"/>
          <w:sz w:val="18"/>
          <w:szCs w:val="18"/>
          <w:color w:val="auto"/>
        </w:rPr>
        <w:t xml:space="preserve">Adjusted net income per diluted share was $1.29 as compared to $1.00 for the first quarter of 2022, an increase of $0.29 per diluted share. </w:t>
      </w:r>
      <w:r>
        <w:rPr>
          <w:rFonts w:ascii="Times New Roman" w:cs="Times New Roman" w:eastAsia="Times New Roman" w:hAnsi="Times New Roman"/>
          <w:sz w:val="18"/>
          <w:szCs w:val="18"/>
          <w:b w:val="1"/>
          <w:bCs w:val="1"/>
          <w:color w:val="auto"/>
        </w:rPr>
        <w:t>Adjusted EBITDA</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EBITDA of $69.8 million for the first quarter of 2023 increased by $15.0 million, or 27%, as compared to the first quarter of 2022, due primarily to increased revenue. The adjusted EBITDA margin of 32.4% for first quarter of 2023 increased by 490 basis points, as compared 27.5% in the first quarter of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LIQUIDITY</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cash and cash equivalents decreased by $19.3 million to $95.8 million at March 31, 2023, as compared with $115.2 million as of December 31, 2022. This decrease was driven by $70.7 million used in financing activities and $15.9 million used in investing activities, partially offset by $66.8 million of net cash provided by our operating activities.</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cash provided by our operating activities was driven by our operating income, in addition to changes in the timing of cash collections from our customers and payments pertaining to operating expenses. Cash used in investing activities primarily consists of $15.9 million related to capital expenditures and content acquisition. Cash used in financing activities primarily consists of $50.0 million used for the repayment of our Credit Facility and $9.7 million related to the payment of the quarterly cash dividend.</w:t>
      </w:r>
    </w:p>
    <w:p>
      <w:pPr>
        <w:spacing w:after="0" w:line="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Free cash flow was $50.9 million for the first quarter of 2023, an increase of $40.7 million from the first quarter of 2022. This change was primarily driven by growth in cash flows from operating activities.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CASH DIVIDEND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2023, the Company declared and paid a cash dividend of $0.27 per common share or $9.7 million.</w:t>
      </w:r>
    </w:p>
    <w:p>
      <w:pPr>
        <w:spacing w:after="0" w:line="10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On April 17, 2023, the Board of Directors declared a dividend of $0.27 per share of outstanding common stock, payable on June 15, 2023 to stockholders of record at the close of business on June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r>
      <w:tr>
        <w:trPr>
          <w:trHeight w:val="166"/>
        </w:trPr>
        <w:tc>
          <w:tcPr>
            <w:tcW w:w="81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6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0" w:type="dxa"/>
            <w:vAlign w:val="bottom"/>
            <w:tcBorders>
              <w:bottom w:val="single" w:sz="8" w:color="auto"/>
            </w:tcBorders>
          </w:tcPr>
          <w:p>
            <w:pPr>
              <w:spacing w:after="0"/>
              <w:rPr>
                <w:sz w:val="14"/>
                <w:szCs w:val="14"/>
                <w:color w:val="auto"/>
              </w:rPr>
            </w:pPr>
          </w:p>
        </w:tc>
      </w:tr>
      <w:tr>
        <w:trPr>
          <w:trHeight w:val="51"/>
        </w:trPr>
        <w:tc>
          <w:tcPr>
            <w:tcW w:w="8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11"/>
        </w:trPr>
        <w:tc>
          <w:tcPr>
            <w:tcW w:w="81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0"/>
                <w:szCs w:val="20"/>
                <w:color w:val="auto"/>
                <w:vertAlign w:val="superscript"/>
              </w:rPr>
              <w:t>(1)</w:t>
            </w: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559,000</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359,000</w:t>
            </w:r>
          </w:p>
        </w:tc>
      </w:tr>
      <w:tr>
        <w:trPr>
          <w:trHeight w:val="211"/>
        </w:trPr>
        <w:tc>
          <w:tcPr>
            <w:tcW w:w="81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0"/>
                <w:szCs w:val="20"/>
                <w:color w:val="auto"/>
                <w:vertAlign w:val="superscript"/>
              </w:rPr>
              <w:t>(2)</w:t>
            </w:r>
          </w:p>
        </w:tc>
        <w:tc>
          <w:tcPr>
            <w:tcW w:w="900" w:type="dxa"/>
            <w:vAlign w:val="bottom"/>
          </w:tcPr>
          <w:p>
            <w:pPr>
              <w:jc w:val="right"/>
              <w:ind w:right="73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90.6</w:t>
            </w:r>
          </w:p>
        </w:tc>
        <w:tc>
          <w:tcPr>
            <w:tcW w:w="940" w:type="dxa"/>
            <w:vAlign w:val="bottom"/>
          </w:tcPr>
          <w:p>
            <w:pPr>
              <w:jc w:val="right"/>
              <w:ind w:right="727"/>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w:t>
            </w:r>
          </w:p>
        </w:tc>
      </w:tr>
      <w:tr>
        <w:trPr>
          <w:trHeight w:val="92"/>
        </w:trPr>
        <w:tc>
          <w:tcPr>
            <w:tcW w:w="8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r>
      <w:tr>
        <w:trPr>
          <w:trHeight w:val="211"/>
        </w:trPr>
        <w:tc>
          <w:tcPr>
            <w:tcW w:w="81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0"/>
                <w:szCs w:val="20"/>
                <w:color w:val="auto"/>
                <w:vertAlign w:val="superscript"/>
              </w:rPr>
              <w:t>(3)</w:t>
            </w:r>
          </w:p>
        </w:tc>
        <w:tc>
          <w:tcPr>
            <w:tcW w:w="900" w:type="dxa"/>
            <w:vAlign w:val="bottom"/>
          </w:tcPr>
          <w:p>
            <w:pPr>
              <w:jc w:val="right"/>
              <w:ind w:right="73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356</w:t>
            </w:r>
          </w:p>
        </w:tc>
        <w:tc>
          <w:tcPr>
            <w:tcW w:w="940" w:type="dxa"/>
            <w:vAlign w:val="bottom"/>
          </w:tcPr>
          <w:p>
            <w:pPr>
              <w:jc w:val="right"/>
              <w:ind w:right="727"/>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11"/>
        </w:trPr>
        <w:tc>
          <w:tcPr>
            <w:tcW w:w="81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Paid downloads (in millions)</w:t>
            </w:r>
            <w:r>
              <w:rPr>
                <w:rFonts w:ascii="Times New Roman" w:cs="Times New Roman" w:eastAsia="Times New Roman" w:hAnsi="Times New Roman"/>
                <w:sz w:val="20"/>
                <w:szCs w:val="20"/>
                <w:color w:val="auto"/>
                <w:vertAlign w:val="superscript"/>
              </w:rPr>
              <w:t>(4)</w:t>
            </w: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42.7</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r>
      <w:tr>
        <w:trPr>
          <w:trHeight w:val="211"/>
        </w:trPr>
        <w:tc>
          <w:tcPr>
            <w:tcW w:w="81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Revenue per download</w:t>
            </w:r>
            <w:r>
              <w:rPr>
                <w:rFonts w:ascii="Times New Roman" w:cs="Times New Roman" w:eastAsia="Times New Roman" w:hAnsi="Times New Roman"/>
                <w:sz w:val="20"/>
                <w:szCs w:val="20"/>
                <w:color w:val="auto"/>
                <w:vertAlign w:val="superscript"/>
              </w:rPr>
              <w:t>(5)</w:t>
            </w:r>
          </w:p>
        </w:tc>
        <w:tc>
          <w:tcPr>
            <w:tcW w:w="9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$4.41</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211"/>
        </w:trPr>
        <w:tc>
          <w:tcPr>
            <w:tcW w:w="81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Content in our collection (end of period, in millions)</w:t>
            </w: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09"/>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Images</w:t>
            </w:r>
          </w:p>
        </w:tc>
        <w:tc>
          <w:tcPr>
            <w:tcW w:w="90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615</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21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Footage clips</w:t>
            </w: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47</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w:t>
      </w:r>
    </w:p>
    <w:p>
      <w:pPr>
        <w:spacing w:after="0" w:line="4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2"/>
          <w:szCs w:val="12"/>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and from PicMonkey beginning September 2022. These metrics exclude the respective customer counts and revenues from our acquisitions of Pond5 and Splash News.</w:t>
      </w:r>
    </w:p>
    <w:p>
      <w:pPr>
        <w:spacing w:after="0" w:line="68" w:lineRule="exact"/>
        <w:rPr>
          <w:sz w:val="20"/>
          <w:szCs w:val="20"/>
          <w:color w:val="auto"/>
        </w:rPr>
      </w:pPr>
    </w:p>
    <w:p>
      <w:pPr>
        <w:ind w:left="180" w:hanging="175"/>
        <w:spacing w:after="0"/>
        <w:tabs>
          <w:tab w:leader="none" w:pos="1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Subscribers is defined as those customers who purchase one or more of our monthly recurring products for a continuous period of at least three months, measured as of the end of the reporting period.</w:t>
      </w:r>
    </w:p>
    <w:p>
      <w:pPr>
        <w:spacing w:after="0" w:line="112" w:lineRule="exact"/>
        <w:rPr>
          <w:rFonts w:ascii="Times New Roman" w:cs="Times New Roman" w:eastAsia="Times New Roman" w:hAnsi="Times New Roman"/>
          <w:sz w:val="12"/>
          <w:szCs w:val="12"/>
          <w:color w:val="auto"/>
        </w:rPr>
      </w:pPr>
    </w:p>
    <w:p>
      <w:pPr>
        <w:ind w:left="180" w:hanging="175"/>
        <w:spacing w:after="0"/>
        <w:tabs>
          <w:tab w:leader="none" w:pos="1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revenue is defined as the revenue generated from subscribers during the period.</w:t>
      </w:r>
    </w:p>
    <w:p>
      <w:pPr>
        <w:spacing w:after="0" w:line="112" w:lineRule="exact"/>
        <w:rPr>
          <w:rFonts w:ascii="Times New Roman" w:cs="Times New Roman" w:eastAsia="Times New Roman" w:hAnsi="Times New Roman"/>
          <w:sz w:val="12"/>
          <w:szCs w:val="12"/>
          <w:color w:val="auto"/>
        </w:rPr>
      </w:pPr>
    </w:p>
    <w:p>
      <w:pPr>
        <w:ind w:right="20" w:firstLine="5"/>
        <w:spacing w:after="0" w:line="288" w:lineRule="auto"/>
        <w:tabs>
          <w:tab w:leader="none" w:pos="17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 revenue per customer is calculated by dividing total revenue for the last twelve-month period by customers. Customers is defined as total active, paying customers that contributed to total revenue over the last twelve-month period.</w:t>
      </w:r>
    </w:p>
    <w:p>
      <w:pPr>
        <w:spacing w:after="0" w:line="76" w:lineRule="exact"/>
        <w:rPr>
          <w:rFonts w:ascii="Times New Roman" w:cs="Times New Roman" w:eastAsia="Times New Roman" w:hAnsi="Times New Roman"/>
          <w:sz w:val="12"/>
          <w:szCs w:val="12"/>
          <w:color w:val="auto"/>
        </w:rPr>
      </w:pPr>
    </w:p>
    <w:p>
      <w:pPr>
        <w:ind w:right="20" w:firstLine="5"/>
        <w:spacing w:after="0" w:line="288" w:lineRule="auto"/>
        <w:tabs>
          <w:tab w:leader="none" w:pos="17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Paid downloads is the number of downloads that our customers make in a given period of our content. Paid downloads exclude content related to our Studios business, downloads of content that are offered to customers for no charge, including our free trials and downloads associated with our computer vision offering.</w:t>
      </w:r>
    </w:p>
    <w:p>
      <w:pPr>
        <w:spacing w:after="0" w:line="63" w:lineRule="exact"/>
        <w:rPr>
          <w:rFonts w:ascii="Times New Roman" w:cs="Times New Roman" w:eastAsia="Times New Roman" w:hAnsi="Times New Roman"/>
          <w:sz w:val="12"/>
          <w:szCs w:val="12"/>
          <w:color w:val="auto"/>
        </w:rPr>
      </w:pPr>
    </w:p>
    <w:p>
      <w:pPr>
        <w:ind w:right="480" w:firstLine="5"/>
        <w:spacing w:after="0" w:line="288" w:lineRule="auto"/>
        <w:tabs>
          <w:tab w:leader="none" w:pos="17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per download is the amount of revenue recognized in a given period divided by the number of paid downloads in that period excluding revenue from our Studios business, revenue that is not derived from or associated with content licenses and revenue associated with our computer vision offering.</w:t>
      </w:r>
    </w:p>
    <w:p>
      <w:pPr>
        <w:spacing w:after="0" w:line="63" w:lineRule="exact"/>
        <w:rPr>
          <w:rFonts w:ascii="Times New Roman" w:cs="Times New Roman" w:eastAsia="Times New Roman" w:hAnsi="Times New Roman"/>
          <w:sz w:val="12"/>
          <w:szCs w:val="12"/>
          <w:color w:val="auto"/>
        </w:rPr>
      </w:pPr>
    </w:p>
    <w:p>
      <w:pPr>
        <w:jc w:val="both"/>
        <w:ind w:right="20" w:firstLine="5"/>
        <w:spacing w:after="0" w:line="281" w:lineRule="auto"/>
        <w:tabs>
          <w:tab w:leader="none" w:pos="17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Content in our collection represents approved images (photographs, vectors and illustrations) and footage (in number of clips) in our library at the end of the period. This metric excludes content that is not uploaded directly to our site but is available for license by our customers through an application program interface, content from our Studios business and Editorial content. Prior to December 31, 2022, this metric only included approved images and footage clips in our library on shutterstock.com at the end of the period.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GUIDANCE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increased its guidance for the full year 2023, to the following:</w:t>
      </w:r>
    </w:p>
    <w:p>
      <w:pPr>
        <w:spacing w:after="0" w:line="214" w:lineRule="exact"/>
        <w:rPr>
          <w:sz w:val="20"/>
          <w:szCs w:val="20"/>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$844 million to $853 million, representing annual growth of 2% to 3%.</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between $227 million to $231 million.</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share of between $4.00 to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supplement Shutterstock’s consolidated financial statements presented in accordance with the accounting principles generally accepted in the United States, or GAAP, Shutterstock’s management considers certain financial measures that are not prepared in accordance with GAAP, collectively referred to as non-GAAP financial measures, including adjusted EBITDA, adjusted EBITDA margin, adjusted net income, adjusted net income per diluted share, revenue growth (including by distribution channel) on a constant currency basis (expressed as a percentage), billings and free cash flow.</w:t>
      </w:r>
    </w:p>
    <w:p>
      <w:pPr>
        <w:spacing w:after="0" w:line="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Shutterstock defines adjusted EBITDA as net income adjusted for depreciation and amortization, non-cash equity-based compensation, foreign currency transaction gains and losses, severance costs associated with strategic workforce optimizations, interest income and expense and income taxes; adjusted EBITDA margin as the ratio of adjusted EBITDA to revenue; adjusted net income as net income adjusted for the impact of non-cash equity-based compensation, amortization of acquisition-related intangible assets, severance costs associated with strategic workforce optimizations and the estimated tax impact of such adjustments; adjusted net income per diluted share as adjusted net income divided by weighted average diluted shares;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 billings as revenue adjusted for the change in deferred revenue, excluding deferred revenue acquired through business combinations; and free cash flow as cash provided by operating activities, adjusted for capital expenditures, and content acquisition. These figures have not been calculated in accordance with GAAP and should be considered only in addition to results prepared in accordance with GAAP and should not be considered as a substitute for, or superior to, GAAP results. Shutterstock cautions investors that non-GAAP financial measures are not based on any standardized methodology prescribed by GAAP and are not necessarily comparable to similarly-titled measures presented by other companies.</w:t>
      </w:r>
    </w:p>
    <w:p>
      <w:pPr>
        <w:spacing w:after="0" w:line="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Shutterstock’s management believes that adjusted EBITDA, adjusted EBITDA margin, adjusted net income, adjusted net income per diluted share, revenue growth (including by distribution channel) on a constant currency basis (expressed as a percentage), billings and free cash flow are useful to investors because these measures enable investors to analyze Shutterstock’s operating results on the same basis as that used by management. Additionally, management believes that adjusted EBITDA, adjusted EBITDA margin, adjusted net income and adjusted net income per diluted share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distribution channel)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Shutterstock’s management believes that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w:t>
      </w:r>
    </w:p>
    <w:p>
      <w:pPr>
        <w:spacing w:after="0" w:line="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Shutterstock’s management also uses the non-GAAP financial measures adjusted EBITDA, adjusted EBITDA margin, adjusted net income, adjusted net income per diluted share, revenue growth (including by distribution channel) on a constant currency basis (expressed as a percentage), billings and free cash flow, in conjunction with GAAP financial measures, as an integral part of managing the business and to, among other things: (i) monitor and evaluate the performance of Shutterstock’s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Shutterstock’s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Reconciliations of the differences between adjusted EBITDA, adjusted EBITDA margin, adjusted net income, adjusted net income per diluted share, revenue growth (including by distribution channel) on a constant currency basis (expressed as a percentage), billings, free cash flow, and the most comparable financial measures calculated and presented in accordance with GAAP, are presented under the headings “Reconciliation of Non-GAAP Financial Information to GAAP” and “Supplemental Financial Data” immediately following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We do not provide a reconciliation of adjusted EBITDA guidance to net income guidance or a reconciliation of adjusted net income per diluted share guidance to net income per diluted share guidance, because we are unable to calculate with reasonable certainty the impact of potential future transactions, including, but not limited to, capital structure transactions, restructuring, acquisitions, divestitures or other events and asset impairments, without unreasonable effort. These amounts depend on various factors and could have a material impact on net income and net income per diluted share, but may be excluded from adjusted EBITDA and adjusted net income per diluted share. In addition, we believe such reconciliations would imply a degree of precision that would be confusing or misleading to investors. For the same reasons, the Company is unable to address the probable significance of the unavailable information.</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TELECONFERENCE INFORMATION</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discuss its first quarter and full year financial results during a teleconference today, April 25, 2023, at 8:30 AM Eastern Time. The conference call is being webcast live at the Company's website at http://investor.shutterstock.com/. The webcast is listen-only. Those interested in participating in the question-and-answer session should register using the link below.</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Participants may register for the call here (https://edge.media-server.com/mmc/p/pnmfv5x7) to receive the dial-in numbers and unique PIN to access the call seamlessly. It is recommended that you join 10 minutes prior to the event start (although you may register and dial in at any time during the call).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webcast replay of the call will be available on the Company's website beginning on April 25, 2023 at approximately 10:30 AM Eastern Time.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SHUTTERSTOCK</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Shutterstock, Inc. (NYSE: SSTK) is a premier partner for transformative brands, newsrooms and media companies, empowering the world to create with confidence. Fueled by millions of creators around the world and a fearless approach to product innovation, Shutterstock is the leading global platform for licensing from the most extensive and diverse collection of high-quality 3D models, videos, music, photographs, vectors and illustrations. From the world's largest content marketplace, to breaking news and A-list entertainment editorial access, to all-in-one content editing platform and studio production service—all using the latest in innovative technology—Shutterstock offers the most comprehensive selection of resources to bring storytelling to life.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more at www.shutterstock.com and follow us on LinkedIn, Instagram, Twitter, Facebook and YouTube.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the Private Securities Litigation Reform Act of 1995, particularly in the discussion under the caption “2023 Guidance.” All statements other than statements of historical fact are forward-looking. Examples of forward-looking statements include, but are not limited to, statements regarding guidance, industry prospects, future business, future results of operations or financial condition, new or planned features, products or services, management strategies and our competitive position. You can identify forward-looking statements by words such as “may,” “will,” “would,” “should,” “could,” “expect,” “aim,” “anticipate,” “believe,” “estimate,” “intend,” “plan,” “predict,” “project,” “seek,”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contained herein. Such risks and uncertainties include, among others, those discussed under the caption “Risk Factors” in our most recent Annual Report on Form 10-K, as well as in other documents that the Company may file from time to time with the Securities and Exchange Commission. As a result of such risks, uncertainties and factors, Shutterstock’s actual results may differ materially from any future results, performance or achievements discussed in or implied by the forward-looking statements contained herein. The forward-looking statements contained in this press release are made only as of this date and Shutterstock assumes no obligation to update the information included in this press release or revise any forward-looking statements, whether as a result of new information, future developments or otherwise, except as required by law.</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Investor Relations Contact</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Chris Suh</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ir@shutterstock.com</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646-257-4825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Press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Lori Rodney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press@shutterstock.com</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917-563-4991</w:t>
      </w:r>
    </w:p>
    <w:p>
      <w:pPr>
        <w:spacing w:after="0" w:line="200" w:lineRule="exact"/>
        <w:rPr>
          <w:sz w:val="20"/>
          <w:szCs w:val="20"/>
          <w:color w:val="auto"/>
        </w:rPr>
      </w:pPr>
    </w:p>
    <w:p>
      <w:pPr>
        <w:sectPr>
          <w:pgSz w:w="11900" w:h="16838" w:orient="portrait"/>
          <w:cols w:equalWidth="0" w:num="2">
            <w:col w:w="4940" w:space="720"/>
            <w:col w:w="55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440"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980" w:type="dxa"/>
            <w:vAlign w:val="bottom"/>
            <w:gridSpan w:val="5"/>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6"/>
        </w:trPr>
        <w:tc>
          <w:tcPr>
            <w:tcW w:w="8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215,280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199,132</w:t>
            </w:r>
          </w:p>
        </w:tc>
        <w:tc>
          <w:tcPr>
            <w:tcW w:w="0" w:type="dxa"/>
            <w:vAlign w:val="bottom"/>
          </w:tcPr>
          <w:p>
            <w:pPr>
              <w:spacing w:after="0"/>
              <w:rPr>
                <w:sz w:val="1"/>
                <w:szCs w:val="1"/>
                <w:color w:val="auto"/>
              </w:rPr>
            </w:pPr>
          </w:p>
        </w:tc>
      </w:tr>
      <w:tr>
        <w:trPr>
          <w:trHeight w:val="105"/>
        </w:trPr>
        <w:tc>
          <w:tcPr>
            <w:tcW w:w="8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69,451</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53,329</w:t>
            </w:r>
          </w:p>
        </w:tc>
        <w:tc>
          <w:tcPr>
            <w:tcW w:w="0" w:type="dxa"/>
            <w:vAlign w:val="bottom"/>
          </w:tcPr>
          <w:p>
            <w:pPr>
              <w:spacing w:after="0"/>
              <w:rPr>
                <w:sz w:val="1"/>
                <w:szCs w:val="1"/>
                <w:color w:val="auto"/>
              </w:rPr>
            </w:pPr>
          </w:p>
        </w:tc>
      </w:tr>
      <w:tr>
        <w:trPr>
          <w:trHeight w:val="209"/>
        </w:trPr>
        <w:tc>
          <w:tcPr>
            <w:tcW w:w="8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13,626</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30,808</w:t>
            </w:r>
          </w:p>
        </w:tc>
        <w:tc>
          <w:tcPr>
            <w:tcW w:w="0" w:type="dxa"/>
            <w:vAlign w:val="bottom"/>
          </w:tcPr>
          <w:p>
            <w:pPr>
              <w:spacing w:after="0"/>
              <w:rPr>
                <w:sz w:val="1"/>
                <w:szCs w:val="1"/>
                <w:color w:val="auto"/>
              </w:rPr>
            </w:pPr>
          </w:p>
        </w:tc>
      </w:tr>
      <w:tr>
        <w:trPr>
          <w:trHeight w:val="202"/>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174,911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167,214</w:t>
            </w:r>
          </w:p>
        </w:tc>
        <w:tc>
          <w:tcPr>
            <w:tcW w:w="0" w:type="dxa"/>
            <w:vAlign w:val="bottom"/>
          </w:tcPr>
          <w:p>
            <w:pPr>
              <w:spacing w:after="0"/>
              <w:rPr>
                <w:sz w:val="1"/>
                <w:szCs w:val="1"/>
                <w:color w:val="auto"/>
              </w:rPr>
            </w:pPr>
          </w:p>
        </w:tc>
      </w:tr>
      <w:tr>
        <w:trPr>
          <w:trHeight w:val="20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40,369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31,918</w:t>
            </w:r>
          </w:p>
        </w:tc>
        <w:tc>
          <w:tcPr>
            <w:tcW w:w="0" w:type="dxa"/>
            <w:vAlign w:val="bottom"/>
          </w:tcPr>
          <w:p>
            <w:pPr>
              <w:spacing w:after="0"/>
              <w:rPr>
                <w:sz w:val="1"/>
                <w:szCs w:val="1"/>
                <w:color w:val="auto"/>
              </w:rPr>
            </w:pPr>
          </w:p>
        </w:tc>
      </w:tr>
      <w:tr>
        <w:trPr>
          <w:trHeight w:val="20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r>
        <w:trPr>
          <w:trHeight w:val="20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32,676</w:t>
            </w:r>
          </w:p>
        </w:tc>
        <w:tc>
          <w:tcPr>
            <w:tcW w:w="0" w:type="dxa"/>
            <w:vAlign w:val="bottom"/>
          </w:tcPr>
          <w:p>
            <w:pPr>
              <w:spacing w:after="0"/>
              <w:rPr>
                <w:sz w:val="1"/>
                <w:szCs w:val="1"/>
                <w:color w:val="auto"/>
              </w:rPr>
            </w:pPr>
          </w:p>
        </w:tc>
      </w:tr>
      <w:tr>
        <w:trPr>
          <w:trHeight w:val="20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6,104</w:t>
            </w:r>
          </w:p>
        </w:tc>
        <w:tc>
          <w:tcPr>
            <w:tcW w:w="0" w:type="dxa"/>
            <w:vAlign w:val="bottom"/>
          </w:tcPr>
          <w:p>
            <w:pPr>
              <w:spacing w:after="0"/>
              <w:rPr>
                <w:sz w:val="1"/>
                <w:szCs w:val="1"/>
                <w:color w:val="auto"/>
              </w:rPr>
            </w:pPr>
          </w:p>
        </w:tc>
      </w:tr>
      <w:tr>
        <w:trPr>
          <w:trHeight w:val="204"/>
        </w:trPr>
        <w:tc>
          <w:tcPr>
            <w:tcW w:w="8260" w:type="dxa"/>
            <w:vAlign w:val="bottom"/>
            <w:tcBorders>
              <w:bottom w:val="single" w:sz="8" w:color="CCEEFF"/>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Borders>
              <w:bottom w:val="single" w:sz="8" w:color="auto"/>
            </w:tcBorders>
            <w:shd w:val="clear" w:color="auto" w:fill="CCEEFF"/>
          </w:tcPr>
          <w:p>
            <w:pPr>
              <w:jc w:val="right"/>
              <w:ind w:right="684"/>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32,843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26,572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26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60" w:type="dxa"/>
            <w:vAlign w:val="bottom"/>
            <w:vMerge w:val="continue"/>
          </w:tcPr>
          <w:p>
            <w:pPr>
              <w:spacing w:after="0"/>
              <w:rPr>
                <w:sz w:val="15"/>
                <w:szCs w:val="15"/>
                <w:color w:val="auto"/>
              </w:rPr>
            </w:pPr>
          </w:p>
        </w:tc>
        <w:tc>
          <w:tcPr>
            <w:tcW w:w="86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0" w:type="dxa"/>
            <w:vAlign w:val="bottom"/>
          </w:tcPr>
          <w:p>
            <w:pPr>
              <w:spacing w:after="0"/>
              <w:rPr>
                <w:sz w:val="1"/>
                <w:szCs w:val="1"/>
                <w:color w:val="auto"/>
              </w:rPr>
            </w:pPr>
          </w:p>
        </w:tc>
      </w:tr>
      <w:tr>
        <w:trPr>
          <w:trHeight w:val="46"/>
        </w:trPr>
        <w:tc>
          <w:tcPr>
            <w:tcW w:w="82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2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8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60" w:type="dxa"/>
            <w:vAlign w:val="bottom"/>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36,575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37,204</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7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Pr>
          <w:p>
            <w:pPr>
              <w:spacing w:after="0"/>
              <w:rPr>
                <w:sz w:val="16"/>
                <w:szCs w:val="16"/>
                <w:color w:val="auto"/>
              </w:rPr>
            </w:pPr>
          </w:p>
        </w:tc>
        <w:tc>
          <w:tcPr>
            <w:tcW w:w="14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7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115,154</w:t>
            </w: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 of $6,566 and $5,830</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67,249</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33,268</w:t>
            </w:r>
          </w:p>
        </w:tc>
        <w:tc>
          <w:tcPr>
            <w:tcW w:w="0" w:type="dxa"/>
            <w:vAlign w:val="bottom"/>
          </w:tcPr>
          <w:p>
            <w:pPr>
              <w:spacing w:after="0"/>
              <w:rPr>
                <w:sz w:val="1"/>
                <w:szCs w:val="1"/>
                <w:color w:val="auto"/>
              </w:rPr>
            </w:pPr>
          </w:p>
        </w:tc>
      </w:tr>
      <w:tr>
        <w:trPr>
          <w:trHeight w:val="202"/>
        </w:trPr>
        <w:tc>
          <w:tcPr>
            <w:tcW w:w="7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215,671</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54,548</w:t>
            </w: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17,593</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Intangibles assets, net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173,087</w:t>
            </w: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382,640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381,920</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assets, net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16,533</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22,039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21,832</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842,523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881,184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7,183</w:t>
            </w: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89,387</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38,649</w:t>
            </w: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187,070</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Debt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11,445</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313,462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383,734</w:t>
            </w: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35,611</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9,892</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365,989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433,702</w:t>
            </w:r>
          </w:p>
        </w:tc>
        <w:tc>
          <w:tcPr>
            <w:tcW w:w="0" w:type="dxa"/>
            <w:vAlign w:val="bottom"/>
          </w:tcPr>
          <w:p>
            <w:pPr>
              <w:spacing w:after="0"/>
              <w:rPr>
                <w:sz w:val="1"/>
                <w:szCs w:val="1"/>
                <w:color w:val="auto"/>
              </w:rPr>
            </w:pPr>
          </w:p>
        </w:tc>
      </w:tr>
      <w:tr>
        <w:trPr>
          <w:trHeight w:val="195"/>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 and contingencies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78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Common stock, $0.01 par value; 200,000 shares authorized; 39,690 and 39,605 shares issued and 35,914 and</w:t>
            </w: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35,829 shares outstanding as of March 31, 2023 and December 31, 2022, respectively</w:t>
            </w:r>
          </w:p>
        </w:tc>
        <w:tc>
          <w:tcPr>
            <w:tcW w:w="2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Treasury stock, at cost; 3,776 shares as of March 31, 2023 and December 31, 2022</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(200,008)</w:t>
            </w: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395,934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391,482</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(15,439)</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294,232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271,051</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476,534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447,482</w:t>
            </w:r>
          </w:p>
        </w:tc>
        <w:tc>
          <w:tcPr>
            <w:tcW w:w="0" w:type="dxa"/>
            <w:vAlign w:val="bottom"/>
          </w:tcPr>
          <w:p>
            <w:pPr>
              <w:spacing w:after="0"/>
              <w:rPr>
                <w:sz w:val="1"/>
                <w:szCs w:val="1"/>
                <w:color w:val="auto"/>
              </w:rPr>
            </w:pPr>
          </w:p>
        </w:tc>
      </w:tr>
      <w:tr>
        <w:trPr>
          <w:trHeight w:val="20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842,523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881,184</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72" w:right="339" w:bottom="1440" w:gutter="0" w:footer="0" w:header="0"/>
        </w:sectPr>
      </w:pPr>
    </w:p>
    <w:bookmarkStart w:id="12" w:name="page13"/>
    <w:bookmarkEnd w:id="12"/>
    <w:p>
      <w:pPr>
        <w:spacing w:after="0" w:line="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6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31"/>
        </w:trPr>
        <w:tc>
          <w:tcPr>
            <w:tcW w:w="8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10"/>
        </w:trPr>
        <w:tc>
          <w:tcPr>
            <w:tcW w:w="8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26,572</w:t>
            </w:r>
          </w:p>
        </w:tc>
      </w:tr>
      <w:tr>
        <w:trPr>
          <w:trHeight w:val="209"/>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15,065</w:t>
            </w:r>
          </w:p>
        </w:tc>
      </w:tr>
      <w:tr>
        <w:trPr>
          <w:trHeight w:val="209"/>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Deferred taxes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12"/>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7,826</w:t>
            </w:r>
          </w:p>
        </w:tc>
      </w:tr>
      <w:tr>
        <w:trPr>
          <w:trHeight w:val="209"/>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Bad debt expense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12"/>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w:t>
            </w:r>
          </w:p>
        </w:tc>
      </w:tr>
      <w:tr>
        <w:trPr>
          <w:trHeight w:val="212"/>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r>
      <w:tr>
        <w:trPr>
          <w:trHeight w:val="209"/>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and other current and non-current liabilities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(26,717)</w:t>
            </w:r>
          </w:p>
        </w:tc>
      </w:tr>
      <w:tr>
        <w:trPr>
          <w:trHeight w:val="212"/>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r>
      <w:tr>
        <w:trPr>
          <w:trHeight w:val="209"/>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w:t>
            </w:r>
          </w:p>
        </w:tc>
      </w:tr>
      <w:tr>
        <w:trPr>
          <w:trHeight w:val="204"/>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66,775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22,723</w:t>
            </w:r>
          </w:p>
        </w:tc>
      </w:tr>
      <w:tr>
        <w:trPr>
          <w:trHeight w:val="127"/>
        </w:trPr>
        <w:tc>
          <w:tcPr>
            <w:tcW w:w="8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1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(11,775)</w:t>
            </w:r>
          </w:p>
        </w:tc>
      </w:tr>
      <w:tr>
        <w:trPr>
          <w:trHeight w:val="212"/>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of content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r>
      <w:tr>
        <w:trPr>
          <w:trHeight w:val="209"/>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Security deposit payment</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4"/>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(12,525)</w:t>
            </w:r>
          </w:p>
        </w:tc>
      </w:tr>
      <w:tr>
        <w:trPr>
          <w:trHeight w:val="127"/>
        </w:trPr>
        <w:tc>
          <w:tcPr>
            <w:tcW w:w="8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1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treasury shares</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(38,372)</w:t>
            </w:r>
          </w:p>
        </w:tc>
      </w:tr>
      <w:tr>
        <w:trPr>
          <w:trHeight w:val="212"/>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Cash paid related to settlement of employee taxes related to RSU vesting</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(18,496)</w:t>
            </w:r>
          </w:p>
        </w:tc>
      </w:tr>
      <w:tr>
        <w:trPr>
          <w:trHeight w:val="212"/>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cash dividend</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(8,706)</w:t>
            </w:r>
          </w:p>
        </w:tc>
      </w:tr>
      <w:tr>
        <w:trPr>
          <w:trHeight w:val="209"/>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Payment of Credit Facility</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(70,667)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(65,574)</w:t>
            </w:r>
          </w:p>
        </w:tc>
      </w:tr>
      <w:tr>
        <w:trPr>
          <w:trHeight w:val="127"/>
        </w:trPr>
        <w:tc>
          <w:tcPr>
            <w:tcW w:w="8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11"/>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r>
      <w:tr>
        <w:trPr>
          <w:trHeight w:val="202"/>
        </w:trPr>
        <w:tc>
          <w:tcPr>
            <w:tcW w:w="8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(55,905)</w:t>
            </w:r>
          </w:p>
        </w:tc>
      </w:tr>
      <w:tr>
        <w:trPr>
          <w:trHeight w:val="147"/>
        </w:trPr>
        <w:tc>
          <w:tcPr>
            <w:tcW w:w="8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209"/>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115,154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314,017</w:t>
            </w:r>
          </w:p>
        </w:tc>
      </w:tr>
      <w:tr>
        <w:trPr>
          <w:trHeight w:val="229"/>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95,832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258,112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93"/>
        </w:trPr>
        <w:tc>
          <w:tcPr>
            <w:tcW w:w="8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1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Information:</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Cash (received) / paid for income taxes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w:t>
            </w:r>
          </w:p>
        </w:tc>
        <w:tc>
          <w:tcPr>
            <w:tcW w:w="10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w:t>
            </w:r>
          </w:p>
        </w:tc>
      </w:tr>
      <w:tr>
        <w:trPr>
          <w:trHeight w:val="212"/>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360" w:top="1440"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Information to GAAP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Adjusted EBITDA, adjusted EBITDA margin, adjusted net income, adjusted net income per diluted share, revenue growth (including by distribution channel) on a constant currency basis (expressed as a percentage), billings and free cash flow are not financial measures prepared in accordance with United States generally accepted accounting principles (GAAP). Such non-GAAP financial measures should not be construed as alternatives to any other measures of performance determined in accordance with GAAP. Investors are cautioned that non-GAAP financial measures are not based on any standardized methodology prescribed by GAAP and are not necessarily comparable to similarly-titled measures presented by other companies.</w:t>
      </w:r>
    </w:p>
    <w:p>
      <w:pPr>
        <w:spacing w:after="0" w:line="105"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25400</wp:posOffset>
            </wp:positionV>
            <wp:extent cx="20053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05330" cy="8255"/>
                    </a:xfrm>
                    <a:prstGeom prst="rect">
                      <a:avLst/>
                    </a:prstGeom>
                    <a:noFill/>
                  </pic:spPr>
                </pic:pic>
              </a:graphicData>
            </a:graphic>
          </wp:anchor>
        </w:drawing>
      </w:r>
    </w:p>
    <w:p>
      <w:pPr>
        <w:spacing w:after="0" w:line="26" w:lineRule="exact"/>
        <w:rPr>
          <w:sz w:val="20"/>
          <w:szCs w:val="20"/>
          <w:color w:val="auto"/>
        </w:rPr>
      </w:pPr>
    </w:p>
    <w:p>
      <w:pPr>
        <w:ind w:left="8720"/>
        <w:spacing w:after="0"/>
        <w:tabs>
          <w:tab w:leader="none" w:pos="10340" w:val="left"/>
        </w:tabs>
        <w:rPr>
          <w:sz w:val="20"/>
          <w:szCs w:val="20"/>
          <w:color w:val="auto"/>
        </w:rPr>
      </w:pPr>
      <w:r>
        <w:rPr>
          <w:rFonts w:ascii="Times New Roman" w:cs="Times New Roman" w:eastAsia="Times New Roman" w:hAnsi="Times New Roman"/>
          <w:sz w:val="12"/>
          <w:szCs w:val="12"/>
          <w:b w:val="1"/>
          <w:bCs w:val="1"/>
          <w:color w:val="auto"/>
        </w:rPr>
        <w:t>2023</w:t>
      </w:r>
      <w:r>
        <w:rPr>
          <w:sz w:val="20"/>
          <w:szCs w:val="20"/>
          <w:color w:val="auto"/>
        </w:rPr>
        <w:tab/>
      </w:r>
      <w:r>
        <w:rPr>
          <w:rFonts w:ascii="Times New Roman" w:cs="Times New Roman" w:eastAsia="Times New Roman" w:hAnsi="Times New Roman"/>
          <w:sz w:val="12"/>
          <w:szCs w:val="12"/>
          <w:b w:val="1"/>
          <w:bCs w:val="1"/>
          <w:color w:val="auto"/>
        </w:rPr>
        <w:t>2022</w:t>
      </w:r>
    </w:p>
    <w:p>
      <w:pPr>
        <w:sectPr>
          <w:pgSz w:w="11900" w:h="16838" w:orient="portrait"/>
          <w:cols w:equalWidth="0" w:num="1">
            <w:col w:w="11240"/>
          </w:cols>
          <w:pgMar w:left="320" w:top="1409" w:right="339" w:bottom="1440" w:gutter="0" w:footer="0" w:header="0"/>
        </w:sectPr>
      </w:pP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Add / (less) Non-GAAP adjustments: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Non-cash equity-based compensation</w:t>
      </w:r>
    </w:p>
    <w:p>
      <w:pPr>
        <w:spacing w:after="0" w:line="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Other adjustments, net </w:t>
      </w:r>
      <w:r>
        <w:rPr>
          <w:rFonts w:ascii="Times New Roman" w:cs="Times New Roman" w:eastAsia="Times New Roman" w:hAnsi="Times New Roman"/>
          <w:sz w:val="18"/>
          <w:szCs w:val="18"/>
          <w:color w:val="auto"/>
          <w:vertAlign w:val="superscript"/>
        </w:rPr>
        <w:t>(1)</w:t>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Provision for income taxes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EBITDA</w:t>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EBITDA margin</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5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32,843</w:t>
            </w:r>
          </w:p>
        </w:tc>
        <w:tc>
          <w:tcPr>
            <w:tcW w:w="100" w:type="dxa"/>
            <w:vAlign w:val="bottom"/>
          </w:tcPr>
          <w:p>
            <w:pPr>
              <w:spacing w:after="0"/>
              <w:rPr>
                <w:sz w:val="16"/>
                <w:szCs w:val="16"/>
                <w:color w:val="auto"/>
              </w:rPr>
            </w:pPr>
          </w:p>
        </w:tc>
        <w:tc>
          <w:tcPr>
            <w:tcW w:w="5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26,572</w:t>
            </w:r>
          </w:p>
        </w:tc>
      </w:tr>
      <w:tr>
        <w:trPr>
          <w:trHeight w:val="385"/>
        </w:trPr>
        <w:tc>
          <w:tcPr>
            <w:tcW w:w="520" w:type="dxa"/>
            <w:vAlign w:val="bottom"/>
          </w:tcPr>
          <w:p>
            <w:pPr>
              <w:spacing w:after="0"/>
              <w:rPr>
                <w:sz w:val="24"/>
                <w:szCs w:val="24"/>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18,896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15,065</w:t>
            </w:r>
          </w:p>
        </w:tc>
      </w:tr>
      <w:tr>
        <w:trPr>
          <w:trHeight w:val="197"/>
        </w:trPr>
        <w:tc>
          <w:tcPr>
            <w:tcW w:w="520" w:type="dxa"/>
            <w:vAlign w:val="bottom"/>
          </w:tcPr>
          <w:p>
            <w:pPr>
              <w:spacing w:after="0"/>
              <w:rPr>
                <w:sz w:val="17"/>
                <w:szCs w:val="17"/>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8,643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7,826</w:t>
            </w:r>
          </w:p>
        </w:tc>
      </w:tr>
      <w:tr>
        <w:trPr>
          <w:trHeight w:val="197"/>
        </w:trPr>
        <w:tc>
          <w:tcPr>
            <w:tcW w:w="520" w:type="dxa"/>
            <w:vAlign w:val="bottom"/>
          </w:tcPr>
          <w:p>
            <w:pPr>
              <w:spacing w:after="0"/>
              <w:rPr>
                <w:sz w:val="17"/>
                <w:szCs w:val="17"/>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(758)</w:t>
            </w:r>
          </w:p>
        </w:tc>
      </w:tr>
      <w:tr>
        <w:trPr>
          <w:trHeight w:val="197"/>
        </w:trPr>
        <w:tc>
          <w:tcPr>
            <w:tcW w:w="520" w:type="dxa"/>
            <w:vAlign w:val="bottom"/>
          </w:tcPr>
          <w:p>
            <w:pPr>
              <w:spacing w:after="0"/>
              <w:rPr>
                <w:sz w:val="17"/>
                <w:szCs w:val="17"/>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8,571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6,104</w:t>
            </w:r>
          </w:p>
        </w:tc>
      </w:tr>
      <w:tr>
        <w:trPr>
          <w:trHeight w:val="24"/>
        </w:trPr>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5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69,764</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54,809</w:t>
            </w:r>
          </w:p>
        </w:tc>
      </w:tr>
      <w:tr>
        <w:trPr>
          <w:trHeight w:val="26"/>
        </w:trPr>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32.4 %</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27.5 %</w:t>
            </w:r>
          </w:p>
        </w:tc>
      </w:tr>
      <w:tr>
        <w:trPr>
          <w:trHeight w:val="26"/>
        </w:trPr>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-5126990</wp:posOffset>
            </wp:positionH>
            <wp:positionV relativeFrom="paragraph">
              <wp:posOffset>-1085850</wp:posOffset>
            </wp:positionV>
            <wp:extent cx="7135495" cy="133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-5126990</wp:posOffset>
            </wp:positionH>
            <wp:positionV relativeFrom="paragraph">
              <wp:posOffset>-826770</wp:posOffset>
            </wp:positionV>
            <wp:extent cx="7135495" cy="125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-5126990</wp:posOffset>
            </wp:positionH>
            <wp:positionV relativeFrom="paragraph">
              <wp:posOffset>-575945</wp:posOffset>
            </wp:positionV>
            <wp:extent cx="7135495" cy="125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-5126990</wp:posOffset>
            </wp:positionH>
            <wp:positionV relativeFrom="paragraph">
              <wp:posOffset>-325120</wp:posOffset>
            </wp:positionV>
            <wp:extent cx="7135495" cy="150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7360" w:space="720"/>
            <w:col w:w="3160"/>
          </w:cols>
          <w:pgMar w:left="320" w:top="140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w:t>
      </w:r>
    </w:p>
    <w:p>
      <w:pPr>
        <w:spacing w:after="0" w:line="93" w:lineRule="exact"/>
        <w:rPr>
          <w:sz w:val="20"/>
          <w:szCs w:val="20"/>
          <w:color w:val="auto"/>
        </w:rPr>
      </w:pPr>
    </w:p>
    <w:p>
      <w:pPr>
        <w:ind w:left="640" w:hanging="319"/>
        <w:spacing w:after="0"/>
        <w:tabs>
          <w:tab w:leader="none" w:pos="6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adjustments, net includes unrealized foreign currency transaction gains and losses, severance costs associated with strategic workforce optimizations and interest income and expense.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2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2"/>
                <w:szCs w:val="12"/>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2"/>
                <w:szCs w:val="12"/>
                <w:b w:val="1"/>
                <w:bCs w:val="1"/>
                <w:color w:val="auto"/>
              </w:rPr>
              <w:t>2022</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32,843</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26,572</w:t>
            </w:r>
          </w:p>
        </w:tc>
        <w:tc>
          <w:tcPr>
            <w:tcW w:w="0" w:type="dxa"/>
            <w:vAlign w:val="bottom"/>
          </w:tcPr>
          <w:p>
            <w:pPr>
              <w:spacing w:after="0"/>
              <w:rPr>
                <w:sz w:val="1"/>
                <w:szCs w:val="1"/>
                <w:color w:val="auto"/>
              </w:rPr>
            </w:pPr>
          </w:p>
        </w:tc>
      </w:tr>
      <w:tr>
        <w:trPr>
          <w:trHeight w:val="190"/>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 / (less) Non-GAAP adjustments:</w:t>
            </w: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equity-based compensation</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7,826</w:t>
            </w:r>
          </w:p>
        </w:tc>
        <w:tc>
          <w:tcPr>
            <w:tcW w:w="0" w:type="dxa"/>
            <w:vAlign w:val="bottom"/>
          </w:tcPr>
          <w:p>
            <w:pPr>
              <w:spacing w:after="0"/>
              <w:rPr>
                <w:sz w:val="1"/>
                <w:szCs w:val="1"/>
                <w:color w:val="auto"/>
              </w:rPr>
            </w:pPr>
          </w:p>
        </w:tc>
      </w:tr>
      <w:tr>
        <w:trPr>
          <w:trHeight w:val="190"/>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Tax effect of non-cash equity-based compensation </w:t>
            </w:r>
            <w:r>
              <w:rPr>
                <w:rFonts w:ascii="Times New Roman" w:cs="Times New Roman" w:eastAsia="Times New Roman" w:hAnsi="Times New Roman"/>
                <w:sz w:val="9"/>
                <w:szCs w:val="9"/>
                <w:color w:val="auto"/>
              </w:rPr>
              <w:t>(2)</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(1,838)</w:t>
            </w:r>
          </w:p>
        </w:tc>
        <w:tc>
          <w:tcPr>
            <w:tcW w:w="0" w:type="dxa"/>
            <w:vAlign w:val="bottom"/>
          </w:tcPr>
          <w:p>
            <w:pPr>
              <w:spacing w:after="0"/>
              <w:rPr>
                <w:sz w:val="1"/>
                <w:szCs w:val="1"/>
                <w:color w:val="auto"/>
              </w:rPr>
            </w:pPr>
          </w:p>
        </w:tc>
      </w:tr>
      <w:tr>
        <w:trPr>
          <w:trHeight w:val="205"/>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Acquisition-related amortization expense </w:t>
            </w:r>
            <w:r>
              <w:rPr>
                <w:rFonts w:ascii="Times New Roman" w:cs="Times New Roman" w:eastAsia="Times New Roman" w:hAnsi="Times New Roman"/>
                <w:sz w:val="9"/>
                <w:szCs w:val="9"/>
                <w:color w:val="auto"/>
              </w:rPr>
              <w:t>(3)</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8,158</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6,045</w:t>
            </w:r>
          </w:p>
        </w:tc>
        <w:tc>
          <w:tcPr>
            <w:tcW w:w="0" w:type="dxa"/>
            <w:vAlign w:val="bottom"/>
          </w:tcPr>
          <w:p>
            <w:pPr>
              <w:spacing w:after="0"/>
              <w:rPr>
                <w:sz w:val="1"/>
                <w:szCs w:val="1"/>
                <w:color w:val="auto"/>
              </w:rPr>
            </w:pPr>
          </w:p>
        </w:tc>
      </w:tr>
      <w:tr>
        <w:trPr>
          <w:trHeight w:val="190"/>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Tax effect of acquisition-related amortization expense </w:t>
            </w:r>
            <w:r>
              <w:rPr>
                <w:rFonts w:ascii="Times New Roman" w:cs="Times New Roman" w:eastAsia="Times New Roman" w:hAnsi="Times New Roman"/>
                <w:sz w:val="9"/>
                <w:szCs w:val="9"/>
                <w:color w:val="auto"/>
              </w:rPr>
              <w:t>(2)</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0" w:type="dxa"/>
            <w:vAlign w:val="bottom"/>
          </w:tcPr>
          <w:p>
            <w:pPr>
              <w:spacing w:after="0"/>
              <w:rPr>
                <w:sz w:val="1"/>
                <w:szCs w:val="1"/>
                <w:color w:val="auto"/>
              </w:rPr>
            </w:pPr>
          </w:p>
        </w:tc>
      </w:tr>
      <w:tr>
        <w:trPr>
          <w:trHeight w:val="205"/>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Tax effect of other</w:t>
            </w:r>
            <w:r>
              <w:rPr>
                <w:rFonts w:ascii="Times New Roman" w:cs="Times New Roman" w:eastAsia="Times New Roman" w:hAnsi="Times New Roman"/>
                <w:sz w:val="9"/>
                <w:szCs w:val="9"/>
                <w:color w:val="auto"/>
              </w:rPr>
              <w:t>(2)</w:t>
            </w: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47,134</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37,184</w:t>
            </w:r>
          </w:p>
        </w:tc>
        <w:tc>
          <w:tcPr>
            <w:tcW w:w="0" w:type="dxa"/>
            <w:vAlign w:val="bottom"/>
          </w:tcPr>
          <w:p>
            <w:pPr>
              <w:spacing w:after="0"/>
              <w:rPr>
                <w:sz w:val="1"/>
                <w:szCs w:val="1"/>
                <w:color w:val="auto"/>
              </w:rPr>
            </w:pPr>
          </w:p>
        </w:tc>
      </w:tr>
      <w:tr>
        <w:trPr>
          <w:trHeight w:val="23"/>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diluted share</w:t>
            </w: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0.90</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Adjusted net income per diluted share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260" w:type="dxa"/>
            <w:vAlign w:val="bottom"/>
            <w:vMerge w:val="continue"/>
          </w:tcPr>
          <w:p>
            <w:pPr>
              <w:spacing w:after="0"/>
              <w:rPr>
                <w:sz w:val="13"/>
                <w:szCs w:val="13"/>
                <w:color w:val="auto"/>
              </w:rPr>
            </w:pPr>
          </w:p>
        </w:tc>
        <w:tc>
          <w:tcPr>
            <w:tcW w:w="920" w:type="dxa"/>
            <w:vAlign w:val="bottom"/>
            <w:tcBorders>
              <w:bottom w:val="single" w:sz="8" w:color="auto"/>
            </w:tcBorders>
          </w:tcPr>
          <w:p>
            <w:pPr>
              <w:jc w:val="right"/>
              <w:ind w:right="753"/>
              <w:spacing w:after="0" w:line="151"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3"/>
                <w:szCs w:val="13"/>
                <w:color w:val="auto"/>
              </w:rPr>
            </w:pPr>
          </w:p>
        </w:tc>
        <w:tc>
          <w:tcPr>
            <w:tcW w:w="920" w:type="dxa"/>
            <w:vAlign w:val="bottom"/>
            <w:tcBorders>
              <w:bottom w:val="single" w:sz="8" w:color="auto"/>
            </w:tcBorders>
          </w:tcPr>
          <w:p>
            <w:pPr>
              <w:jc w:val="right"/>
              <w:ind w:right="752"/>
              <w:spacing w:after="0" w:line="151"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diluted shares</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36,575</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w:t>
      </w:r>
    </w:p>
    <w:p>
      <w:pPr>
        <w:spacing w:after="0" w:line="106" w:lineRule="exact"/>
        <w:rPr>
          <w:sz w:val="20"/>
          <w:szCs w:val="20"/>
          <w:color w:val="auto"/>
        </w:rPr>
      </w:pPr>
    </w:p>
    <w:p>
      <w:pPr>
        <w:ind w:left="640" w:hanging="319"/>
        <w:spacing w:after="0"/>
        <w:tabs>
          <w:tab w:leader="none" w:pos="6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Statutory tax rates are used to calculate the tax effect of the adjustments.</w:t>
      </w:r>
    </w:p>
    <w:p>
      <w:pPr>
        <w:spacing w:after="0" w:line="20" w:lineRule="exact"/>
        <w:rPr>
          <w:rFonts w:ascii="Times New Roman" w:cs="Times New Roman" w:eastAsia="Times New Roman" w:hAnsi="Times New Roman"/>
          <w:sz w:val="12"/>
          <w:szCs w:val="12"/>
          <w:color w:val="auto"/>
        </w:rPr>
      </w:pPr>
    </w:p>
    <w:p>
      <w:pPr>
        <w:ind w:left="640" w:right="360" w:hanging="319"/>
        <w:spacing w:after="0" w:line="264" w:lineRule="auto"/>
        <w:tabs>
          <w:tab w:leader="none" w:pos="63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these amounts, $7.5 million and $5.5 million are included in cost of revenue for the three months ended March 31, 2023 and 2022, respectively. The remainder of acquisition-related amortization expense is included in general and administrative expense in the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09"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671"/>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20" w:type="dxa"/>
            <w:vAlign w:val="bottom"/>
          </w:tcPr>
          <w:p>
            <w:pPr>
              <w:spacing w:after="0"/>
              <w:rPr>
                <w:sz w:val="14"/>
                <w:szCs w:val="14"/>
                <w:color w:val="auto"/>
              </w:rPr>
            </w:pPr>
          </w:p>
        </w:tc>
      </w:tr>
      <w:tr>
        <w:trPr>
          <w:trHeight w:val="166"/>
        </w:trPr>
        <w:tc>
          <w:tcPr>
            <w:tcW w:w="40" w:type="dxa"/>
            <w:vAlign w:val="bottom"/>
          </w:tcPr>
          <w:p>
            <w:pPr>
              <w:spacing w:after="0"/>
              <w:rPr>
                <w:sz w:val="14"/>
                <w:szCs w:val="14"/>
                <w:color w:val="auto"/>
              </w:rPr>
            </w:pPr>
          </w:p>
        </w:tc>
        <w:tc>
          <w:tcPr>
            <w:tcW w:w="8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Pr>
          <w:p>
            <w:pPr>
              <w:spacing w:after="0"/>
              <w:rPr>
                <w:sz w:val="14"/>
                <w:szCs w:val="14"/>
                <w:color w:val="auto"/>
              </w:rPr>
            </w:pPr>
          </w:p>
        </w:tc>
      </w:tr>
      <w:tr>
        <w:trPr>
          <w:trHeight w:val="195"/>
        </w:trPr>
        <w:tc>
          <w:tcPr>
            <w:tcW w:w="40" w:type="dxa"/>
            <w:vAlign w:val="bottom"/>
          </w:tcPr>
          <w:p>
            <w:pPr>
              <w:spacing w:after="0"/>
              <w:rPr>
                <w:sz w:val="16"/>
                <w:szCs w:val="16"/>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215,280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199,132</w:t>
            </w:r>
          </w:p>
        </w:tc>
        <w:tc>
          <w:tcPr>
            <w:tcW w:w="20" w:type="dxa"/>
            <w:vAlign w:val="bottom"/>
          </w:tcPr>
          <w:p>
            <w:pPr>
              <w:spacing w:after="0"/>
              <w:rPr>
                <w:sz w:val="16"/>
                <w:szCs w:val="16"/>
                <w:color w:val="auto"/>
              </w:rPr>
            </w:pPr>
          </w:p>
        </w:tc>
      </w:tr>
      <w:tr>
        <w:trPr>
          <w:trHeight w:val="92"/>
        </w:trPr>
        <w:tc>
          <w:tcPr>
            <w:tcW w:w="4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97"/>
        </w:trPr>
        <w:tc>
          <w:tcPr>
            <w:tcW w:w="40" w:type="dxa"/>
            <w:vAlign w:val="bottom"/>
          </w:tcPr>
          <w:p>
            <w:pPr>
              <w:spacing w:after="0"/>
              <w:rPr>
                <w:sz w:val="17"/>
                <w:szCs w:val="17"/>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Revenue growth</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20" w:type="dxa"/>
            <w:vAlign w:val="bottom"/>
          </w:tcPr>
          <w:p>
            <w:pPr>
              <w:spacing w:after="0"/>
              <w:rPr>
                <w:sz w:val="17"/>
                <w:szCs w:val="17"/>
                <w:color w:val="auto"/>
              </w:rPr>
            </w:pPr>
          </w:p>
        </w:tc>
      </w:tr>
      <w:tr>
        <w:trPr>
          <w:trHeight w:val="185"/>
        </w:trPr>
        <w:tc>
          <w:tcPr>
            <w:tcW w:w="40" w:type="dxa"/>
            <w:vAlign w:val="bottom"/>
          </w:tcPr>
          <w:p>
            <w:pPr>
              <w:spacing w:after="0"/>
              <w:rPr>
                <w:sz w:val="16"/>
                <w:szCs w:val="16"/>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Revenue growth on a constant currency basis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20" w:type="dxa"/>
            <w:vAlign w:val="bottom"/>
          </w:tcPr>
          <w:p>
            <w:pPr>
              <w:spacing w:after="0"/>
              <w:rPr>
                <w:sz w:val="16"/>
                <w:szCs w:val="16"/>
                <w:color w:val="auto"/>
              </w:rPr>
            </w:pPr>
          </w:p>
        </w:tc>
      </w:tr>
      <w:tr>
        <w:trPr>
          <w:trHeight w:val="105"/>
        </w:trPr>
        <w:tc>
          <w:tcPr>
            <w:tcW w:w="4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97"/>
        </w:trPr>
        <w:tc>
          <w:tcPr>
            <w:tcW w:w="40" w:type="dxa"/>
            <w:vAlign w:val="bottom"/>
          </w:tcPr>
          <w:p>
            <w:pPr>
              <w:spacing w:after="0"/>
              <w:rPr>
                <w:sz w:val="17"/>
                <w:szCs w:val="17"/>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E-commerce revenues</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119,754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127,070</w:t>
            </w:r>
          </w:p>
        </w:tc>
        <w:tc>
          <w:tcPr>
            <w:tcW w:w="20" w:type="dxa"/>
            <w:vAlign w:val="bottom"/>
          </w:tcPr>
          <w:p>
            <w:pPr>
              <w:spacing w:after="0"/>
              <w:rPr>
                <w:sz w:val="17"/>
                <w:szCs w:val="17"/>
                <w:color w:val="auto"/>
              </w:rPr>
            </w:pPr>
          </w:p>
        </w:tc>
      </w:tr>
      <w:tr>
        <w:trPr>
          <w:trHeight w:val="191"/>
        </w:trPr>
        <w:tc>
          <w:tcPr>
            <w:tcW w:w="40" w:type="dxa"/>
            <w:vAlign w:val="bottom"/>
          </w:tcPr>
          <w:p>
            <w:pPr>
              <w:spacing w:after="0"/>
              <w:rPr>
                <w:sz w:val="16"/>
                <w:szCs w:val="16"/>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Revenue growth: E-commerce</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20" w:type="dxa"/>
            <w:vAlign w:val="bottom"/>
          </w:tcPr>
          <w:p>
            <w:pPr>
              <w:spacing w:after="0"/>
              <w:rPr>
                <w:sz w:val="16"/>
                <w:szCs w:val="16"/>
                <w:color w:val="auto"/>
              </w:rPr>
            </w:pPr>
          </w:p>
        </w:tc>
      </w:tr>
      <w:tr>
        <w:trPr>
          <w:trHeight w:val="204"/>
        </w:trPr>
        <w:tc>
          <w:tcPr>
            <w:tcW w:w="40" w:type="dxa"/>
            <w:vAlign w:val="bottom"/>
          </w:tcPr>
          <w:p>
            <w:pPr>
              <w:spacing w:after="0"/>
              <w:rPr>
                <w:sz w:val="17"/>
                <w:szCs w:val="17"/>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Revenue growth: E-commerce on a constant currency basis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20" w:type="dxa"/>
            <w:vAlign w:val="bottom"/>
          </w:tcPr>
          <w:p>
            <w:pPr>
              <w:spacing w:after="0"/>
              <w:rPr>
                <w:sz w:val="17"/>
                <w:szCs w:val="17"/>
                <w:color w:val="auto"/>
              </w:rPr>
            </w:pPr>
          </w:p>
        </w:tc>
      </w:tr>
      <w:tr>
        <w:trPr>
          <w:trHeight w:val="92"/>
        </w:trPr>
        <w:tc>
          <w:tcPr>
            <w:tcW w:w="4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97"/>
        </w:trPr>
        <w:tc>
          <w:tcPr>
            <w:tcW w:w="40" w:type="dxa"/>
            <w:vAlign w:val="bottom"/>
          </w:tcPr>
          <w:p>
            <w:pPr>
              <w:spacing w:after="0"/>
              <w:rPr>
                <w:sz w:val="17"/>
                <w:szCs w:val="17"/>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Enterprise revenues</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95,526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72,062</w:t>
            </w:r>
          </w:p>
        </w:tc>
        <w:tc>
          <w:tcPr>
            <w:tcW w:w="20" w:type="dxa"/>
            <w:vAlign w:val="bottom"/>
          </w:tcPr>
          <w:p>
            <w:pPr>
              <w:spacing w:after="0"/>
              <w:rPr>
                <w:sz w:val="17"/>
                <w:szCs w:val="17"/>
                <w:color w:val="auto"/>
              </w:rPr>
            </w:pPr>
          </w:p>
        </w:tc>
      </w:tr>
      <w:tr>
        <w:trPr>
          <w:trHeight w:val="191"/>
        </w:trPr>
        <w:tc>
          <w:tcPr>
            <w:tcW w:w="40" w:type="dxa"/>
            <w:vAlign w:val="bottom"/>
          </w:tcPr>
          <w:p>
            <w:pPr>
              <w:spacing w:after="0"/>
              <w:rPr>
                <w:sz w:val="16"/>
                <w:szCs w:val="16"/>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Revenue growth: Enterprise</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20" w:type="dxa"/>
            <w:vAlign w:val="bottom"/>
          </w:tcPr>
          <w:p>
            <w:pPr>
              <w:spacing w:after="0"/>
              <w:rPr>
                <w:sz w:val="16"/>
                <w:szCs w:val="16"/>
                <w:color w:val="auto"/>
              </w:rPr>
            </w:pPr>
          </w:p>
        </w:tc>
      </w:tr>
      <w:tr>
        <w:trPr>
          <w:trHeight w:val="204"/>
        </w:trPr>
        <w:tc>
          <w:tcPr>
            <w:tcW w:w="40" w:type="dxa"/>
            <w:vAlign w:val="bottom"/>
          </w:tcPr>
          <w:p>
            <w:pPr>
              <w:spacing w:after="0"/>
              <w:rPr>
                <w:sz w:val="17"/>
                <w:szCs w:val="17"/>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Revenue growth: Enterprise on a constant currency basis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20" w:type="dxa"/>
            <w:vAlign w:val="bottom"/>
          </w:tcPr>
          <w:p>
            <w:pPr>
              <w:spacing w:after="0"/>
              <w:rPr>
                <w:sz w:val="17"/>
                <w:szCs w:val="17"/>
                <w:color w:val="auto"/>
              </w:rPr>
            </w:pPr>
          </w:p>
        </w:tc>
      </w:tr>
      <w:tr>
        <w:trPr>
          <w:trHeight w:val="730"/>
        </w:trPr>
        <w:tc>
          <w:tcPr>
            <w:tcW w:w="4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right="171"/>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20" w:type="dxa"/>
            <w:vAlign w:val="bottom"/>
            <w:tcBorders>
              <w:bottom w:val="single" w:sz="8" w:color="auto"/>
            </w:tcBorders>
          </w:tcPr>
          <w:p>
            <w:pPr>
              <w:spacing w:after="0"/>
              <w:rPr>
                <w:sz w:val="24"/>
                <w:szCs w:val="24"/>
                <w:color w:val="auto"/>
              </w:rPr>
            </w:pPr>
          </w:p>
        </w:tc>
      </w:tr>
      <w:tr>
        <w:trPr>
          <w:trHeight w:val="166"/>
        </w:trPr>
        <w:tc>
          <w:tcPr>
            <w:tcW w:w="40" w:type="dxa"/>
            <w:vAlign w:val="bottom"/>
            <w:tcBorders>
              <w:bottom w:val="single" w:sz="8" w:color="CCEEFF"/>
            </w:tcBorders>
          </w:tcPr>
          <w:p>
            <w:pPr>
              <w:spacing w:after="0"/>
              <w:rPr>
                <w:sz w:val="14"/>
                <w:szCs w:val="14"/>
                <w:color w:val="auto"/>
              </w:rPr>
            </w:pPr>
          </w:p>
        </w:tc>
        <w:tc>
          <w:tcPr>
            <w:tcW w:w="80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Borders>
              <w:bottom w:val="single" w:sz="8" w:color="auto"/>
            </w:tcBorders>
          </w:tcPr>
          <w:p>
            <w:pPr>
              <w:spacing w:after="0"/>
              <w:rPr>
                <w:sz w:val="14"/>
                <w:szCs w:val="14"/>
                <w:color w:val="auto"/>
              </w:rPr>
            </w:pPr>
          </w:p>
        </w:tc>
      </w:tr>
      <w:tr>
        <w:trPr>
          <w:trHeight w:val="195"/>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66,775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22,723</w:t>
            </w:r>
          </w:p>
        </w:tc>
        <w:tc>
          <w:tcPr>
            <w:tcW w:w="20" w:type="dxa"/>
            <w:vAlign w:val="bottom"/>
            <w:shd w:val="clear" w:color="auto" w:fill="CCEEFF"/>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Capital expenditures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(12,380)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(11,775)</w:t>
            </w:r>
          </w:p>
        </w:tc>
        <w:tc>
          <w:tcPr>
            <w:tcW w:w="20" w:type="dxa"/>
            <w:vAlign w:val="bottom"/>
          </w:tcPr>
          <w:p>
            <w:pPr>
              <w:spacing w:after="0"/>
              <w:rPr>
                <w:sz w:val="16"/>
                <w:szCs w:val="16"/>
                <w:color w:val="auto"/>
              </w:rPr>
            </w:pPr>
          </w:p>
        </w:tc>
      </w:tr>
      <w:tr>
        <w:trPr>
          <w:trHeight w:val="205"/>
        </w:trPr>
        <w:tc>
          <w:tcPr>
            <w:tcW w:w="40" w:type="dxa"/>
            <w:vAlign w:val="bottom"/>
            <w:shd w:val="clear" w:color="auto" w:fill="CCEEFF"/>
          </w:tcPr>
          <w:p>
            <w:pPr>
              <w:spacing w:after="0"/>
              <w:rPr>
                <w:sz w:val="17"/>
                <w:szCs w:val="17"/>
                <w:color w:val="auto"/>
              </w:rPr>
            </w:pPr>
          </w:p>
        </w:tc>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Content acquisition</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(3,527)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20" w:type="dxa"/>
            <w:vAlign w:val="bottom"/>
            <w:tcBorders>
              <w:bottom w:val="single" w:sz="8" w:color="auto"/>
            </w:tcBorders>
            <w:shd w:val="clear" w:color="auto" w:fill="CCEEFF"/>
          </w:tcPr>
          <w:p>
            <w:pPr>
              <w:spacing w:after="0"/>
              <w:rPr>
                <w:sz w:val="17"/>
                <w:szCs w:val="17"/>
                <w:color w:val="auto"/>
              </w:rPr>
            </w:pPr>
          </w:p>
        </w:tc>
      </w:tr>
      <w:tr>
        <w:trPr>
          <w:trHeight w:val="18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Free cash flow</w:t>
            </w:r>
          </w:p>
        </w:tc>
        <w:tc>
          <w:tcPr>
            <w:tcW w:w="180" w:type="dxa"/>
            <w:vAlign w:val="bottom"/>
          </w:tcPr>
          <w:p>
            <w:pPr>
              <w:spacing w:after="0"/>
              <w:rPr>
                <w:sz w:val="15"/>
                <w:szCs w:val="15"/>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50,868</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10,214</w:t>
            </w:r>
          </w:p>
        </w:tc>
        <w:tc>
          <w:tcPr>
            <w:tcW w:w="20" w:type="dxa"/>
            <w:vAlign w:val="bottom"/>
            <w:tcBorders>
              <w:bottom w:val="single" w:sz="8" w:color="auto"/>
            </w:tcBorders>
          </w:tcPr>
          <w:p>
            <w:pPr>
              <w:spacing w:after="0"/>
              <w:rPr>
                <w:sz w:val="15"/>
                <w:szCs w:val="15"/>
                <w:color w:val="auto"/>
              </w:rPr>
            </w:pPr>
          </w:p>
        </w:tc>
      </w:tr>
      <w:tr>
        <w:trPr>
          <w:trHeight w:val="26"/>
        </w:trPr>
        <w:tc>
          <w:tcPr>
            <w:tcW w:w="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684"/>
        </w:trPr>
        <w:tc>
          <w:tcPr>
            <w:tcW w:w="4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right="171"/>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20" w:type="dxa"/>
            <w:vAlign w:val="bottom"/>
            <w:tcBorders>
              <w:bottom w:val="single" w:sz="8" w:color="auto"/>
            </w:tcBorders>
          </w:tcPr>
          <w:p>
            <w:pPr>
              <w:spacing w:after="0"/>
              <w:rPr>
                <w:sz w:val="24"/>
                <w:szCs w:val="24"/>
                <w:color w:val="auto"/>
              </w:rPr>
            </w:pPr>
          </w:p>
        </w:tc>
      </w:tr>
      <w:tr>
        <w:trPr>
          <w:trHeight w:val="166"/>
        </w:trPr>
        <w:tc>
          <w:tcPr>
            <w:tcW w:w="40" w:type="dxa"/>
            <w:vAlign w:val="bottom"/>
            <w:tcBorders>
              <w:bottom w:val="single" w:sz="8" w:color="CCEEFF"/>
            </w:tcBorders>
          </w:tcPr>
          <w:p>
            <w:pPr>
              <w:spacing w:after="0"/>
              <w:rPr>
                <w:sz w:val="14"/>
                <w:szCs w:val="14"/>
                <w:color w:val="auto"/>
              </w:rPr>
            </w:pPr>
          </w:p>
        </w:tc>
        <w:tc>
          <w:tcPr>
            <w:tcW w:w="80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Borders>
              <w:bottom w:val="single" w:sz="8" w:color="auto"/>
            </w:tcBorders>
          </w:tcPr>
          <w:p>
            <w:pPr>
              <w:spacing w:after="0"/>
              <w:rPr>
                <w:sz w:val="14"/>
                <w:szCs w:val="14"/>
                <w:color w:val="auto"/>
              </w:rPr>
            </w:pPr>
          </w:p>
        </w:tc>
      </w:tr>
      <w:tr>
        <w:trPr>
          <w:trHeight w:val="195"/>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E-commerce revenue</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119,754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127,070</w:t>
            </w:r>
          </w:p>
        </w:tc>
        <w:tc>
          <w:tcPr>
            <w:tcW w:w="20" w:type="dxa"/>
            <w:vAlign w:val="bottom"/>
            <w:shd w:val="clear" w:color="auto" w:fill="CCEEFF"/>
          </w:tcPr>
          <w:p>
            <w:pPr>
              <w:spacing w:after="0"/>
              <w:rPr>
                <w:sz w:val="16"/>
                <w:szCs w:val="16"/>
                <w:color w:val="auto"/>
              </w:rPr>
            </w:pPr>
          </w:p>
        </w:tc>
      </w:tr>
      <w:tr>
        <w:trPr>
          <w:trHeight w:val="191"/>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Enterprise revenue</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95,526</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72,062</w:t>
            </w:r>
          </w:p>
        </w:tc>
        <w:tc>
          <w:tcPr>
            <w:tcW w:w="20" w:type="dxa"/>
            <w:vAlign w:val="bottom"/>
          </w:tcPr>
          <w:p>
            <w:pPr>
              <w:spacing w:after="0"/>
              <w:rPr>
                <w:sz w:val="16"/>
                <w:szCs w:val="16"/>
                <w:color w:val="auto"/>
              </w:rPr>
            </w:pPr>
          </w:p>
        </w:tc>
      </w:tr>
      <w:tr>
        <w:trPr>
          <w:trHeight w:val="191"/>
        </w:trPr>
        <w:tc>
          <w:tcPr>
            <w:tcW w:w="40" w:type="dxa"/>
            <w:vAlign w:val="bottom"/>
            <w:tcBorders>
              <w:top w:val="single" w:sz="8" w:color="CCEEFF"/>
            </w:tcBorders>
            <w:shd w:val="clear" w:color="auto" w:fill="CCEEFF"/>
          </w:tcPr>
          <w:p>
            <w:pPr>
              <w:spacing w:after="0"/>
              <w:rPr>
                <w:sz w:val="16"/>
                <w:szCs w:val="16"/>
                <w:color w:val="auto"/>
              </w:rPr>
            </w:pPr>
          </w:p>
        </w:tc>
        <w:tc>
          <w:tcPr>
            <w:tcW w:w="80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revenue</w:t>
            </w:r>
          </w:p>
        </w:tc>
        <w:tc>
          <w:tcPr>
            <w:tcW w:w="1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215,280</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199,132</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r>
      <w:tr>
        <w:trPr>
          <w:trHeight w:val="92"/>
        </w:trPr>
        <w:tc>
          <w:tcPr>
            <w:tcW w:w="4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97"/>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total deferred revenue</w:t>
            </w:r>
          </w:p>
        </w:tc>
        <w:tc>
          <w:tcPr>
            <w:tcW w:w="4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(6,372)</w:t>
            </w:r>
          </w:p>
        </w:tc>
        <w:tc>
          <w:tcPr>
            <w:tcW w:w="4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20" w:type="dxa"/>
            <w:vAlign w:val="bottom"/>
            <w:shd w:val="clear" w:color="auto" w:fill="CCEEFF"/>
          </w:tcPr>
          <w:p>
            <w:pPr>
              <w:spacing w:after="0"/>
              <w:rPr>
                <w:sz w:val="17"/>
                <w:szCs w:val="17"/>
                <w:color w:val="auto"/>
              </w:rPr>
            </w:pPr>
          </w:p>
        </w:tc>
      </w:tr>
      <w:tr>
        <w:trPr>
          <w:trHeight w:val="184"/>
        </w:trPr>
        <w:tc>
          <w:tcPr>
            <w:tcW w:w="40" w:type="dxa"/>
            <w:vAlign w:val="bottom"/>
          </w:tcPr>
          <w:p>
            <w:pPr>
              <w:spacing w:after="0"/>
              <w:rPr>
                <w:sz w:val="15"/>
                <w:szCs w:val="15"/>
                <w:color w:val="auto"/>
              </w:rPr>
            </w:pPr>
          </w:p>
        </w:tc>
        <w:tc>
          <w:tcPr>
            <w:tcW w:w="8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billings</w:t>
            </w:r>
          </w:p>
        </w:tc>
        <w:tc>
          <w:tcPr>
            <w:tcW w:w="1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208,908</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196,887</w:t>
            </w:r>
          </w:p>
        </w:tc>
        <w:tc>
          <w:tcPr>
            <w:tcW w:w="20" w:type="dxa"/>
            <w:vAlign w:val="bottom"/>
            <w:tcBorders>
              <w:top w:val="single" w:sz="8" w:color="auto"/>
              <w:bottom w:val="single" w:sz="8" w:color="auto"/>
            </w:tcBorders>
          </w:tcPr>
          <w:p>
            <w:pPr>
              <w:spacing w:after="0"/>
              <w:rPr>
                <w:sz w:val="15"/>
                <w:szCs w:val="15"/>
                <w:color w:val="auto"/>
              </w:rPr>
            </w:pPr>
          </w:p>
        </w:tc>
      </w:tr>
      <w:tr>
        <w:trPr>
          <w:trHeight w:val="26"/>
        </w:trPr>
        <w:tc>
          <w:tcPr>
            <w:tcW w:w="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40"/>
          </w:cols>
          <w:pgMar w:left="320" w:top="121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Historical Operating Metrics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64"/>
        </w:trPr>
        <w:tc>
          <w:tcPr>
            <w:tcW w:w="4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3/31/23</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12/31/22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9/30/22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6/30/22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3/31/22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12/31/21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9/30/21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6/30/21</w:t>
            </w:r>
          </w:p>
        </w:tc>
      </w:tr>
      <w:tr>
        <w:trPr>
          <w:trHeight w:val="26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Subscribers (end of period, in thousands) </w:t>
            </w:r>
            <w:r>
              <w:rPr>
                <w:rFonts w:ascii="Times New Roman" w:cs="Times New Roman" w:eastAsia="Times New Roman" w:hAnsi="Times New Roman"/>
                <w:sz w:val="20"/>
                <w:szCs w:val="20"/>
                <w:color w:val="auto"/>
                <w:vertAlign w:val="superscript"/>
              </w:rPr>
              <w:t>(1)</w:t>
            </w: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r>
      <w:tr>
        <w:trPr>
          <w:trHeight w:val="211"/>
        </w:trPr>
        <w:tc>
          <w:tcPr>
            <w:tcW w:w="45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Subscriber revenue (in millions) </w:t>
            </w:r>
            <w:r>
              <w:rPr>
                <w:rFonts w:ascii="Times New Roman" w:cs="Times New Roman" w:eastAsia="Times New Roman" w:hAnsi="Times New Roman"/>
                <w:sz w:val="20"/>
                <w:szCs w:val="20"/>
                <w:color w:val="auto"/>
                <w:vertAlign w:val="superscript"/>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r>
      <w:tr>
        <w:trPr>
          <w:trHeight w:val="92"/>
        </w:trPr>
        <w:tc>
          <w:tcPr>
            <w:tcW w:w="4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1"/>
        </w:trPr>
        <w:tc>
          <w:tcPr>
            <w:tcW w:w="45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Average revenue per customer (last twelve months) </w:t>
            </w:r>
            <w:r>
              <w:rPr>
                <w:rFonts w:ascii="Times New Roman" w:cs="Times New Roman" w:eastAsia="Times New Roman" w:hAnsi="Times New Roman"/>
                <w:sz w:val="20"/>
                <w:szCs w:val="20"/>
                <w:color w:val="auto"/>
                <w:vertAlign w:val="superscript"/>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r>
      <w:tr>
        <w:trPr>
          <w:trHeight w:val="211"/>
        </w:trPr>
        <w:tc>
          <w:tcPr>
            <w:tcW w:w="456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Paid downloads (in millions) </w:t>
            </w:r>
            <w:r>
              <w:rPr>
                <w:rFonts w:ascii="Times New Roman" w:cs="Times New Roman" w:eastAsia="Times New Roman" w:hAnsi="Times New Roman"/>
                <w:sz w:val="20"/>
                <w:szCs w:val="20"/>
                <w:color w:val="auto"/>
                <w:vertAlign w:val="superscript"/>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r>
      <w:tr>
        <w:trPr>
          <w:trHeight w:val="211"/>
        </w:trPr>
        <w:tc>
          <w:tcPr>
            <w:tcW w:w="45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Revenue per download </w:t>
            </w:r>
            <w:r>
              <w:rPr>
                <w:rFonts w:ascii="Times New Roman" w:cs="Times New Roman" w:eastAsia="Times New Roman" w:hAnsi="Times New Roman"/>
                <w:sz w:val="20"/>
                <w:szCs w:val="20"/>
                <w:color w:val="auto"/>
                <w:vertAlign w:val="superscript"/>
              </w:rPr>
              <w:t>(5)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211"/>
        </w:trPr>
        <w:tc>
          <w:tcPr>
            <w:tcW w:w="456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Content in our collection (end of period, in millions): </w:t>
            </w:r>
            <w:r>
              <w:rPr>
                <w:rFonts w:ascii="Times New Roman" w:cs="Times New Roman" w:eastAsia="Times New Roman" w:hAnsi="Times New Roman"/>
                <w:sz w:val="20"/>
                <w:szCs w:val="20"/>
                <w:color w:val="auto"/>
                <w:vertAlign w:val="superscript"/>
              </w:rPr>
              <w:t>(6)</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1"/>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Images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r>
      <w:tr>
        <w:trPr>
          <w:trHeight w:val="207"/>
        </w:trPr>
        <w:tc>
          <w:tcPr>
            <w:tcW w:w="4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Footage clips</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bl>
    <w:p>
      <w:pPr>
        <w:spacing w:after="0" w:line="18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2"/>
          <w:szCs w:val="12"/>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and from PicMonkey beginning September 2022. These metrics exclude the respective customer counts and revenues from our acquisitions of Pond5 and Splash News.</w:t>
      </w:r>
    </w:p>
    <w:p>
      <w:pPr>
        <w:spacing w:after="0" w:line="74" w:lineRule="exact"/>
        <w:rPr>
          <w:sz w:val="20"/>
          <w:szCs w:val="20"/>
          <w:color w:val="auto"/>
        </w:rPr>
      </w:pPr>
    </w:p>
    <w:p>
      <w:pPr>
        <w:ind w:left="180" w:hanging="175"/>
        <w:spacing w:after="0"/>
        <w:tabs>
          <w:tab w:leader="none" w:pos="1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Subscribers is defined as those customers who purchase one or more of our monthly recurring products for a continuous period of at least three months, measured as of the end of the reporting period.</w:t>
      </w:r>
    </w:p>
    <w:p>
      <w:pPr>
        <w:spacing w:after="0" w:line="112" w:lineRule="exact"/>
        <w:rPr>
          <w:rFonts w:ascii="Times New Roman" w:cs="Times New Roman" w:eastAsia="Times New Roman" w:hAnsi="Times New Roman"/>
          <w:sz w:val="12"/>
          <w:szCs w:val="12"/>
          <w:color w:val="auto"/>
        </w:rPr>
      </w:pPr>
    </w:p>
    <w:p>
      <w:pPr>
        <w:ind w:left="180" w:hanging="175"/>
        <w:spacing w:after="0"/>
        <w:tabs>
          <w:tab w:leader="none" w:pos="1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revenue is defined as the revenue generated from subscribers during the period.</w:t>
      </w:r>
    </w:p>
    <w:p>
      <w:pPr>
        <w:spacing w:after="0" w:line="125" w:lineRule="exact"/>
        <w:rPr>
          <w:rFonts w:ascii="Times New Roman" w:cs="Times New Roman" w:eastAsia="Times New Roman" w:hAnsi="Times New Roman"/>
          <w:sz w:val="12"/>
          <w:szCs w:val="12"/>
          <w:color w:val="auto"/>
        </w:rPr>
      </w:pPr>
    </w:p>
    <w:p>
      <w:pPr>
        <w:ind w:right="20" w:firstLine="5"/>
        <w:spacing w:after="0" w:line="288" w:lineRule="auto"/>
        <w:tabs>
          <w:tab w:leader="none" w:pos="174"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 revenue per customer is calculated by dividing total revenue for the last twelve-month period by customers. Customers is defined as total active, paying customers that contributed to total revenue over the last twelve-month period.</w:t>
      </w:r>
    </w:p>
    <w:p>
      <w:pPr>
        <w:spacing w:after="0" w:line="63" w:lineRule="exact"/>
        <w:rPr>
          <w:rFonts w:ascii="Times New Roman" w:cs="Times New Roman" w:eastAsia="Times New Roman" w:hAnsi="Times New Roman"/>
          <w:sz w:val="12"/>
          <w:szCs w:val="12"/>
          <w:color w:val="auto"/>
        </w:rPr>
      </w:pPr>
    </w:p>
    <w:p>
      <w:pPr>
        <w:ind w:right="20" w:firstLine="5"/>
        <w:spacing w:after="0" w:line="288" w:lineRule="auto"/>
        <w:tabs>
          <w:tab w:leader="none" w:pos="174"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Paid downloads is the number of downloads that our customers make in a given period of our content. Paid downloads exclude content related to our Studios business, downloads of content that are offered to customers for no charge, including our free trials and downloads associated with our computer vision offering.</w:t>
      </w:r>
    </w:p>
    <w:p>
      <w:pPr>
        <w:spacing w:after="0" w:line="63" w:lineRule="exact"/>
        <w:rPr>
          <w:rFonts w:ascii="Times New Roman" w:cs="Times New Roman" w:eastAsia="Times New Roman" w:hAnsi="Times New Roman"/>
          <w:sz w:val="12"/>
          <w:szCs w:val="12"/>
          <w:color w:val="auto"/>
        </w:rPr>
      </w:pPr>
    </w:p>
    <w:p>
      <w:pPr>
        <w:ind w:right="480" w:firstLine="5"/>
        <w:spacing w:after="0" w:line="311" w:lineRule="auto"/>
        <w:tabs>
          <w:tab w:leader="none" w:pos="174"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per download is the amount of revenue recognized in a given period divided by the number of paid downloads in that period excluding revenue from our Studios business, revenue that is not derived from or associated with content licenses and revenue associated with our computer vision offering.</w:t>
      </w:r>
    </w:p>
    <w:p>
      <w:pPr>
        <w:spacing w:after="0" w:line="50" w:lineRule="exact"/>
        <w:rPr>
          <w:rFonts w:ascii="Times New Roman" w:cs="Times New Roman" w:eastAsia="Times New Roman" w:hAnsi="Times New Roman"/>
          <w:sz w:val="12"/>
          <w:szCs w:val="12"/>
          <w:color w:val="auto"/>
        </w:rPr>
      </w:pPr>
    </w:p>
    <w:p>
      <w:pPr>
        <w:jc w:val="both"/>
        <w:ind w:right="20" w:firstLine="5"/>
        <w:spacing w:after="0" w:line="270" w:lineRule="auto"/>
        <w:tabs>
          <w:tab w:leader="none" w:pos="174"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Content in our collection represents approved images (photographs, vectors and illustrations) and footage (in number of clips) in our library at the end of the period. This metric excludes content that is not uploaded directly to our site but is available for license by our customers through an application program interface, content from our Studios business and Editorial content. Prior to December 31, 2022, this metric only included approved images and footage clips in our library on shutterstock.com at the end of the period.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by expense category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9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3/31/23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12/31/22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9/30/22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6/30/22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3/31/22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12/31/21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9/30/21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6/30/21</w:t>
            </w:r>
          </w:p>
        </w:tc>
      </w:tr>
      <w:tr>
        <w:trPr>
          <w:trHeight w:val="259"/>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21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r>
      <w:tr>
        <w:trPr>
          <w:trHeight w:val="209"/>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w:t>
            </w:r>
          </w:p>
        </w:tc>
      </w:tr>
      <w:tr>
        <w:trPr>
          <w:trHeight w:val="212"/>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6,767</w:t>
            </w:r>
          </w:p>
        </w:tc>
      </w:tr>
      <w:tr>
        <w:trPr>
          <w:trHeight w:val="189"/>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non-cash equity-based compensation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11,782</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9,088</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9,686</w:t>
            </w:r>
          </w:p>
        </w:tc>
      </w:tr>
      <w:tr>
        <w:trPr>
          <w:trHeight w:val="21"/>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by expense category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3/31/23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12/31/22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9/30/22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rPr>
              <w:t>6/30/22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3/31/22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12/31/21</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9/30/21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6/30/21</w:t>
            </w:r>
          </w:p>
        </w:tc>
      </w:tr>
      <w:tr>
        <w:trPr>
          <w:trHeight w:val="259"/>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13,759</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13,682</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8,214</w:t>
            </w:r>
          </w:p>
        </w:tc>
      </w:tr>
      <w:tr>
        <w:trPr>
          <w:trHeight w:val="21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w:t>
            </w:r>
          </w:p>
        </w:tc>
      </w:tr>
      <w:tr>
        <w:trPr>
          <w:trHeight w:val="189"/>
        </w:trPr>
        <w:tc>
          <w:tcPr>
            <w:tcW w:w="4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18,897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18,260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16,510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15,064</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15,040</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10,151</w:t>
            </w:r>
          </w:p>
        </w:tc>
      </w:tr>
      <w:tr>
        <w:trPr>
          <w:trHeight w:val="21"/>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240"/>
      </w:cols>
      <w:pgMar w:left="320" w:top="11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4"/>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2"/>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2023-04-25T06:10:31Z</dcterms:created>
  <dcterms:modified xsi:type="dcterms:W3CDTF">2023-04-25T06:10:31Z</dcterms:modified>
</cp:coreProperties>
</file>