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62026_040703.xml.htm"/>
      <w:bookmarkStart w:id="1" w:name="ksform407062026_0407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Powell Rikki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SHUTTERSTOCK,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FIFTH AVENUE, 20TH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Shutterstock, Inc.</w:t>
              </w:r>
            </w:hyperlink>
            <w:r>
              <w:rPr/>
              <w:t xml:space="preserve"> [ </w:t>
            </w:r>
            <w:r>
              <w:rPr>
                <w:rFonts w:ascii="Times;serif" w:hAnsi="Times;serif"/>
                <w:color w:val="0000FF"/>
                <w:sz w:val="24"/>
                <w:shd w:fill="FFFFFF" w:val="clear"/>
              </w:rPr>
              <w:t>SSTK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2,231</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33,075</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1,233</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31,842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2,231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4,462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RSU award granted on July 1, 2024 that vests over four years as follows: 25% on each of July 1, 2025 and July 1, 2026; then 6.25% on each of October 1, 2026, January 1, 2027, April 1, 2027, July 1, 2027, October 1, 2027, January 1, 2028, April 1, 2028 and July 1, 2028, subject to the Reporting Person's continued employment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Lapham,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3233" TargetMode="External"/><Relationship Id="rId5" Type="http://schemas.openxmlformats.org/officeDocument/2006/relationships/hyperlink" Target="http://www.sec.gov/cgi-bin/browse-edgar?action=getcompany&amp;CIK=00015493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3562</Characters>
  <CharactersWithSpaces>4157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