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1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December 21, 2023</w:t>
      </w:r>
    </w:p>
    <w:p>
      <w:pPr>
        <w:spacing w:after="0" w:line="39" w:lineRule="exact"/>
        <w:rPr>
          <w:sz w:val="24"/>
          <w:szCs w:val="24"/>
          <w:color w:val="auto"/>
        </w:rPr>
      </w:pPr>
    </w:p>
    <w:p>
      <w:pPr>
        <w:ind w:left="746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59613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1380"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95885</wp:posOffset>
            </wp:positionV>
            <wp:extent cx="5961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1380"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S-3</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jc w:val="center"/>
        <w:spacing w:after="0" w:line="233"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t>Shutterstock,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7" w:lineRule="exact"/>
        <w:rPr>
          <w:sz w:val="24"/>
          <w:szCs w:val="24"/>
          <w:color w:val="auto"/>
        </w:rPr>
      </w:pPr>
    </w:p>
    <w:tbl>
      <w:tblPr>
        <w:tblLayout w:type="fixed"/>
        <w:tblInd w:w="1160" w:type="dxa"/>
        <w:tblCellMar>
          <w:top w:w="0" w:type="dxa"/>
          <w:left w:w="0" w:type="dxa"/>
          <w:bottom w:w="0" w:type="dxa"/>
          <w:right w:w="0" w:type="dxa"/>
        </w:tblCellMar>
      </w:tblPr>
      <w:tr>
        <w:trPr>
          <w:trHeight w:val="227"/>
        </w:trPr>
        <w:tc>
          <w:tcPr>
            <w:tcW w:w="3660" w:type="dxa"/>
            <w:vAlign w:val="bottom"/>
          </w:tcPr>
          <w:p>
            <w:pPr>
              <w:jc w:val="center"/>
              <w:ind w:right="131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120" w:type="dxa"/>
            <w:vAlign w:val="bottom"/>
          </w:tcPr>
          <w:p>
            <w:pPr>
              <w:jc w:val="center"/>
              <w:ind w:left="1314"/>
              <w:spacing w:after="0"/>
              <w:rPr>
                <w:sz w:val="20"/>
                <w:szCs w:val="20"/>
                <w:color w:val="auto"/>
              </w:rPr>
            </w:pPr>
            <w:r>
              <w:rPr>
                <w:rFonts w:ascii="Times New Roman" w:cs="Times New Roman" w:eastAsia="Times New Roman" w:hAnsi="Times New Roman"/>
                <w:sz w:val="17"/>
                <w:szCs w:val="17"/>
                <w:b w:val="1"/>
                <w:bCs w:val="1"/>
                <w:color w:val="auto"/>
              </w:rPr>
              <w:t>80-0812659</w:t>
            </w:r>
          </w:p>
        </w:tc>
      </w:tr>
      <w:tr>
        <w:trPr>
          <w:trHeight w:val="242"/>
        </w:trPr>
        <w:tc>
          <w:tcPr>
            <w:tcW w:w="3660" w:type="dxa"/>
            <w:vAlign w:val="bottom"/>
          </w:tcPr>
          <w:p>
            <w:pPr>
              <w:jc w:val="center"/>
              <w:ind w:right="1354"/>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120" w:type="dxa"/>
            <w:vAlign w:val="bottom"/>
          </w:tcPr>
          <w:p>
            <w:pPr>
              <w:jc w:val="center"/>
              <w:ind w:left="131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3660" w:type="dxa"/>
            <w:vAlign w:val="bottom"/>
          </w:tcPr>
          <w:p>
            <w:pPr>
              <w:jc w:val="center"/>
              <w:ind w:right="131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12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r>
    </w:tbl>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350 Fifth Avenue, 20</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10118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(646) 710-3417</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7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Jarrod Yahes</w:t>
      </w:r>
    </w:p>
    <w:p>
      <w:pPr>
        <w:spacing w:after="0" w:line="3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ind w:left="3620"/>
        <w:spacing w:after="0" w:line="180" w:lineRule="auto"/>
        <w:rPr>
          <w:sz w:val="20"/>
          <w:szCs w:val="20"/>
          <w:color w:val="auto"/>
        </w:rPr>
      </w:pPr>
      <w:r>
        <w:rPr>
          <w:rFonts w:ascii="Times New Roman" w:cs="Times New Roman" w:eastAsia="Times New Roman" w:hAnsi="Times New Roman"/>
          <w:sz w:val="16"/>
          <w:szCs w:val="16"/>
          <w:b w:val="1"/>
          <w:bCs w:val="1"/>
          <w:color w:val="auto"/>
        </w:rPr>
        <w:t>350 Fifth Avenue,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New York, NY 10118</w:t>
      </w:r>
    </w:p>
    <w:p>
      <w:pPr>
        <w:spacing w:after="0" w:line="1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(646) 710-3417</w:t>
      </w:r>
    </w:p>
    <w:p>
      <w:pPr>
        <w:spacing w:after="0" w:line="13"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Kimberly C. Petillo-Décossard</w:t>
      </w:r>
    </w:p>
    <w:p>
      <w:pPr>
        <w:spacing w:after="0" w:line="1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Ross E. Sturman</w:t>
      </w:r>
    </w:p>
    <w:p>
      <w:pPr>
        <w:spacing w:after="0" w:line="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White &amp; Case LLP</w:t>
      </w:r>
    </w:p>
    <w:p>
      <w:pPr>
        <w:spacing w:after="0" w:line="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1221 Avenue of the Americas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10020</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(212) 819-8398</w:t>
      </w:r>
    </w:p>
    <w:p>
      <w:pPr>
        <w:spacing w:after="0" w:line="60" w:lineRule="exact"/>
        <w:rPr>
          <w:sz w:val="24"/>
          <w:szCs w:val="24"/>
          <w:color w:val="auto"/>
        </w:rPr>
      </w:pPr>
    </w:p>
    <w:p>
      <w:pPr>
        <w:ind w:right="16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19"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5"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6" w:lineRule="exact"/>
        <w:rPr>
          <w:sz w:val="24"/>
          <w:szCs w:val="24"/>
          <w:color w:val="auto"/>
        </w:rPr>
      </w:pPr>
    </w:p>
    <w:p>
      <w:pPr>
        <w:ind w:right="200"/>
        <w:spacing w:after="0" w:line="222"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39"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5"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25"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38"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78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Accelerated filer</w:t>
            </w:r>
          </w:p>
        </w:tc>
        <w:tc>
          <w:tcPr>
            <w:tcW w:w="1340" w:type="dxa"/>
            <w:vAlign w:val="bottom"/>
          </w:tcPr>
          <w:p>
            <w:pPr>
              <w:ind w:left="12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1"/>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78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340" w:type="dxa"/>
            <w:vAlign w:val="bottom"/>
          </w:tcPr>
          <w:p>
            <w:pPr>
              <w:ind w:left="12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0"/>
        </w:trPr>
        <w:tc>
          <w:tcPr>
            <w:tcW w:w="2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340" w:type="dxa"/>
            <w:vAlign w:val="bottom"/>
          </w:tcPr>
          <w:p>
            <w:pPr>
              <w:ind w:left="12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7" w:lineRule="exact"/>
        <w:rPr>
          <w:sz w:val="24"/>
          <w:szCs w:val="24"/>
          <w:color w:val="auto"/>
        </w:rPr>
      </w:pPr>
    </w:p>
    <w:p>
      <w:pPr>
        <w:ind w:right="50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-403225</wp:posOffset>
            </wp:positionH>
            <wp:positionV relativeFrom="paragraph">
              <wp:posOffset>306705</wp:posOffset>
            </wp:positionV>
            <wp:extent cx="67564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6400" cy="165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5961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13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173990</wp:posOffset>
            </wp:positionV>
            <wp:extent cx="596138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1380" cy="16510"/>
                    </a:xfrm>
                    <a:prstGeom prst="rect">
                      <a:avLst/>
                    </a:prstGeom>
                    <a:noFill/>
                  </pic:spPr>
                </pic:pic>
              </a:graphicData>
            </a:graphic>
          </wp:anchor>
        </w:drawing>
      </w:r>
    </w:p>
    <w:p>
      <w:pPr>
        <w:sectPr>
          <w:pgSz w:w="11900" w:h="16838" w:orient="portrait"/>
          <w:cols w:equalWidth="0" w:num="1">
            <w:col w:w="9320"/>
          </w:cols>
          <w:pgMar w:left="1260" w:top="219" w:right="1319" w:bottom="1440" w:gutter="0" w:footer="0" w:header="0"/>
        </w:sectPr>
      </w:pPr>
    </w:p>
    <w:bookmarkStart w:id="1" w:name="page2"/>
    <w:bookmarkEnd w:id="1"/>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178435</wp:posOffset>
            </wp:positionV>
            <wp:extent cx="3270250" cy="463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025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Shutterstock,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15" w:lineRule="exact"/>
        <w:rPr>
          <w:sz w:val="20"/>
          <w:szCs w:val="20"/>
          <w:color w:val="auto"/>
        </w:rPr>
      </w:pPr>
    </w:p>
    <w:p>
      <w:pPr>
        <w:ind w:left="540" w:right="679"/>
        <w:spacing w:after="0" w:line="268" w:lineRule="auto"/>
        <w:rPr>
          <w:sz w:val="20"/>
          <w:szCs w:val="20"/>
          <w:color w:val="auto"/>
        </w:rPr>
      </w:pPr>
      <w:r>
        <w:rPr>
          <w:rFonts w:ascii="Times New Roman" w:cs="Times New Roman" w:eastAsia="Times New Roman" w:hAnsi="Times New Roman"/>
          <w:sz w:val="17"/>
          <w:szCs w:val="17"/>
          <w:color w:val="auto"/>
        </w:rPr>
        <w:t>We may offer and sell from time to time, in one or more offerings, shares of our common stock. In addition, selling stockholders who may be named in a prospectus supplement may offer and sell from time to time shares of our common stock in such amounts as set forth in such prospectus supplement. We will not receive any of the proceeds from the sale of the common stock by the selling stockholders.</w:t>
      </w:r>
    </w:p>
    <w:p>
      <w:pPr>
        <w:spacing w:after="0" w:line="170" w:lineRule="exact"/>
        <w:rPr>
          <w:sz w:val="20"/>
          <w:szCs w:val="20"/>
          <w:color w:val="auto"/>
        </w:rPr>
      </w:pPr>
    </w:p>
    <w:p>
      <w:pPr>
        <w:ind w:left="540" w:right="559"/>
        <w:spacing w:after="0" w:line="268" w:lineRule="auto"/>
        <w:rPr>
          <w:sz w:val="20"/>
          <w:szCs w:val="20"/>
          <w:color w:val="auto"/>
        </w:rPr>
      </w:pPr>
      <w:r>
        <w:rPr>
          <w:rFonts w:ascii="Times New Roman" w:cs="Times New Roman" w:eastAsia="Times New Roman" w:hAnsi="Times New Roman"/>
          <w:sz w:val="17"/>
          <w:szCs w:val="17"/>
          <w:color w:val="auto"/>
        </w:rPr>
        <w:t>The common stock may be offered or sold at fixed prices, at prevailing market prices at the time of sale or at prices negotiated with purchasers, to or through underwriters, broker-dealers, agents, or through any other means described in this prospectus under “Plan of Distribution” and in supplements to this prospectus in connection with a particular offering of our common stock.</w:t>
      </w:r>
    </w:p>
    <w:p>
      <w:pPr>
        <w:spacing w:after="0" w:line="170" w:lineRule="exact"/>
        <w:rPr>
          <w:sz w:val="20"/>
          <w:szCs w:val="20"/>
          <w:color w:val="auto"/>
        </w:rPr>
      </w:pPr>
    </w:p>
    <w:p>
      <w:pPr>
        <w:ind w:left="540" w:right="619"/>
        <w:spacing w:after="0" w:line="263" w:lineRule="auto"/>
        <w:rPr>
          <w:sz w:val="20"/>
          <w:szCs w:val="20"/>
          <w:color w:val="auto"/>
        </w:rPr>
      </w:pPr>
      <w:r>
        <w:rPr>
          <w:rFonts w:ascii="Times New Roman" w:cs="Times New Roman" w:eastAsia="Times New Roman" w:hAnsi="Times New Roman"/>
          <w:sz w:val="17"/>
          <w:szCs w:val="17"/>
          <w:color w:val="auto"/>
        </w:rPr>
        <w:t>This prospectus describes the general manner in which common stock may be offered and sold by us or by the selling stockholders. The specific terms of any offering will be described in a supplement to this prospectus.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spacing w:after="0" w:line="175" w:lineRule="exact"/>
        <w:rPr>
          <w:sz w:val="20"/>
          <w:szCs w:val="20"/>
          <w:color w:val="auto"/>
        </w:rPr>
      </w:pPr>
    </w:p>
    <w:p>
      <w:pPr>
        <w:ind w:left="540" w:right="979"/>
        <w:spacing w:after="0" w:line="294" w:lineRule="auto"/>
        <w:rPr>
          <w:sz w:val="20"/>
          <w:szCs w:val="20"/>
          <w:color w:val="auto"/>
        </w:rPr>
      </w:pPr>
      <w:r>
        <w:rPr>
          <w:rFonts w:ascii="Times New Roman" w:cs="Times New Roman" w:eastAsia="Times New Roman" w:hAnsi="Times New Roman"/>
          <w:sz w:val="17"/>
          <w:szCs w:val="17"/>
          <w:color w:val="auto"/>
        </w:rPr>
        <w:t>Our common stock is listed on the New York Stock Exchange under the symbol “SSTK.” On December 20, 2023, the closing price of our common stock on the New York Stock Exchange was $47.53 per share.</w:t>
      </w:r>
    </w:p>
    <w:p>
      <w:pPr>
        <w:spacing w:after="0" w:line="145" w:lineRule="exact"/>
        <w:rPr>
          <w:sz w:val="20"/>
          <w:szCs w:val="20"/>
          <w:color w:val="auto"/>
        </w:rPr>
      </w:pPr>
    </w:p>
    <w:p>
      <w:pPr>
        <w:ind w:left="540" w:right="579"/>
        <w:spacing w:after="0" w:line="259"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You should carefully consider all of the information set forth in this prospectus, including the risk factors set forth under “Risk Factors” in our Annual Report on Form 10-K for the year ended December 31, 2022 filed with the Securities and Exchange Commission on February 14, 2023, our Quarterly Report on Form 10-Q for the quarter ended March 31, 2023, filed with the Securities and Exchange Commission on April 25, 2023, our Quarterly Report on Form 10-Q for the quarter ended June 30, 2023, filed with the Securities and Exchange Commission on August 1, 2023 and our Quarterly Report on Form 10-Q for the quarter ended September 30, 2023, filed with the Securities and Exchange Commission on October 31, 2023 (which documents are incorporated by reference herein), as well as the risk factors and other information contained in any accompanying prospectus supplement and any related free writing prospectus and any documents we incorporate by reference into this prospectus and any accompanying prospectus supplement, before deciding to invest in our common stock. See “Information Incorporated By Reference.”</w:t>
      </w:r>
    </w:p>
    <w:p>
      <w:pPr>
        <w:spacing w:after="0" w:line="181" w:lineRule="exact"/>
        <w:rPr>
          <w:sz w:val="20"/>
          <w:szCs w:val="20"/>
          <w:color w:val="auto"/>
        </w:rPr>
      </w:pPr>
    </w:p>
    <w:p>
      <w:pPr>
        <w:ind w:left="540" w:right="919"/>
        <w:spacing w:after="0" w:line="27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December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137160</wp:posOffset>
            </wp:positionV>
            <wp:extent cx="67564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 w:name="page3"/>
    <w:bookmarkEnd w:id="2"/>
    <w:tbl>
      <w:tblPr>
        <w:tblLayout w:type="fixed"/>
        <w:tblInd w:w="440" w:type="dxa"/>
        <w:tblCellMar>
          <w:top w:w="0" w:type="dxa"/>
          <w:left w:w="0" w:type="dxa"/>
          <w:bottom w:w="0" w:type="dxa"/>
          <w:right w:w="0" w:type="dxa"/>
        </w:tblCellMar>
      </w:tblPr>
      <w:tr>
        <w:trPr>
          <w:trHeight w:val="161"/>
        </w:trPr>
        <w:tc>
          <w:tcPr>
            <w:tcW w:w="794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2"/>
        </w:trPr>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4"/>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shd w:val="clear" w:color="auto" w:fill="CCEEFF"/>
          </w:tcPr>
          <w:p>
            <w:pPr>
              <w:spacing w:after="0"/>
              <w:rPr>
                <w:sz w:val="23"/>
                <w:szCs w:val="23"/>
                <w:color w:val="auto"/>
              </w:rPr>
            </w:pP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79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About 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9"/>
                <w:szCs w:val="19"/>
                <w:color w:val="auto"/>
              </w:rPr>
            </w:pPr>
          </w:p>
        </w:tc>
      </w:tr>
      <w:tr>
        <w:trPr>
          <w:trHeight w:val="71"/>
        </w:trPr>
        <w:tc>
          <w:tcPr>
            <w:tcW w:w="5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2"/>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3</w:t>
            </w:r>
          </w:p>
        </w:tc>
        <w:tc>
          <w:tcPr>
            <w:tcW w:w="20" w:type="dxa"/>
            <w:vAlign w:val="bottom"/>
            <w:shd w:val="clear" w:color="auto" w:fill="CCEEFF"/>
          </w:tcPr>
          <w:p>
            <w:pPr>
              <w:spacing w:after="0"/>
              <w:rPr>
                <w:sz w:val="19"/>
                <w:szCs w:val="19"/>
                <w:color w:val="auto"/>
              </w:rPr>
            </w:pP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79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rPr>
              <w:t>4</w:t>
            </w:r>
          </w:p>
        </w:tc>
        <w:tc>
          <w:tcPr>
            <w:tcW w:w="20" w:type="dxa"/>
            <w:vAlign w:val="bottom"/>
          </w:tcPr>
          <w:p>
            <w:pPr>
              <w:spacing w:after="0"/>
              <w:rPr>
                <w:sz w:val="19"/>
                <w:szCs w:val="19"/>
                <w:color w:val="auto"/>
              </w:rPr>
            </w:pPr>
          </w:p>
        </w:tc>
      </w:tr>
      <w:tr>
        <w:trPr>
          <w:trHeight w:val="71"/>
        </w:trPr>
        <w:tc>
          <w:tcPr>
            <w:tcW w:w="5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2"/>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5</w:t>
            </w:r>
          </w:p>
        </w:tc>
        <w:tc>
          <w:tcPr>
            <w:tcW w:w="20" w:type="dxa"/>
            <w:vAlign w:val="bottom"/>
            <w:shd w:val="clear" w:color="auto" w:fill="CCEEFF"/>
          </w:tcPr>
          <w:p>
            <w:pPr>
              <w:spacing w:after="0"/>
              <w:rPr>
                <w:sz w:val="19"/>
                <w:szCs w:val="19"/>
                <w:color w:val="auto"/>
              </w:rPr>
            </w:pP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79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9"/>
                <w:szCs w:val="19"/>
                <w:color w:val="auto"/>
              </w:rPr>
            </w:pPr>
          </w:p>
        </w:tc>
      </w:tr>
      <w:tr>
        <w:trPr>
          <w:trHeight w:val="71"/>
        </w:trPr>
        <w:tc>
          <w:tcPr>
            <w:tcW w:w="5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2"/>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Selling Stockholders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9"/>
                <w:szCs w:val="19"/>
                <w:color w:val="auto"/>
              </w:rPr>
            </w:pP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79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EE"/>
                <w:w w:val="93"/>
              </w:rPr>
              <w:t>10</w:t>
            </w:r>
          </w:p>
        </w:tc>
      </w:tr>
      <w:tr>
        <w:trPr>
          <w:trHeight w:val="71"/>
        </w:trPr>
        <w:tc>
          <w:tcPr>
            <w:tcW w:w="5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2"/>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EE"/>
                <w:w w:val="93"/>
              </w:rPr>
              <w:t>12</w:t>
            </w: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79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Experts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EE"/>
                <w:w w:val="93"/>
              </w:rPr>
              <w:t>12</w:t>
            </w:r>
          </w:p>
        </w:tc>
      </w:tr>
      <w:tr>
        <w:trPr>
          <w:trHeight w:val="71"/>
        </w:trPr>
        <w:tc>
          <w:tcPr>
            <w:tcW w:w="5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9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2"/>
        </w:trPr>
        <w:tc>
          <w:tcPr>
            <w:tcW w:w="7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EE"/>
                <w:w w:val="93"/>
              </w:rPr>
              <w:t>13</w:t>
            </w:r>
          </w:p>
        </w:tc>
      </w:tr>
      <w:tr>
        <w:trPr>
          <w:trHeight w:val="71"/>
        </w:trPr>
        <w:tc>
          <w:tcPr>
            <w:tcW w:w="5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39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2"/>
        </w:trPr>
        <w:tc>
          <w:tcPr>
            <w:tcW w:w="276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Information Incorporated By Reference</w:t>
            </w:r>
          </w:p>
        </w:tc>
        <w:tc>
          <w:tcPr>
            <w:tcW w:w="5180" w:type="dxa"/>
            <w:vAlign w:val="bottom"/>
            <w:gridSpan w:val="2"/>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EE"/>
                <w:w w:val="93"/>
              </w:rPr>
              <w:t>13</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9" w:lineRule="exact"/>
        <w:rPr>
          <w:sz w:val="20"/>
          <w:szCs w:val="20"/>
          <w:color w:val="auto"/>
        </w:rPr>
      </w:pPr>
    </w:p>
    <w:p>
      <w:pPr>
        <w:ind w:left="440" w:right="459"/>
        <w:spacing w:after="0" w:line="265"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using the SEC’s “shelf” registration rules. Pursuant to this prospectus, we or certain selling stockholders may, from time to time, offer and sell shares of our common stock in one or more offerings.</w:t>
      </w:r>
    </w:p>
    <w:p>
      <w:pPr>
        <w:spacing w:after="0" w:line="68" w:lineRule="exact"/>
        <w:rPr>
          <w:sz w:val="20"/>
          <w:szCs w:val="20"/>
          <w:color w:val="auto"/>
        </w:rPr>
      </w:pPr>
    </w:p>
    <w:p>
      <w:pPr>
        <w:ind w:left="440" w:right="479"/>
        <w:spacing w:after="0" w:line="260"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our common stock. Each time we use this prospectus to offer shares of our common stock, we will provide you with a prospectus supplement that will contain specific information about the terms of that offering. A prospectus supplement may add, update, modify or replace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76" w:lineRule="exact"/>
        <w:rPr>
          <w:sz w:val="20"/>
          <w:szCs w:val="20"/>
          <w:color w:val="auto"/>
        </w:rPr>
      </w:pPr>
    </w:p>
    <w:p>
      <w:pPr>
        <w:ind w:left="440" w:right="519"/>
        <w:spacing w:after="0" w:line="263"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hereby made to the actual documents for complete information. All of the summaries are qualified in their entirety by reference to the actual documents. Copies of some of the documents referred to herein have been filed or will be filed or incorporated by reference as exhibits to the registration statement of which this prospectus is a part, and you may obtain copies of those documents as described below in the section entitled “Where You Can Find More Information.”</w:t>
      </w:r>
    </w:p>
    <w:p>
      <w:pPr>
        <w:spacing w:after="0" w:line="69" w:lineRule="exact"/>
        <w:rPr>
          <w:sz w:val="20"/>
          <w:szCs w:val="20"/>
          <w:color w:val="auto"/>
        </w:rPr>
      </w:pPr>
    </w:p>
    <w:p>
      <w:pPr>
        <w:ind w:left="440" w:right="479"/>
        <w:spacing w:after="0" w:line="261"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you with information different from that contained in or incorporated by reference into this prospectus. We will not make an offer to sell securities in any jurisdiction where the offer or sale is not permitted. You should not assume that the information in this prospectus, any accompanying prospectus supplement or any documents we incorporate by reference into this prospectus and any prospectus supplement is accurate as of any date other than the date on the front of those documents. Our business, financial condition, results of operations and prospects may have changed since those dates.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71" w:lineRule="exact"/>
        <w:rPr>
          <w:sz w:val="20"/>
          <w:szCs w:val="20"/>
          <w:color w:val="auto"/>
        </w:rPr>
      </w:pPr>
    </w:p>
    <w:p>
      <w:pPr>
        <w:ind w:left="440" w:right="459"/>
        <w:spacing w:after="0" w:line="268" w:lineRule="auto"/>
        <w:rPr>
          <w:sz w:val="20"/>
          <w:szCs w:val="20"/>
          <w:color w:val="auto"/>
        </w:rPr>
      </w:pPr>
      <w:r>
        <w:rPr>
          <w:rFonts w:ascii="Times New Roman" w:cs="Times New Roman" w:eastAsia="Times New Roman" w:hAnsi="Times New Roman"/>
          <w:sz w:val="17"/>
          <w:szCs w:val="17"/>
          <w:color w:val="auto"/>
        </w:rPr>
        <w:t>No action is being taken in any jurisdiction outside the United States to permit a public offering of securities or possession or distribution of this prospectus in that jurisdiction. Persons who come into possession of this prospectus in jurisdictions outside the United States are required to inform themselves about and to observe any restriction as to such offering and the distribution of this prospectus applicable to those jurisdictions.</w:t>
      </w:r>
    </w:p>
    <w:p>
      <w:pPr>
        <w:spacing w:after="0" w:line="66" w:lineRule="exact"/>
        <w:rPr>
          <w:sz w:val="20"/>
          <w:szCs w:val="20"/>
          <w:color w:val="auto"/>
        </w:rPr>
      </w:pPr>
    </w:p>
    <w:p>
      <w:pPr>
        <w:ind w:left="440" w:right="939"/>
        <w:spacing w:after="0" w:line="294" w:lineRule="auto"/>
        <w:rPr>
          <w:sz w:val="20"/>
          <w:szCs w:val="20"/>
          <w:color w:val="auto"/>
        </w:rPr>
      </w:pPr>
      <w:r>
        <w:rPr>
          <w:rFonts w:ascii="Times New Roman" w:cs="Times New Roman" w:eastAsia="Times New Roman" w:hAnsi="Times New Roman"/>
          <w:sz w:val="17"/>
          <w:szCs w:val="17"/>
          <w:color w:val="auto"/>
        </w:rPr>
        <w:t>In this prospectus, unless stated otherwise or the context indicates otherwise, references to “Shutterstock,” the “Company,” “our Company,” “we,” “our,” “ours” and “us” refer to Shutterstock, Inc. and its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US</w:t>
      </w:r>
    </w:p>
    <w:p>
      <w:pPr>
        <w:spacing w:after="0" w:line="119" w:lineRule="exact"/>
        <w:rPr>
          <w:sz w:val="20"/>
          <w:szCs w:val="20"/>
          <w:color w:val="auto"/>
        </w:rPr>
      </w:pPr>
    </w:p>
    <w:p>
      <w:pPr>
        <w:jc w:val="both"/>
        <w:ind w:left="440" w:right="599"/>
        <w:spacing w:after="0" w:line="275" w:lineRule="auto"/>
        <w:rPr>
          <w:sz w:val="20"/>
          <w:szCs w:val="20"/>
          <w:color w:val="auto"/>
        </w:rPr>
      </w:pPr>
      <w:r>
        <w:rPr>
          <w:rFonts w:ascii="Times New Roman" w:cs="Times New Roman" w:eastAsia="Times New Roman" w:hAnsi="Times New Roman"/>
          <w:sz w:val="17"/>
          <w:szCs w:val="17"/>
          <w:color w:val="auto"/>
        </w:rPr>
        <w:t>Shutterstock is a leading global creative platform offering high-quality content and full-service creative workflow solutions for transformative brands, digital media and marketing companies. In addition, Shutterstock also licenses the metadata associated with images, footage clips, music tracks and 3D models.</w:t>
      </w:r>
    </w:p>
    <w:p>
      <w:pPr>
        <w:spacing w:after="0" w:line="58" w:lineRule="exact"/>
        <w:rPr>
          <w:sz w:val="20"/>
          <w:szCs w:val="20"/>
          <w:color w:val="auto"/>
        </w:rPr>
      </w:pPr>
    </w:p>
    <w:p>
      <w:pPr>
        <w:ind w:left="440" w:right="539"/>
        <w:spacing w:after="0" w:line="265" w:lineRule="auto"/>
        <w:rPr>
          <w:sz w:val="20"/>
          <w:szCs w:val="20"/>
          <w:color w:val="auto"/>
        </w:rPr>
      </w:pPr>
      <w:r>
        <w:rPr>
          <w:rFonts w:ascii="Times New Roman" w:cs="Times New Roman" w:eastAsia="Times New Roman" w:hAnsi="Times New Roman"/>
          <w:sz w:val="17"/>
          <w:szCs w:val="17"/>
          <w:color w:val="auto"/>
        </w:rPr>
        <w:t>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key content offerings include:</w:t>
      </w:r>
    </w:p>
    <w:p>
      <w:pPr>
        <w:spacing w:after="0" w:line="117" w:lineRule="exact"/>
        <w:rPr>
          <w:sz w:val="20"/>
          <w:szCs w:val="20"/>
          <w:color w:val="auto"/>
        </w:rPr>
      </w:pPr>
    </w:p>
    <w:p>
      <w:pPr>
        <w:ind w:left="1120" w:right="899" w:hanging="337"/>
        <w:spacing w:after="0" w:line="275" w:lineRule="auto"/>
        <w:tabs>
          <w:tab w:leader="none" w:pos="1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8" w:lineRule="exact"/>
        <w:rPr>
          <w:rFonts w:ascii="Times New Roman" w:cs="Times New Roman" w:eastAsia="Times New Roman" w:hAnsi="Times New Roman"/>
          <w:sz w:val="17"/>
          <w:szCs w:val="17"/>
          <w:color w:val="auto"/>
        </w:rPr>
      </w:pPr>
    </w:p>
    <w:p>
      <w:pPr>
        <w:ind w:left="1120" w:right="479" w:hanging="337"/>
        <w:spacing w:after="0" w:line="275" w:lineRule="auto"/>
        <w:tabs>
          <w:tab w:leader="none" w:pos="1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58" w:lineRule="exact"/>
        <w:rPr>
          <w:rFonts w:ascii="Times New Roman" w:cs="Times New Roman" w:eastAsia="Times New Roman" w:hAnsi="Times New Roman"/>
          <w:sz w:val="17"/>
          <w:szCs w:val="17"/>
          <w:color w:val="auto"/>
        </w:rPr>
      </w:pPr>
    </w:p>
    <w:p>
      <w:pPr>
        <w:ind w:left="1120" w:right="739" w:hanging="337"/>
        <w:spacing w:after="0" w:line="294" w:lineRule="auto"/>
        <w:tabs>
          <w:tab w:leader="none" w:pos="1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Music - consisting of high-quality music tracks and sound effects, which are often used to complement images and footage.</w:t>
      </w:r>
    </w:p>
    <w:p>
      <w:pPr>
        <w:spacing w:after="0" w:line="42" w:lineRule="exact"/>
        <w:rPr>
          <w:rFonts w:ascii="Times New Roman" w:cs="Times New Roman" w:eastAsia="Times New Roman" w:hAnsi="Times New Roman"/>
          <w:sz w:val="17"/>
          <w:szCs w:val="17"/>
          <w:color w:val="auto"/>
        </w:rPr>
      </w:pPr>
    </w:p>
    <w:p>
      <w:pPr>
        <w:ind w:left="1120" w:right="1259" w:hanging="337"/>
        <w:spacing w:after="0" w:line="294" w:lineRule="auto"/>
        <w:tabs>
          <w:tab w:leader="none" w:pos="1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Dimensional (“3D”) Models - consisting of 3D models, used in a variety of industries such as advertising, media and video production, gaming, retail, education, design and architecture.</w:t>
      </w:r>
    </w:p>
    <w:p>
      <w:pPr>
        <w:spacing w:after="0" w:line="42"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GIFs - consisting of GIFs (graphics interchange format visuals) that serve as a critical ingredient in text-and message- based conversations and in contextual advertising settings.</w:t>
      </w:r>
    </w:p>
    <w:p>
      <w:pPr>
        <w:spacing w:after="0" w:line="33" w:lineRule="exact"/>
        <w:rPr>
          <w:sz w:val="20"/>
          <w:szCs w:val="20"/>
          <w:color w:val="auto"/>
        </w:rPr>
      </w:pPr>
    </w:p>
    <w:p>
      <w:pPr>
        <w:ind w:left="440" w:right="479"/>
        <w:spacing w:after="0" w:line="236" w:lineRule="auto"/>
        <w:rPr>
          <w:sz w:val="20"/>
          <w:szCs w:val="20"/>
          <w:color w:val="auto"/>
        </w:rPr>
      </w:pPr>
      <w:r>
        <w:rPr>
          <w:rFonts w:ascii="Times New Roman" w:cs="Times New Roman" w:eastAsia="Times New Roman" w:hAnsi="Times New Roman"/>
          <w:sz w:val="17"/>
          <w:szCs w:val="17"/>
          <w:color w:val="auto"/>
        </w:rPr>
        <w:t>Our corporate headquarters and principal executive offices are located at 350 Fifth Avenue,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10118.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spacing w:after="0" w:line="88" w:lineRule="exact"/>
        <w:rPr>
          <w:sz w:val="20"/>
          <w:szCs w:val="20"/>
          <w:color w:val="auto"/>
        </w:rPr>
      </w:pPr>
    </w:p>
    <w:p>
      <w:pPr>
        <w:ind w:left="440" w:right="479"/>
        <w:spacing w:after="0" w:line="268" w:lineRule="auto"/>
        <w:rPr>
          <w:sz w:val="20"/>
          <w:szCs w:val="20"/>
          <w:color w:val="auto"/>
        </w:rPr>
      </w:pPr>
      <w:r>
        <w:rPr>
          <w:rFonts w:ascii="Times New Roman" w:cs="Times New Roman" w:eastAsia="Times New Roman" w:hAnsi="Times New Roman"/>
          <w:sz w:val="17"/>
          <w:szCs w:val="17"/>
          <w:color w:val="auto"/>
        </w:rPr>
        <w:t>“Shutterstock,” “Shutterstock Editorial,” “Asset Assurance,” “Offset,” “Bigstock,” “Rex Features,” “PremiumBeat,” “TurboSquid,” “PicMonkey,” “Pattern89,” “Shotzr,” “Pond5,” “Splash News,” “Shutterstock Studios” and “Shutterstock Editor” and their logos are registered trademarks and are the property of Shutterstock, Inc. or one of our subsidiaries.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ind w:left="440" w:right="459"/>
        <w:spacing w:after="0" w:line="259" w:lineRule="auto"/>
        <w:rPr>
          <w:sz w:val="20"/>
          <w:szCs w:val="20"/>
          <w:color w:val="auto"/>
        </w:rPr>
      </w:pPr>
      <w:r>
        <w:rPr>
          <w:rFonts w:ascii="Times New Roman" w:cs="Times New Roman" w:eastAsia="Times New Roman" w:hAnsi="Times New Roman"/>
          <w:sz w:val="17"/>
          <w:szCs w:val="17"/>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competitive position and the COVID-19 pandemic. You can identify many forward-looking statements by words such as “may,” “will,” “would,” “should,” “could,” “expects,” “aim,”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in the forward-looking statements. Given these risks and uncertainties, you should not place undue reliance on any forward-looking statements.</w:t>
      </w:r>
    </w:p>
    <w:p>
      <w:pPr>
        <w:spacing w:after="0" w:line="72" w:lineRule="exact"/>
        <w:rPr>
          <w:sz w:val="20"/>
          <w:szCs w:val="20"/>
          <w:color w:val="auto"/>
        </w:rPr>
      </w:pPr>
    </w:p>
    <w:p>
      <w:pPr>
        <w:ind w:left="440" w:right="479"/>
        <w:spacing w:after="0" w:line="260" w:lineRule="auto"/>
        <w:rPr>
          <w:sz w:val="20"/>
          <w:szCs w:val="20"/>
          <w:color w:val="auto"/>
        </w:rPr>
      </w:pPr>
      <w:r>
        <w:rPr>
          <w:rFonts w:ascii="Times New Roman" w:cs="Times New Roman" w:eastAsia="Times New Roman" w:hAnsi="Times New Roman"/>
          <w:sz w:val="17"/>
          <w:szCs w:val="17"/>
          <w:color w:val="auto"/>
        </w:rPr>
        <w:t>The Certain important factors that could cause actual results to differ from our expectations are discussed under the section titled “Risk Factors” in our Annual Report on Form 10-K for the year ended December 31, 2022 filed with the SEC on February 14, 2023, our Quarterly Report on Form 10-Q for the quarter ended March 31, 2023, filed with the SEC on April 25, 2023, our Quarterly Report on Form 10-Q for the quarter ended June 30, 2023, filed with the SEC on August 1, 2023 and our Quarterly Report on Form 10-Q for the quarter ended September 30, 2023, filed with SEC on October 31, 2023 (which documents are incorporated by reference herein), as well as other risk factors described under the caption “Risk Factors” in any accompanying prospectus supplement and in other filings we may make from time to time with the SEC. These factors should not be construed as exhaustive and should be read with the other cautionary statements in this prospectus and the documents incorporated by reference herein.</w:t>
      </w:r>
    </w:p>
    <w:p>
      <w:pPr>
        <w:spacing w:after="0" w:line="76" w:lineRule="exact"/>
        <w:rPr>
          <w:sz w:val="20"/>
          <w:szCs w:val="20"/>
          <w:color w:val="auto"/>
        </w:rPr>
      </w:pPr>
    </w:p>
    <w:p>
      <w:pPr>
        <w:ind w:left="440" w:right="459"/>
        <w:spacing w:after="0" w:line="259" w:lineRule="auto"/>
        <w:rPr>
          <w:sz w:val="20"/>
          <w:szCs w:val="20"/>
          <w:color w:val="auto"/>
        </w:rPr>
      </w:pPr>
      <w:r>
        <w:rPr>
          <w:rFonts w:ascii="Times New Roman" w:cs="Times New Roman" w:eastAsia="Times New Roman" w:hAnsi="Times New Roman"/>
          <w:sz w:val="17"/>
          <w:szCs w:val="17"/>
          <w:color w:val="auto"/>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any forward-looking statements. We do not intend, and, except as required by law, we undertake no obligation, to update any of our forward-looking statements after the date of this prospectus to reflect actual results or future events or circumstances. If we update one or more forward-looking statements, no inference should be drawn that we will make additional updates with respect to those or other forward-looking statements. For more information, see the section entitled “Where You Can Find More Information.” The results presented for any period may not be reflective of results for any subsequent period.</w:t>
      </w:r>
    </w:p>
    <w:p>
      <w:pPr>
        <w:spacing w:after="0" w:line="79" w:lineRule="exact"/>
        <w:rPr>
          <w:sz w:val="20"/>
          <w:szCs w:val="20"/>
          <w:color w:val="auto"/>
        </w:rPr>
      </w:pPr>
    </w:p>
    <w:p>
      <w:pPr>
        <w:ind w:left="440" w:right="859"/>
        <w:spacing w:after="0" w:line="268" w:lineRule="auto"/>
        <w:rPr>
          <w:sz w:val="20"/>
          <w:szCs w:val="20"/>
          <w:color w:val="auto"/>
        </w:rPr>
      </w:pPr>
      <w:r>
        <w:rPr>
          <w:rFonts w:ascii="Times New Roman" w:cs="Times New Roman" w:eastAsia="Times New Roman" w:hAnsi="Times New Roman"/>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left="440" w:right="619"/>
        <w:spacing w:after="0" w:line="267"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Before deciding to invest in our common stock, you should carefully consider the risks set forth under the section titled “Risk Factors” in our Annual Report on</w:t>
      </w:r>
    </w:p>
    <w:p>
      <w:pPr>
        <w:spacing w:after="0" w:line="1" w:lineRule="exact"/>
        <w:rPr>
          <w:sz w:val="20"/>
          <w:szCs w:val="20"/>
          <w:color w:val="auto"/>
        </w:rPr>
      </w:pPr>
    </w:p>
    <w:p>
      <w:pPr>
        <w:ind w:left="440" w:right="459"/>
        <w:spacing w:after="0" w:line="257" w:lineRule="auto"/>
        <w:rPr>
          <w:sz w:val="20"/>
          <w:szCs w:val="20"/>
          <w:color w:val="auto"/>
        </w:rPr>
      </w:pPr>
      <w:r>
        <w:rPr>
          <w:rFonts w:ascii="Times New Roman" w:cs="Times New Roman" w:eastAsia="Times New Roman" w:hAnsi="Times New Roman"/>
          <w:sz w:val="17"/>
          <w:szCs w:val="17"/>
          <w:color w:val="auto"/>
        </w:rPr>
        <w:t>Form 10-K for the year ended December 31, 2022 filed with the SEC on February 14, 2023, our Quarterly Report on Form 10-Q for the quarter ended March 31, 2023, filed with the SEC on April 25, 2023, our Quarterly Report on Form 10-Q for the quarter ended June 30, 2023, filed with the SEC on August 1, 2023 and our Quarterly Report on Form 10-Q for the quarter ended September 30, 2023, filed with SEC on October 31, 2023 (which documents are incorporated by reference herein), as well as other risk factors described under the caption “Risk Factors” in any accompanying prospectus supplement and in other filings we may make from time to time with the SEC. See “Information Incorporated By Reference” and “Where You Can Find More Information.” If any of the risks discussed in the foregoing documents were actually to occur, our business, financial condition, results of operations and prospects could be materially adversely affected. See also the information contained under the heading “Cautionary Note Regarding Forward-Looking Statements”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40" w:right="519"/>
        <w:spacing w:after="0" w:line="275"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we expect to use the net proceeds from the sale of common stock by us described in this prospectus for general corporate purposes. We will not receive any of the proceeds from the sale of common stock being offered by any selling stockholders.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left="440" w:right="499"/>
        <w:spacing w:after="0" w:line="262" w:lineRule="auto"/>
        <w:rPr>
          <w:sz w:val="20"/>
          <w:szCs w:val="20"/>
          <w:color w:val="auto"/>
        </w:rPr>
      </w:pPr>
      <w:r>
        <w:rPr>
          <w:rFonts w:ascii="Times New Roman" w:cs="Times New Roman" w:eastAsia="Times New Roman" w:hAnsi="Times New Roman"/>
          <w:sz w:val="17"/>
          <w:szCs w:val="17"/>
          <w:color w:val="auto"/>
        </w:rPr>
        <w:t>The following descriptions of our common stock and certain provisions of our amended and restated certificate of incorporation and amended and restated bylaws are summaries and are qualified by reference to our amended and restated certificate of incorporation and our amended and restated bylaws, copies of which are included or incorporated by reference as exhibits to the registration statement of which this prospectus forms a part. See “Where You Can Find More Information.” We encourage you to read our amended and restated certificate of incorporation, our amended and restated bylaws and the applicable provisions of the Delaware General Corporation Law for additional information.</w:t>
      </w:r>
    </w:p>
    <w:p>
      <w:pPr>
        <w:spacing w:after="0" w:line="71" w:lineRule="exact"/>
        <w:rPr>
          <w:sz w:val="20"/>
          <w:szCs w:val="20"/>
          <w:color w:val="auto"/>
        </w:rPr>
      </w:pPr>
    </w:p>
    <w:p>
      <w:pPr>
        <w:ind w:left="440" w:right="1019"/>
        <w:spacing w:after="0" w:line="294" w:lineRule="auto"/>
        <w:rPr>
          <w:sz w:val="20"/>
          <w:szCs w:val="20"/>
          <w:color w:val="auto"/>
        </w:rPr>
      </w:pPr>
      <w:r>
        <w:rPr>
          <w:rFonts w:ascii="Times New Roman" w:cs="Times New Roman" w:eastAsia="Times New Roman" w:hAnsi="Times New Roman"/>
          <w:sz w:val="17"/>
          <w:szCs w:val="17"/>
          <w:color w:val="auto"/>
        </w:rPr>
        <w:t>Our authorized capital stock consists of 200,000,000 shares of common stock, $0.01 par value per share, and 5,000,000 shares of undesignated preferred stock, $0.01 par value per share.</w:t>
      </w:r>
    </w:p>
    <w:p>
      <w:pPr>
        <w:spacing w:after="0" w:line="43" w:lineRule="exact"/>
        <w:rPr>
          <w:sz w:val="20"/>
          <w:szCs w:val="20"/>
          <w:color w:val="auto"/>
        </w:rPr>
      </w:pPr>
    </w:p>
    <w:p>
      <w:pPr>
        <w:ind w:left="440" w:right="539"/>
        <w:spacing w:after="0" w:line="294" w:lineRule="auto"/>
        <w:rPr>
          <w:sz w:val="20"/>
          <w:szCs w:val="20"/>
          <w:color w:val="auto"/>
        </w:rPr>
      </w:pPr>
      <w:r>
        <w:rPr>
          <w:rFonts w:ascii="Times New Roman" w:cs="Times New Roman" w:eastAsia="Times New Roman" w:hAnsi="Times New Roman"/>
          <w:sz w:val="17"/>
          <w:szCs w:val="17"/>
          <w:color w:val="auto"/>
        </w:rPr>
        <w:t>The holders of our common stock are entitled to one vote for each share held of record on all matters submitted to a vote of the stockholders.</w:t>
      </w:r>
    </w:p>
    <w:p>
      <w:pPr>
        <w:spacing w:after="0" w:line="43" w:lineRule="exact"/>
        <w:rPr>
          <w:sz w:val="20"/>
          <w:szCs w:val="20"/>
          <w:color w:val="auto"/>
        </w:rPr>
      </w:pPr>
    </w:p>
    <w:p>
      <w:pPr>
        <w:ind w:left="440" w:right="539"/>
        <w:spacing w:after="0" w:line="275"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holders of our common stock are entitled to receive ratably such dividends as may be declared by the board of directors out of funds legally available for that purpose.</w:t>
      </w:r>
    </w:p>
    <w:p>
      <w:pPr>
        <w:spacing w:after="0" w:line="58" w:lineRule="exact"/>
        <w:rPr>
          <w:sz w:val="20"/>
          <w:szCs w:val="20"/>
          <w:color w:val="auto"/>
        </w:rPr>
      </w:pPr>
    </w:p>
    <w:p>
      <w:pPr>
        <w:ind w:left="440" w:right="619"/>
        <w:spacing w:after="0" w:line="265"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our common stock are entitled to share ratably in all assets remaining after payment of liabilities, subject to the prior distribution rights of any outstanding preferred stock. Our common stock is not subject to calls or assessments by us. Our common stock carries no preemptive, conversion or subscription rights. No redemption or sinking fund provisions are applicable to our common stock. The outstanding shares of our common stock are fully paid and non-assessable.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Certificate of Incorporation and Bylaws</w:t>
      </w:r>
    </w:p>
    <w:p>
      <w:pPr>
        <w:spacing w:after="0" w:line="119" w:lineRule="exact"/>
        <w:rPr>
          <w:sz w:val="20"/>
          <w:szCs w:val="20"/>
          <w:color w:val="auto"/>
        </w:rPr>
      </w:pPr>
    </w:p>
    <w:p>
      <w:pPr>
        <w:ind w:left="440" w:right="539"/>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Undesignated Preferred Stock</w:t>
      </w:r>
    </w:p>
    <w:p>
      <w:pPr>
        <w:spacing w:after="0" w:line="121" w:lineRule="exact"/>
        <w:rPr>
          <w:sz w:val="20"/>
          <w:szCs w:val="20"/>
          <w:color w:val="auto"/>
        </w:rPr>
      </w:pPr>
    </w:p>
    <w:p>
      <w:pPr>
        <w:ind w:left="440" w:right="479"/>
        <w:spacing w:after="0" w:line="259" w:lineRule="auto"/>
        <w:rPr>
          <w:sz w:val="20"/>
          <w:szCs w:val="20"/>
          <w:color w:val="auto"/>
        </w:rPr>
      </w:pPr>
      <w:r>
        <w:rPr>
          <w:rFonts w:ascii="Times New Roman" w:cs="Times New Roman" w:eastAsia="Times New Roman" w:hAnsi="Times New Roman"/>
          <w:sz w:val="17"/>
          <w:szCs w:val="17"/>
          <w:color w:val="auto"/>
        </w:rPr>
        <w:t>There are no shares of preferred stock outstanding. Under our amended and restated certificate of incorporation, our board of directors has the authority, without further action by the stockholders, to issue up to 5,000,000 shares of preferred stock, $0.01 par value, in one or more series. Our board of directors also has the authority to fix the designation, powers, preferences and rights of each such series, including dividend rights, dividend rates, conversion rights, voting rights, terms of redemption, redemption prices, liquidation preferences and the number of shares constituting any series. As a result, our board of directors has the ability to issue preferred stock with voting or other rights or preferences that could impede the success of any attempt to change control of us. This ability, or the issuance of any such shares of preferred stock, may have the effect of deterring hostile takeovers or delaying changes in control or management of our company. The issuance of preferred stock with voting and conversion rights may also adversely affect the voting power of the holders of our common stock. In certain circumstances, an issuance of preferred stock could have the effect of decreasing the market price of our common stock.</w:t>
      </w: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Limits on Ability of Stockholders to Act by Written Consent or Call a Special Meeting</w:t>
      </w:r>
    </w:p>
    <w:p>
      <w:pPr>
        <w:spacing w:after="0" w:line="121" w:lineRule="exact"/>
        <w:rPr>
          <w:sz w:val="20"/>
          <w:szCs w:val="20"/>
          <w:color w:val="auto"/>
        </w:rPr>
      </w:pPr>
    </w:p>
    <w:p>
      <w:pPr>
        <w:ind w:left="440" w:right="499"/>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439"/>
        <w:spacing w:after="0" w:line="265" w:lineRule="auto"/>
        <w:rPr>
          <w:sz w:val="20"/>
          <w:szCs w:val="20"/>
          <w:color w:val="auto"/>
        </w:rPr>
      </w:pPr>
      <w:r>
        <w:rPr>
          <w:rFonts w:ascii="Times New Roman" w:cs="Times New Roman" w:eastAsia="Times New Roman" w:hAnsi="Times New Roman"/>
          <w:sz w:val="17"/>
          <w:szCs w:val="17"/>
          <w:color w:val="auto"/>
        </w:rPr>
        <w:t>In addition, our amended and restated bylaws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Stockholder Nominations and Proposals</w:t>
      </w:r>
    </w:p>
    <w:p>
      <w:pPr>
        <w:spacing w:after="0" w:line="121" w:lineRule="exact"/>
        <w:rPr>
          <w:sz w:val="20"/>
          <w:szCs w:val="20"/>
          <w:color w:val="auto"/>
        </w:rPr>
      </w:pPr>
    </w:p>
    <w:p>
      <w:pPr>
        <w:ind w:left="440" w:right="499"/>
        <w:spacing w:after="0" w:line="263" w:lineRule="auto"/>
        <w:rPr>
          <w:sz w:val="20"/>
          <w:szCs w:val="20"/>
          <w:color w:val="auto"/>
        </w:rPr>
      </w:pPr>
      <w:r>
        <w:rPr>
          <w:rFonts w:ascii="Times New Roman" w:cs="Times New Roman" w:eastAsia="Times New Roman" w:hAnsi="Times New Roman"/>
          <w:sz w:val="17"/>
          <w:szCs w:val="17"/>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Board Classification</w:t>
      </w:r>
    </w:p>
    <w:p>
      <w:pPr>
        <w:spacing w:after="0" w:line="121" w:lineRule="exact"/>
        <w:rPr>
          <w:sz w:val="20"/>
          <w:szCs w:val="20"/>
          <w:color w:val="auto"/>
        </w:rPr>
      </w:pPr>
    </w:p>
    <w:p>
      <w:pPr>
        <w:ind w:left="440" w:right="539"/>
        <w:spacing w:after="0" w:line="268" w:lineRule="auto"/>
        <w:rPr>
          <w:sz w:val="20"/>
          <w:szCs w:val="20"/>
          <w:color w:val="auto"/>
        </w:rPr>
      </w:pPr>
      <w:r>
        <w:rPr>
          <w:rFonts w:ascii="Times New Roman" w:cs="Times New Roman" w:eastAsia="Times New Roman" w:hAnsi="Times New Roman"/>
          <w:sz w:val="17"/>
          <w:szCs w:val="17"/>
          <w:color w:val="auto"/>
        </w:rPr>
        <w:t>Our board of directors is divided into three classes, one class of which is elected each year by our stockholders. The directors in each class are elected for a three-year term. A third party may be discouraged from making a tender offer or otherwise attempting to take control of us as it is more difficult and time-consuming for stockholders to replace a majority of the directors on a classified board.</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No Cumulative Voting</w:t>
      </w:r>
    </w:p>
    <w:p>
      <w:pPr>
        <w:spacing w:after="0" w:line="121" w:lineRule="exact"/>
        <w:rPr>
          <w:sz w:val="20"/>
          <w:szCs w:val="20"/>
          <w:color w:val="auto"/>
        </w:rPr>
      </w:pPr>
    </w:p>
    <w:p>
      <w:pPr>
        <w:ind w:left="440" w:right="519"/>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does not permit cumulative voting in the election of directors. Cumulative voting would allow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Amendment of Charter Provisions</w:t>
      </w:r>
    </w:p>
    <w:p>
      <w:pPr>
        <w:spacing w:after="0" w:line="121" w:lineRule="exact"/>
        <w:rPr>
          <w:sz w:val="20"/>
          <w:szCs w:val="20"/>
          <w:color w:val="auto"/>
        </w:rPr>
      </w:pPr>
    </w:p>
    <w:p>
      <w:pPr>
        <w:ind w:left="440" w:right="459"/>
        <w:spacing w:after="0" w:line="263" w:lineRule="auto"/>
        <w:rPr>
          <w:sz w:val="20"/>
          <w:szCs w:val="20"/>
          <w:color w:val="auto"/>
        </w:rPr>
      </w:pPr>
      <w:r>
        <w:rPr>
          <w:rFonts w:ascii="Times New Roman" w:cs="Times New Roman" w:eastAsia="Times New Roman" w:hAnsi="Times New Roman"/>
          <w:sz w:val="17"/>
          <w:szCs w:val="17"/>
          <w:color w:val="auto"/>
        </w:rPr>
        <w:t>The amendment of our amended and restated certificate of incorporation generally requires approval by holders of at least two-thirds of our outstanding capital stock entitled to vote generally in the election of directors. The amendment of our amended and restated bylaws generally requires approval by holders of at least two-thirds of our outstanding capital stock entitled to vote generally in the election of directors. These supermajority voting requirements may make it more difficult for a third party to alter the provisions of our amended and restated certificate of incorporation or our amended and restated bylaws to enable a takeover.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121" w:lineRule="exact"/>
        <w:rPr>
          <w:sz w:val="20"/>
          <w:szCs w:val="20"/>
          <w:color w:val="auto"/>
        </w:rPr>
      </w:pPr>
    </w:p>
    <w:p>
      <w:pPr>
        <w:ind w:left="440" w:right="519"/>
        <w:spacing w:after="0" w:line="268" w:lineRule="auto"/>
        <w:rPr>
          <w:sz w:val="20"/>
          <w:szCs w:val="20"/>
          <w:color w:val="auto"/>
        </w:rPr>
      </w:pPr>
      <w:r>
        <w:rPr>
          <w:rFonts w:ascii="Times New Roman" w:cs="Times New Roman" w:eastAsia="Times New Roman" w:hAnsi="Times New Roman"/>
          <w:sz w:val="17"/>
          <w:szCs w:val="17"/>
          <w:color w:val="auto"/>
        </w:rPr>
        <w:t>We are subject to the provisions of Section 203 of the Delaware General Corporation Law regulating corporate takeovers. Section 203 generally prohibits a Delaware corporation from engaging in a business combination with an interested stockholder for a period of three years following the date the person became an interested stockholder, unless:</w:t>
      </w:r>
    </w:p>
    <w:p>
      <w:pPr>
        <w:spacing w:after="0" w:line="66" w:lineRule="exact"/>
        <w:rPr>
          <w:sz w:val="20"/>
          <w:szCs w:val="20"/>
          <w:color w:val="auto"/>
        </w:rPr>
      </w:pPr>
    </w:p>
    <w:p>
      <w:pPr>
        <w:ind w:left="1120" w:right="599" w:hanging="337"/>
        <w:spacing w:after="0" w:line="294"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date of the transaction, the board of directors approved either the business combination or the transaction which resulted in the stockholder becoming an interested stockholder;</w:t>
      </w:r>
    </w:p>
    <w:p>
      <w:pPr>
        <w:spacing w:after="0" w:line="42" w:lineRule="exact"/>
        <w:rPr>
          <w:rFonts w:ascii="Times New Roman" w:cs="Times New Roman" w:eastAsia="Times New Roman" w:hAnsi="Times New Roman"/>
          <w:sz w:val="17"/>
          <w:szCs w:val="17"/>
          <w:color w:val="auto"/>
        </w:rPr>
      </w:pPr>
    </w:p>
    <w:p>
      <w:pPr>
        <w:ind w:left="1120" w:right="499" w:hanging="337"/>
        <w:spacing w:after="0" w:line="265"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68" w:lineRule="exact"/>
        <w:rPr>
          <w:rFonts w:ascii="Times New Roman" w:cs="Times New Roman" w:eastAsia="Times New Roman" w:hAnsi="Times New Roman"/>
          <w:sz w:val="17"/>
          <w:szCs w:val="17"/>
          <w:color w:val="auto"/>
        </w:rPr>
      </w:pPr>
    </w:p>
    <w:p>
      <w:pPr>
        <w:ind w:left="1120" w:right="459" w:hanging="337"/>
        <w:spacing w:after="0" w:line="272" w:lineRule="auto"/>
        <w:tabs>
          <w:tab w:leader="none" w:pos="11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499"/>
        <w:spacing w:after="0" w:line="259" w:lineRule="auto"/>
        <w:rPr>
          <w:sz w:val="20"/>
          <w:szCs w:val="20"/>
          <w:color w:val="auto"/>
        </w:rPr>
      </w:pPr>
      <w:r>
        <w:rPr>
          <w:rFonts w:ascii="Times New Roman" w:cs="Times New Roman" w:eastAsia="Times New Roman" w:hAnsi="Times New Roman"/>
          <w:sz w:val="17"/>
          <w:szCs w:val="17"/>
          <w:color w:val="auto"/>
        </w:rPr>
        <w:t>Business combinations are broadly defined to include (i) mergers or consolidations with, (ii) sales or other dispositions of more than 10% of the corporation’s assets to, (iii) certain transactions resulting in the issuance or transfer of any stock of the corporation or any subsidiary to, (iv) certain transactions resulting in an increase in the proportionate share of stock of the corporation or any subsidiary owned by, or (v) receipt of the benefit (other than proportionately as a stockholder) of any loans, advances or other financial benefits by, an interested stockholder.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The existence of this provision may have an anti-takeover effect with respect to transactions not approved in advance by our board of directors. Section 203 may also discourage takeover attempts that might result in a premium over the market price for the shares of our common stock held by stockholders.</w:t>
      </w:r>
    </w:p>
    <w:p>
      <w:pPr>
        <w:spacing w:after="0" w:line="76" w:lineRule="exact"/>
        <w:rPr>
          <w:sz w:val="20"/>
          <w:szCs w:val="20"/>
          <w:color w:val="auto"/>
        </w:rPr>
      </w:pPr>
    </w:p>
    <w:p>
      <w:pPr>
        <w:ind w:left="440" w:right="539"/>
        <w:spacing w:after="0" w:line="263" w:lineRule="auto"/>
        <w:rPr>
          <w:sz w:val="20"/>
          <w:szCs w:val="20"/>
          <w:color w:val="auto"/>
        </w:rPr>
      </w:pPr>
      <w:r>
        <w:rPr>
          <w:rFonts w:ascii="Times New Roman" w:cs="Times New Roman" w:eastAsia="Times New Roman" w:hAnsi="Times New Roman"/>
          <w:sz w:val="17"/>
          <w:szCs w:val="17"/>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3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Market Listing</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common stock is listed on the New York Stock Exchange under the symbol “SSTK.”</w:t>
      </w: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9" w:lineRule="exact"/>
        <w:rPr>
          <w:sz w:val="20"/>
          <w:szCs w:val="20"/>
          <w:color w:val="auto"/>
        </w:rPr>
      </w:pPr>
    </w:p>
    <w:p>
      <w:pPr>
        <w:ind w:left="440" w:right="939"/>
        <w:spacing w:after="0" w:line="294" w:lineRule="auto"/>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 (f/k/a American Stock Transfer &amp; Trust Company, LLC).</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119" w:lineRule="exact"/>
        <w:rPr>
          <w:sz w:val="20"/>
          <w:szCs w:val="20"/>
          <w:color w:val="auto"/>
        </w:rPr>
      </w:pPr>
    </w:p>
    <w:p>
      <w:pPr>
        <w:ind w:left="440" w:right="659"/>
        <w:spacing w:after="0" w:line="268" w:lineRule="auto"/>
        <w:rPr>
          <w:sz w:val="20"/>
          <w:szCs w:val="20"/>
          <w:color w:val="auto"/>
        </w:rPr>
      </w:pPr>
      <w:r>
        <w:rPr>
          <w:rFonts w:ascii="Times New Roman" w:cs="Times New Roman" w:eastAsia="Times New Roman" w:hAnsi="Times New Roman"/>
          <w:sz w:val="17"/>
          <w:szCs w:val="17"/>
          <w:color w:val="auto"/>
        </w:rPr>
        <w:t>Selling stockholders may from time to time offer and sell our common stock pursuant to this prospectus and any applicable prospectus supplement. Selling stockholders are persons or entities that, directly or indirectly, have acquired or from time to time acquire, our common stock. Such selling stockholders may be parties to registration rights agreements with us, or we otherwise may have agreed or agree to register their common stock for resale.</w:t>
      </w:r>
    </w:p>
    <w:p>
      <w:pPr>
        <w:spacing w:after="0" w:line="66" w:lineRule="exact"/>
        <w:rPr>
          <w:sz w:val="20"/>
          <w:szCs w:val="20"/>
          <w:color w:val="auto"/>
        </w:rPr>
      </w:pPr>
    </w:p>
    <w:p>
      <w:pPr>
        <w:ind w:left="440" w:right="579"/>
        <w:spacing w:after="0" w:line="275" w:lineRule="auto"/>
        <w:rPr>
          <w:sz w:val="20"/>
          <w:szCs w:val="20"/>
          <w:color w:val="auto"/>
        </w:rPr>
      </w:pPr>
      <w:r>
        <w:rPr>
          <w:rFonts w:ascii="Times New Roman" w:cs="Times New Roman" w:eastAsia="Times New Roman" w:hAnsi="Times New Roman"/>
          <w:sz w:val="17"/>
          <w:szCs w:val="17"/>
          <w:color w:val="auto"/>
        </w:rPr>
        <w:t>The applicable prospectus supplement will set forth the name of each of the selling stockholders and the number of shares of common stock beneficially owned by such selling stockholders that are covered by such prospectus supplement.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3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ind w:left="440" w:right="559"/>
        <w:spacing w:after="0" w:line="294" w:lineRule="auto"/>
        <w:rPr>
          <w:sz w:val="20"/>
          <w:szCs w:val="20"/>
          <w:color w:val="auto"/>
        </w:rPr>
      </w:pPr>
      <w:r>
        <w:rPr>
          <w:rFonts w:ascii="Times New Roman" w:cs="Times New Roman" w:eastAsia="Times New Roman" w:hAnsi="Times New Roman"/>
          <w:sz w:val="17"/>
          <w:szCs w:val="17"/>
          <w:color w:val="auto"/>
        </w:rPr>
        <w:t>We or selling stockholders may sell the shares of common stock covered by this prospectus from time to time using one or more of the following methods:</w:t>
      </w:r>
    </w:p>
    <w:p>
      <w:pPr>
        <w:spacing w:after="0" w:line="43" w:lineRule="exact"/>
        <w:rPr>
          <w:sz w:val="20"/>
          <w:szCs w:val="20"/>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underwritten public offerings;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market” sales to or through market makers or into an existing market for our common stock;</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of common stock as agent but may position and resell a portion of the block as principal to facilitate the transaction;</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(including short sales “against the box”);</w:t>
      </w:r>
    </w:p>
    <w:p>
      <w:pPr>
        <w:spacing w:after="0" w:line="117" w:lineRule="exact"/>
        <w:rPr>
          <w:rFonts w:ascii="Times New Roman" w:cs="Times New Roman" w:eastAsia="Times New Roman" w:hAnsi="Times New Roman"/>
          <w:sz w:val="17"/>
          <w:szCs w:val="17"/>
          <w:color w:val="auto"/>
        </w:rPr>
      </w:pPr>
    </w:p>
    <w:p>
      <w:pPr>
        <w:ind w:left="1120" w:right="1179" w:hanging="337"/>
        <w:spacing w:after="0" w:line="29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standardized or over-the-counter options or other hedging or derivative transactions, whether through an options exchange or otherwise;</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pledge to secure debts and other obligations;</w:t>
      </w:r>
    </w:p>
    <w:p>
      <w:pPr>
        <w:spacing w:after="0" w:line="117" w:lineRule="exact"/>
        <w:rPr>
          <w:rFonts w:ascii="Times New Roman" w:cs="Times New Roman" w:eastAsia="Times New Roman" w:hAnsi="Times New Roman"/>
          <w:sz w:val="17"/>
          <w:szCs w:val="17"/>
          <w:color w:val="auto"/>
        </w:rPr>
      </w:pPr>
    </w:p>
    <w:p>
      <w:pPr>
        <w:ind w:left="1120" w:right="1039" w:hanging="337"/>
        <w:spacing w:after="0" w:line="294"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other ways not involving market makers or established trading markets, including direct sales to purchasers or sales effected through agents;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17" w:lineRule="exact"/>
        <w:rPr>
          <w:sz w:val="20"/>
          <w:szCs w:val="20"/>
          <w:color w:val="auto"/>
        </w:rPr>
      </w:pPr>
    </w:p>
    <w:p>
      <w:pPr>
        <w:ind w:left="440" w:right="599"/>
        <w:spacing w:after="0" w:line="275" w:lineRule="auto"/>
        <w:rPr>
          <w:sz w:val="20"/>
          <w:szCs w:val="20"/>
          <w:color w:val="auto"/>
        </w:rPr>
      </w:pPr>
      <w:r>
        <w:rPr>
          <w:rFonts w:ascii="Times New Roman" w:cs="Times New Roman" w:eastAsia="Times New Roman" w:hAnsi="Times New Roman"/>
          <w:sz w:val="17"/>
          <w:szCs w:val="17"/>
          <w:color w:val="auto"/>
        </w:rPr>
        <w:t>To the extent required by law, this prospectus may be amended or supplemented from time to time to describe a specific plan of distribution. Any prospectus supplement relating to a particular offering of our common stock may include the following information to the extent required by law:</w:t>
      </w:r>
    </w:p>
    <w:p>
      <w:pPr>
        <w:spacing w:after="0" w:line="58" w:lineRule="exact"/>
        <w:rPr>
          <w:sz w:val="20"/>
          <w:szCs w:val="20"/>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offering;</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any underwriters, dealers or agents participating in the offering;</w:t>
      </w:r>
    </w:p>
    <w:p>
      <w:pPr>
        <w:spacing w:after="0" w:line="117" w:lineRule="exact"/>
        <w:rPr>
          <w:rFonts w:ascii="Times New Roman" w:cs="Times New Roman" w:eastAsia="Times New Roman" w:hAnsi="Times New Roman"/>
          <w:sz w:val="17"/>
          <w:szCs w:val="17"/>
          <w:color w:val="auto"/>
        </w:rPr>
      </w:pPr>
    </w:p>
    <w:p>
      <w:pPr>
        <w:ind w:left="1120" w:right="57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shares of common stock sold by us or selling stockholders to any underwriter or dealer and the net proceeds we or such selling stockholders expect to receive from the offering;</w:t>
      </w:r>
    </w:p>
    <w:p>
      <w:pPr>
        <w:spacing w:after="0" w:line="42" w:lineRule="exact"/>
        <w:rPr>
          <w:rFonts w:ascii="Times New Roman" w:cs="Times New Roman" w:eastAsia="Times New Roman" w:hAnsi="Times New Roman"/>
          <w:sz w:val="17"/>
          <w:szCs w:val="17"/>
          <w:color w:val="auto"/>
        </w:rPr>
      </w:pPr>
    </w:p>
    <w:p>
      <w:pPr>
        <w:ind w:left="1120" w:right="63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options pursuant to which underwriters may purchase additional shares of common stock from us or selling stockholders;</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delayed delivery arrangements;</w:t>
      </w:r>
    </w:p>
    <w:p>
      <w:pPr>
        <w:spacing w:after="0" w:line="117" w:lineRule="exact"/>
        <w:rPr>
          <w:rFonts w:ascii="Times New Roman" w:cs="Times New Roman" w:eastAsia="Times New Roman" w:hAnsi="Times New Roman"/>
          <w:sz w:val="17"/>
          <w:szCs w:val="17"/>
          <w:color w:val="auto"/>
        </w:rPr>
      </w:pPr>
    </w:p>
    <w:p>
      <w:pPr>
        <w:ind w:left="1120" w:right="1259" w:hanging="337"/>
        <w:spacing w:after="0" w:line="294"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agency fees or underwriting discounts and other items constituting agents’ or underwriters’ compensation;</w:t>
      </w:r>
    </w:p>
    <w:p>
      <w:pPr>
        <w:spacing w:after="0" w:line="42"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117" w:lineRule="exact"/>
        <w:rPr>
          <w:rFonts w:ascii="Times New Roman" w:cs="Times New Roman" w:eastAsia="Times New Roman" w:hAnsi="Times New Roman"/>
          <w:sz w:val="17"/>
          <w:szCs w:val="17"/>
          <w:color w:val="auto"/>
        </w:rPr>
      </w:pPr>
    </w:p>
    <w:p>
      <w:pPr>
        <w:ind w:left="1120" w:hanging="337"/>
        <w:spacing w:after="0"/>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our common stock may be listed.</w:t>
      </w:r>
    </w:p>
    <w:p>
      <w:pPr>
        <w:spacing w:after="0" w:line="117" w:lineRule="exact"/>
        <w:rPr>
          <w:sz w:val="20"/>
          <w:szCs w:val="20"/>
          <w:color w:val="auto"/>
        </w:rPr>
      </w:pPr>
    </w:p>
    <w:p>
      <w:pPr>
        <w:ind w:left="440" w:right="519"/>
        <w:spacing w:after="0" w:line="262" w:lineRule="auto"/>
        <w:rPr>
          <w:sz w:val="20"/>
          <w:szCs w:val="20"/>
          <w:color w:val="auto"/>
        </w:rPr>
      </w:pPr>
      <w:r>
        <w:rPr>
          <w:rFonts w:ascii="Times New Roman" w:cs="Times New Roman" w:eastAsia="Times New Roman" w:hAnsi="Times New Roman"/>
          <w:sz w:val="17"/>
          <w:szCs w:val="17"/>
          <w:color w:val="auto"/>
        </w:rPr>
        <w:t>We or selling stockholders may offer our common stock to the public through underwriting syndicates represented by managing underwriters or through underwriters without an underwriting syndicate. If underwriters are used for the sale of shares of our common stock, those shares of common stock will be acquired by the underwriters for their own account. The underwriters may resell our common stock in one or more transactions, including in negotiated transactions at a fixed public offering price or at varying prices determined at the time of sale. In connection with any such underwritten sale of our common stock, underwriters may receive compensation from us or selling stockholders in the form of discounts, concessions or commissions. Underwriters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479"/>
        <w:spacing w:after="0" w:line="275" w:lineRule="auto"/>
        <w:rPr>
          <w:sz w:val="20"/>
          <w:szCs w:val="20"/>
          <w:color w:val="auto"/>
        </w:rPr>
      </w:pPr>
      <w:r>
        <w:rPr>
          <w:rFonts w:ascii="Times New Roman" w:cs="Times New Roman" w:eastAsia="Times New Roman" w:hAnsi="Times New Roman"/>
          <w:sz w:val="17"/>
          <w:szCs w:val="17"/>
          <w:color w:val="auto"/>
        </w:rPr>
        <w:t>may sell shares of our common stock to or through dealers, and the dealers may receive compensation in the form of discounts, concessions or commissions from the underwriters or commissions from the purchasers for whom they may act as agents. Such compensation may be in excess of customary discounts, concessions or commissions.</w:t>
      </w:r>
    </w:p>
    <w:p>
      <w:pPr>
        <w:spacing w:after="0" w:line="58" w:lineRule="exact"/>
        <w:rPr>
          <w:sz w:val="20"/>
          <w:szCs w:val="20"/>
          <w:color w:val="auto"/>
        </w:rPr>
      </w:pPr>
    </w:p>
    <w:p>
      <w:pPr>
        <w:ind w:left="440" w:right="479"/>
        <w:spacing w:after="0" w:line="261" w:lineRule="auto"/>
        <w:rPr>
          <w:sz w:val="20"/>
          <w:szCs w:val="20"/>
          <w:color w:val="auto"/>
        </w:rPr>
      </w:pPr>
      <w:r>
        <w:rPr>
          <w:rFonts w:ascii="Times New Roman" w:cs="Times New Roman" w:eastAsia="Times New Roman" w:hAnsi="Times New Roman"/>
          <w:sz w:val="17"/>
          <w:szCs w:val="17"/>
          <w:color w:val="auto"/>
        </w:rPr>
        <w:t>If we or selling stockholders use an underwriter or underwriters to effectuate the sale of shares of common stock, we or such selling stockholders will execute an underwriting agreement with those underwriters at the time of sale of such shares of common stock. To the extent required by law, the names of the underwriters will be set forth in the prospectus supplement used by the underwriters to sell those shares of common stock. Unless otherwise indicated in the prospectus supplement relating to a particular offering of common stock, the obligations of the underwriters to purchase our common stock from us or selling stockholders will be subject to customary conditions precedent and the underwriters will be obligated to purchase all of the shares of common stock offered if any shares of common stock are purchased.</w:t>
      </w:r>
    </w:p>
    <w:p>
      <w:pPr>
        <w:spacing w:after="0" w:line="73" w:lineRule="exact"/>
        <w:rPr>
          <w:sz w:val="20"/>
          <w:szCs w:val="20"/>
          <w:color w:val="auto"/>
        </w:rPr>
      </w:pPr>
    </w:p>
    <w:p>
      <w:pPr>
        <w:ind w:left="440" w:right="579"/>
        <w:spacing w:after="0" w:line="263" w:lineRule="auto"/>
        <w:rPr>
          <w:sz w:val="20"/>
          <w:szCs w:val="20"/>
          <w:color w:val="auto"/>
        </w:rPr>
      </w:pPr>
      <w:r>
        <w:rPr>
          <w:rFonts w:ascii="Times New Roman" w:cs="Times New Roman" w:eastAsia="Times New Roman" w:hAnsi="Times New Roman"/>
          <w:sz w:val="17"/>
          <w:szCs w:val="17"/>
          <w:color w:val="auto"/>
        </w:rPr>
        <w:t>In effecting sales, brokers or dealers engaged by us or selling stockholders may arrange for other brokers or dealers to participate. Broker-dealers may receive discounts, concessions or commissions from us or selling stockholders (or, if any broker-dealer acts as agent for the purchaser of the shares of common stock, from the purchaser) in amounts to be negotiated. Such compensation may be in excess of customary discounts, concessions or commissions. If dealers are utilized in the sale of shares of our common stock, the names of the dealers and the terms of the transaction will be set forth in a prospectus supplement, if required.</w:t>
      </w:r>
    </w:p>
    <w:p>
      <w:pPr>
        <w:spacing w:after="0" w:line="71" w:lineRule="exact"/>
        <w:rPr>
          <w:sz w:val="20"/>
          <w:szCs w:val="20"/>
          <w:color w:val="auto"/>
        </w:rPr>
      </w:pPr>
    </w:p>
    <w:p>
      <w:pPr>
        <w:ind w:left="440" w:right="699"/>
        <w:spacing w:after="0" w:line="268" w:lineRule="auto"/>
        <w:rPr>
          <w:sz w:val="20"/>
          <w:szCs w:val="20"/>
          <w:color w:val="auto"/>
        </w:rPr>
      </w:pPr>
      <w:r>
        <w:rPr>
          <w:rFonts w:ascii="Times New Roman" w:cs="Times New Roman" w:eastAsia="Times New Roman" w:hAnsi="Times New Roman"/>
          <w:sz w:val="17"/>
          <w:szCs w:val="17"/>
          <w:color w:val="auto"/>
        </w:rPr>
        <w:t>We or selling stockholders may also sell our common stock from time to time through agents. The applicable prospectus supplement will name any agent involved in the offer or sale of such shares of common stock and will list commissions payable to these agents if required. These agents will be acting on a best efforts basis to solicit purchases for the period of their appointment, unless otherwise stated in any applicable prospectus supplement.</w:t>
      </w:r>
    </w:p>
    <w:p>
      <w:pPr>
        <w:spacing w:after="0" w:line="66" w:lineRule="exact"/>
        <w:rPr>
          <w:sz w:val="20"/>
          <w:szCs w:val="20"/>
          <w:color w:val="auto"/>
        </w:rPr>
      </w:pPr>
    </w:p>
    <w:p>
      <w:pPr>
        <w:ind w:left="440" w:right="1019"/>
        <w:spacing w:after="0" w:line="294" w:lineRule="auto"/>
        <w:rPr>
          <w:sz w:val="20"/>
          <w:szCs w:val="20"/>
          <w:color w:val="auto"/>
        </w:rPr>
      </w:pPr>
      <w:r>
        <w:rPr>
          <w:rFonts w:ascii="Times New Roman" w:cs="Times New Roman" w:eastAsia="Times New Roman" w:hAnsi="Times New Roman"/>
          <w:sz w:val="17"/>
          <w:szCs w:val="17"/>
          <w:color w:val="auto"/>
        </w:rPr>
        <w:t>We or selling stockholders may sell our common stock directly to purchasers. In this case, we or such selling stockholders may not engage underwriters or agents in the offer and sale of such shares of common stock.</w:t>
      </w:r>
    </w:p>
    <w:p>
      <w:pPr>
        <w:spacing w:after="0" w:line="43" w:lineRule="exact"/>
        <w:rPr>
          <w:sz w:val="20"/>
          <w:szCs w:val="20"/>
          <w:color w:val="auto"/>
        </w:rPr>
      </w:pPr>
    </w:p>
    <w:p>
      <w:pPr>
        <w:ind w:left="440" w:right="559"/>
        <w:spacing w:after="0" w:line="260" w:lineRule="auto"/>
        <w:rPr>
          <w:sz w:val="20"/>
          <w:szCs w:val="20"/>
          <w:color w:val="auto"/>
        </w:rPr>
      </w:pPr>
      <w:r>
        <w:rPr>
          <w:rFonts w:ascii="Times New Roman" w:cs="Times New Roman" w:eastAsia="Times New Roman" w:hAnsi="Times New Roman"/>
          <w:sz w:val="17"/>
          <w:szCs w:val="17"/>
          <w:color w:val="auto"/>
        </w:rPr>
        <w:t>Selling stockholders and any underwriters, broker-dealers or agents that participate in the sale of any such common stock or interests therein may be “underwriters” within the meaning of the Securities Act. Any discounts, commissions, concessions or profit they earn on any resale of common stock may be underwriting discounts and commissions under the Securities Act. Selling stockholders who are “underwriters” within the meaning of the Securities Act will be subject to the prospectus delivery requirements of the Securities Act. We will make copies of this prospectus available to any selling stockholder for the purpose of satisfying the prospectus delivery requirements of the Securities Act, if applicable. If any entity is deemed an underwriter or any amounts are deemed underwriting discounts and commissions, the prospectus supplement will identify the underwriter or agent and describe the compensation received from any selling stockholder.</w:t>
      </w:r>
    </w:p>
    <w:p>
      <w:pPr>
        <w:spacing w:after="0" w:line="76" w:lineRule="exact"/>
        <w:rPr>
          <w:sz w:val="20"/>
          <w:szCs w:val="20"/>
          <w:color w:val="auto"/>
        </w:rPr>
      </w:pPr>
    </w:p>
    <w:p>
      <w:pPr>
        <w:ind w:left="440" w:right="479"/>
        <w:spacing w:after="0" w:line="262" w:lineRule="auto"/>
        <w:rPr>
          <w:sz w:val="20"/>
          <w:szCs w:val="20"/>
          <w:color w:val="auto"/>
        </w:rPr>
      </w:pPr>
      <w:r>
        <w:rPr>
          <w:rFonts w:ascii="Times New Roman" w:cs="Times New Roman" w:eastAsia="Times New Roman" w:hAnsi="Times New Roman"/>
          <w:sz w:val="17"/>
          <w:szCs w:val="17"/>
          <w:color w:val="auto"/>
        </w:rPr>
        <w:t>From time to time, any selling stockholder may pledge, hypothecate or grant a security interest in some or all of the common stock owned by it. The pledgees, secured parties or persons to whom the shares have been hypothecated will, upon foreclosure, be deemed to be selling stockholders. The number of shares of a selling stockholder’s common stock offered under this prospectus will decrease as and when it takes such actions. The plan of distribution for that selling stockholder’s common stock will otherwise remain unchanged. In addition, a selling stockholder may, from time to time, sell short, and, in those instances, this prospectus may be delivered in connection with the short sales and the common stock offered under this prospectus may be used to cover short sales.</w:t>
      </w:r>
    </w:p>
    <w:p>
      <w:pPr>
        <w:spacing w:after="0" w:line="71" w:lineRule="exact"/>
        <w:rPr>
          <w:sz w:val="20"/>
          <w:szCs w:val="20"/>
          <w:color w:val="auto"/>
        </w:rPr>
      </w:pPr>
    </w:p>
    <w:p>
      <w:pPr>
        <w:ind w:left="440" w:right="479"/>
        <w:spacing w:after="0" w:line="265" w:lineRule="auto"/>
        <w:rPr>
          <w:sz w:val="20"/>
          <w:szCs w:val="20"/>
          <w:color w:val="auto"/>
        </w:rPr>
      </w:pPr>
      <w:r>
        <w:rPr>
          <w:rFonts w:ascii="Times New Roman" w:cs="Times New Roman" w:eastAsia="Times New Roman" w:hAnsi="Times New Roman"/>
          <w:sz w:val="17"/>
          <w:szCs w:val="17"/>
          <w:color w:val="auto"/>
        </w:rPr>
        <w:t>Any selling stockholder may enter into hedging transactions with broker-dealers and the broker-dealers may engage in short sales of our common stock in the course of hedging the positions they assume with such selling stockholder, including, without limitation, in connection with distributions of common stock by those broker-dealers. Any selling stockholder may enter into option or other transactions with broker-dealers that involve the delivery of common stock offered hereby to the broker-dealers, who may then resell or otherwise transfer such shares of common stock.</w:t>
      </w:r>
    </w:p>
    <w:p>
      <w:pPr>
        <w:spacing w:after="0" w:line="68" w:lineRule="exact"/>
        <w:rPr>
          <w:sz w:val="20"/>
          <w:szCs w:val="20"/>
          <w:color w:val="auto"/>
        </w:rPr>
      </w:pPr>
    </w:p>
    <w:p>
      <w:pPr>
        <w:jc w:val="both"/>
        <w:ind w:left="440" w:right="939"/>
        <w:spacing w:after="0" w:line="275" w:lineRule="auto"/>
        <w:rPr>
          <w:sz w:val="20"/>
          <w:szCs w:val="20"/>
          <w:color w:val="auto"/>
        </w:rPr>
      </w:pPr>
      <w:r>
        <w:rPr>
          <w:rFonts w:ascii="Times New Roman" w:cs="Times New Roman" w:eastAsia="Times New Roman" w:hAnsi="Times New Roman"/>
          <w:sz w:val="17"/>
          <w:szCs w:val="17"/>
          <w:color w:val="auto"/>
        </w:rPr>
        <w:t>A selling stockholder that is an entity may elect to make a pro rata in-kind distribution of common stock to its members, partners or shareholders pursuant to the registration statement of which this prospectus is a part by delivering a prospectus with a plan of distribution. Such members, partners or stockholders would thereby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539"/>
        <w:spacing w:after="0" w:line="263" w:lineRule="auto"/>
        <w:rPr>
          <w:sz w:val="20"/>
          <w:szCs w:val="20"/>
          <w:color w:val="auto"/>
        </w:rPr>
      </w:pPr>
      <w:r>
        <w:rPr>
          <w:rFonts w:ascii="Times New Roman" w:cs="Times New Roman" w:eastAsia="Times New Roman" w:hAnsi="Times New Roman"/>
          <w:sz w:val="17"/>
          <w:szCs w:val="17"/>
          <w:color w:val="auto"/>
        </w:rPr>
        <w:t>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common stock acquired in the distribution. A selling stockholder that is an individual may make gifts of common stock covered hereby. Such donees may use the prospectus to resell the common stock or, if required by law, we may file a prospectus supplement naming such donees.</w:t>
      </w:r>
    </w:p>
    <w:p>
      <w:pPr>
        <w:spacing w:after="0" w:line="71" w:lineRule="exact"/>
        <w:rPr>
          <w:sz w:val="20"/>
          <w:szCs w:val="20"/>
          <w:color w:val="auto"/>
        </w:rPr>
      </w:pPr>
    </w:p>
    <w:p>
      <w:pPr>
        <w:ind w:left="440" w:right="539"/>
        <w:spacing w:after="0" w:line="261" w:lineRule="auto"/>
        <w:rPr>
          <w:sz w:val="20"/>
          <w:szCs w:val="20"/>
          <w:color w:val="auto"/>
        </w:rPr>
      </w:pPr>
      <w:r>
        <w:rPr>
          <w:rFonts w:ascii="Times New Roman" w:cs="Times New Roman" w:eastAsia="Times New Roman" w:hAnsi="Times New Roman"/>
          <w:sz w:val="17"/>
          <w:szCs w:val="17"/>
          <w:color w:val="auto"/>
        </w:rPr>
        <w:t>We are not aware of any plans, arrangements or understandings between any stockholder and any underwriter, broker-dealer or agent regarding the sale of our common stock by any stockholder. There can be no assurance that the selling stockholders will sell any or all of the shares of our common stock registered pursuant to the registration statement of which this prospectus or any applicable prospectus supplement forms a part. In addition, we cannot assure you that any selling stockholder will not transfer, devise or gift our common stock by other means not described in this prospectus. Moreover, the selling stockholders may also sell shares pursuant to Rule 144 under the Securities Act or other available exemptions from the registration requirements of the Securities Act rather than pursuant to this prospectus or any applicable prospectus supplement.</w:t>
      </w:r>
    </w:p>
    <w:p>
      <w:pPr>
        <w:spacing w:after="0" w:line="73" w:lineRule="exact"/>
        <w:rPr>
          <w:sz w:val="20"/>
          <w:szCs w:val="20"/>
          <w:color w:val="auto"/>
        </w:rPr>
      </w:pPr>
    </w:p>
    <w:p>
      <w:pPr>
        <w:ind w:left="440" w:right="539"/>
        <w:spacing w:after="0" w:line="275" w:lineRule="auto"/>
        <w:rPr>
          <w:sz w:val="20"/>
          <w:szCs w:val="20"/>
          <w:color w:val="auto"/>
        </w:rPr>
      </w:pPr>
      <w:r>
        <w:rPr>
          <w:rFonts w:ascii="Times New Roman" w:cs="Times New Roman" w:eastAsia="Times New Roman" w:hAnsi="Times New Roman"/>
          <w:sz w:val="17"/>
          <w:szCs w:val="17"/>
          <w:color w:val="auto"/>
        </w:rPr>
        <w:t>Our common stock is currently listed and traded on the New York Stock Exchange. Any common stock sold by this prospectus will be listed for trading on the New York Stock Exchange subject to official notice of issuance. We cannot give you any assurance as to the liquidity of the trading markets for our common stock.</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9" w:lineRule="exact"/>
        <w:rPr>
          <w:sz w:val="20"/>
          <w:szCs w:val="20"/>
          <w:color w:val="auto"/>
        </w:rPr>
      </w:pPr>
    </w:p>
    <w:p>
      <w:pPr>
        <w:ind w:left="440" w:right="579"/>
        <w:spacing w:after="0" w:line="275" w:lineRule="auto"/>
        <w:rPr>
          <w:sz w:val="20"/>
          <w:szCs w:val="20"/>
          <w:color w:val="auto"/>
        </w:rPr>
      </w:pPr>
      <w:r>
        <w:rPr>
          <w:rFonts w:ascii="Times New Roman" w:cs="Times New Roman" w:eastAsia="Times New Roman" w:hAnsi="Times New Roman"/>
          <w:sz w:val="17"/>
          <w:szCs w:val="17"/>
          <w:color w:val="auto"/>
        </w:rPr>
        <w:t>Underwriters, dealers, agents and other persons may be entitled, under agreements that may be entered into with us and the selling stockholders, to indemnification against certain civil liabilities, including liabilities under the Securities Act, or to contribution with respect to payments that they may be required to make in respect thereof.</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Related Transactions</w:t>
      </w:r>
    </w:p>
    <w:p>
      <w:pPr>
        <w:spacing w:after="0" w:line="119" w:lineRule="exact"/>
        <w:rPr>
          <w:sz w:val="20"/>
          <w:szCs w:val="20"/>
          <w:color w:val="auto"/>
        </w:rPr>
      </w:pPr>
    </w:p>
    <w:p>
      <w:pPr>
        <w:ind w:left="440" w:right="959"/>
        <w:spacing w:after="0" w:line="275" w:lineRule="auto"/>
        <w:rPr>
          <w:sz w:val="20"/>
          <w:szCs w:val="20"/>
          <w:color w:val="auto"/>
        </w:rPr>
      </w:pPr>
      <w:r>
        <w:rPr>
          <w:rFonts w:ascii="Times New Roman" w:cs="Times New Roman" w:eastAsia="Times New Roman" w:hAnsi="Times New Roman"/>
          <w:sz w:val="17"/>
          <w:szCs w:val="17"/>
          <w:color w:val="auto"/>
        </w:rPr>
        <w:t>Various underwriters who participate in the distribution of securities, and their affiliates, may perform various commercial banking, investment banking or other services for us from time to time in the ordinary course of business.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Price Stabilization and Short Positions</w:t>
      </w:r>
    </w:p>
    <w:p>
      <w:pPr>
        <w:spacing w:after="0" w:line="119" w:lineRule="exact"/>
        <w:rPr>
          <w:sz w:val="20"/>
          <w:szCs w:val="20"/>
          <w:color w:val="auto"/>
        </w:rPr>
      </w:pPr>
    </w:p>
    <w:p>
      <w:pPr>
        <w:ind w:left="440" w:right="459"/>
        <w:spacing w:after="0" w:line="261" w:lineRule="auto"/>
        <w:rPr>
          <w:sz w:val="20"/>
          <w:szCs w:val="20"/>
          <w:color w:val="auto"/>
        </w:rPr>
      </w:pPr>
      <w:r>
        <w:rPr>
          <w:rFonts w:ascii="Times New Roman" w:cs="Times New Roman" w:eastAsia="Times New Roman" w:hAnsi="Times New Roman"/>
          <w:sz w:val="17"/>
          <w:szCs w:val="17"/>
          <w:color w:val="auto"/>
        </w:rPr>
        <w:t>If underwriters or dealers are used in the sale, until the distribution of the shares of common stock is completed, rules of the SEC may limit the ability of any underwriters to bid for and purchase shares of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shares of our common stock than are set forth on the cover page of the accompanying prospectus supplement) the representatives of the underwriters may reduce that short position by purchasing shares of our common stock in the open market.</w:t>
      </w:r>
    </w:p>
    <w:p>
      <w:pPr>
        <w:spacing w:after="0" w:line="73" w:lineRule="exact"/>
        <w:rPr>
          <w:sz w:val="20"/>
          <w:szCs w:val="20"/>
          <w:color w:val="auto"/>
        </w:rPr>
      </w:pPr>
    </w:p>
    <w:p>
      <w:pPr>
        <w:ind w:left="440" w:right="719"/>
        <w:spacing w:after="0" w:line="268" w:lineRule="auto"/>
        <w:rPr>
          <w:sz w:val="20"/>
          <w:szCs w:val="20"/>
          <w:color w:val="auto"/>
        </w:rPr>
      </w:pPr>
      <w:r>
        <w:rPr>
          <w:rFonts w:ascii="Times New Roman" w:cs="Times New Roman" w:eastAsia="Times New Roman" w:hAnsi="Times New Roman"/>
          <w:sz w:val="17"/>
          <w:szCs w:val="17"/>
          <w:color w:val="auto"/>
        </w:rPr>
        <w:t>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jc w:val="both"/>
        <w:ind w:left="440" w:right="599"/>
        <w:spacing w:after="0" w:line="275"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White &amp; Case LLP, New York, New York. Any underwriters will be advised about legal matters by their own counsel, which will be named in a prospectus supplement to the extent required by law.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9" w:lineRule="exact"/>
        <w:rPr>
          <w:sz w:val="20"/>
          <w:szCs w:val="20"/>
          <w:color w:val="auto"/>
        </w:rPr>
      </w:pPr>
    </w:p>
    <w:p>
      <w:pPr>
        <w:ind w:left="440" w:right="539"/>
        <w:spacing w:after="0" w:line="265"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440" w:right="519"/>
        <w:spacing w:after="0" w:line="262" w:lineRule="auto"/>
        <w:rPr>
          <w:sz w:val="20"/>
          <w:szCs w:val="20"/>
          <w:color w:val="auto"/>
        </w:rPr>
      </w:pPr>
      <w:r>
        <w:rPr>
          <w:rFonts w:ascii="Times New Roman" w:cs="Times New Roman" w:eastAsia="Times New Roman" w:hAnsi="Times New Roman"/>
          <w:sz w:val="17"/>
          <w:szCs w:val="17"/>
          <w:color w:val="auto"/>
        </w:rPr>
        <w:t>The consolidated financial statements of Giphy, Inc. at December 31, 2022 and 2021, and for each of the two years in the period ended December 31, 2022, included within the Current Report on Form 8-K/A of Shutterstock, Inc. dated August 30, 2023 and incorporated by reference in this Prospectus and Registration Statement have been audited by Ernst &amp; Young LLP, independent auditors, as set forth in their report thereon (which contains an explanatory paragraph describing conditions that raise substantial doubt about Giphy, Inc.’s ability to continue as a going concern as described in Note 1 to the consolidated financial statements) incorporated by reference herein, and are included in reliance upon such report given on the authority of such firm as experts in accounting and auditing.</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9" w:lineRule="exact"/>
        <w:rPr>
          <w:sz w:val="20"/>
          <w:szCs w:val="20"/>
          <w:color w:val="auto"/>
        </w:rPr>
      </w:pPr>
    </w:p>
    <w:p>
      <w:pPr>
        <w:ind w:left="440" w:right="539"/>
        <w:spacing w:after="0" w:line="265" w:lineRule="auto"/>
        <w:rPr>
          <w:sz w:val="20"/>
          <w:szCs w:val="20"/>
          <w:color w:val="auto"/>
        </w:rPr>
      </w:pPr>
      <w:r>
        <w:rPr>
          <w:rFonts w:ascii="Times New Roman" w:cs="Times New Roman" w:eastAsia="Times New Roman" w:hAnsi="Times New Roman"/>
          <w:sz w:val="17"/>
          <w:szCs w:val="17"/>
          <w:color w:val="auto"/>
        </w:rPr>
        <w:t>Shutterstock, Inc. files annual, quarterly and current reports, proxy statements and other information with the SEC. You may read and copy any document Shutterstock, Inc. has filed or will file with the SEC at the SEC’s public website (www.sec.gov). Those filings are also made available to the public on, or accessible through, Shutterstock, Inc.’s website at www.investor.shutterstock.com. The information on or accessible through our website is not incorporated into or part of this prospectus (except for our SEC reports expressly incorporated by reference herein).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INCORPORATED BY REFERENCE</w:t>
      </w:r>
    </w:p>
    <w:p>
      <w:pPr>
        <w:spacing w:after="0" w:line="119" w:lineRule="exact"/>
        <w:rPr>
          <w:sz w:val="20"/>
          <w:szCs w:val="20"/>
          <w:color w:val="auto"/>
        </w:rPr>
      </w:pPr>
    </w:p>
    <w:p>
      <w:pPr>
        <w:ind w:left="440" w:right="479"/>
        <w:spacing w:after="0" w:line="260"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285" w:lineRule="exact"/>
        <w:rPr>
          <w:sz w:val="20"/>
          <w:szCs w:val="20"/>
          <w:color w:val="auto"/>
        </w:rPr>
      </w:pPr>
    </w:p>
    <w:p>
      <w:pPr>
        <w:ind w:left="1120" w:right="619" w:hanging="337"/>
        <w:spacing w:after="0" w:line="275"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28">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2022 filed with the SEC on February 14, 2023, including those portions of our </w:t>
      </w:r>
      <w:hyperlink r:id="rId29">
        <w:r>
          <w:rPr>
            <w:rFonts w:ascii="Times New Roman" w:cs="Times New Roman" w:eastAsia="Times New Roman" w:hAnsi="Times New Roman"/>
            <w:sz w:val="17"/>
            <w:szCs w:val="17"/>
            <w:u w:val="single" w:color="auto"/>
            <w:color w:val="0000EE"/>
          </w:rPr>
          <w:t>Proxy Statement</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on Schedule 14A filed with the SEC on April 25, 2023 that are incorporated by reference in such Annual Report;</w:t>
      </w:r>
    </w:p>
    <w:p>
      <w:pPr>
        <w:spacing w:after="0" w:line="58" w:lineRule="exact"/>
        <w:rPr>
          <w:rFonts w:ascii="Times New Roman" w:cs="Times New Roman" w:eastAsia="Times New Roman" w:hAnsi="Times New Roman"/>
          <w:sz w:val="17"/>
          <w:szCs w:val="17"/>
          <w:color w:val="auto"/>
        </w:rPr>
      </w:pPr>
    </w:p>
    <w:p>
      <w:pPr>
        <w:ind w:left="1120" w:right="459" w:hanging="337"/>
        <w:spacing w:after="0" w:line="275" w:lineRule="auto"/>
        <w:tabs>
          <w:tab w:leader="none" w:pos="1120" w:val="left"/>
        </w:tabs>
        <w:numPr>
          <w:ilvl w:val="0"/>
          <w:numId w:val="5"/>
        </w:numPr>
        <w:rPr>
          <w:rFonts w:ascii="Times New Roman" w:cs="Times New Roman" w:eastAsia="Times New Roman" w:hAnsi="Times New Roman"/>
          <w:sz w:val="17"/>
          <w:szCs w:val="17"/>
          <w:color w:val="000000"/>
        </w:rPr>
      </w:pPr>
      <w:hyperlink r:id="rId30">
        <w:r>
          <w:rPr>
            <w:rFonts w:ascii="Times New Roman" w:cs="Times New Roman" w:eastAsia="Times New Roman" w:hAnsi="Times New Roman"/>
            <w:sz w:val="17"/>
            <w:szCs w:val="17"/>
            <w:color w:val="auto"/>
          </w:rPr>
          <w:t xml:space="preserve">our Quarterly Reports on Form 10-Q for the quarter ended March 31, 2023 filed with the SEC on </w:t>
        </w:r>
        <w:r>
          <w:rPr>
            <w:rFonts w:ascii="Times New Roman" w:cs="Times New Roman" w:eastAsia="Times New Roman" w:hAnsi="Times New Roman"/>
            <w:sz w:val="17"/>
            <w:szCs w:val="17"/>
            <w:u w:val="single" w:color="auto"/>
            <w:color w:val="0000EE"/>
          </w:rPr>
          <w:t>April 25,</w:t>
        </w:r>
      </w:hyperlink>
      <w:r>
        <w:rPr>
          <w:rFonts w:ascii="Times New Roman" w:cs="Times New Roman" w:eastAsia="Times New Roman" w:hAnsi="Times New Roman"/>
          <w:sz w:val="17"/>
          <w:szCs w:val="17"/>
          <w:color w:val="auto"/>
        </w:rPr>
        <w:t xml:space="preserve"> </w:t>
      </w:r>
      <w:hyperlink r:id="rId30">
        <w:r>
          <w:rPr>
            <w:rFonts w:ascii="Times New Roman" w:cs="Times New Roman" w:eastAsia="Times New Roman" w:hAnsi="Times New Roman"/>
            <w:sz w:val="17"/>
            <w:szCs w:val="17"/>
            <w:u w:val="single" w:color="auto"/>
            <w:color w:val="0000EE"/>
          </w:rPr>
          <w:t>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 quarter ended June 30, 2023 filed with the SEC on</w:t>
        </w:r>
        <w:r>
          <w:rPr>
            <w:rFonts w:ascii="Times New Roman" w:cs="Times New Roman" w:eastAsia="Times New Roman" w:hAnsi="Times New Roman"/>
            <w:sz w:val="17"/>
            <w:szCs w:val="17"/>
            <w:color w:val="0000EE"/>
          </w:rPr>
          <w:t xml:space="preserve"> </w:t>
        </w:r>
      </w:hyperlink>
      <w:hyperlink r:id="rId31">
        <w:r>
          <w:rPr>
            <w:rFonts w:ascii="Times New Roman" w:cs="Times New Roman" w:eastAsia="Times New Roman" w:hAnsi="Times New Roman"/>
            <w:sz w:val="17"/>
            <w:szCs w:val="17"/>
            <w:u w:val="single" w:color="auto"/>
            <w:color w:val="0000EE"/>
          </w:rPr>
          <w:t xml:space="preserve">August 1, 2023, </w:t>
        </w:r>
      </w:hyperlink>
      <w:hyperlink r:id="rId30">
        <w:r>
          <w:rPr>
            <w:rFonts w:ascii="Times New Roman" w:cs="Times New Roman" w:eastAsia="Times New Roman" w:hAnsi="Times New Roman"/>
            <w:sz w:val="17"/>
            <w:szCs w:val="17"/>
            <w:color w:val="000000"/>
          </w:rPr>
          <w:t>and the quarter ended</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September 30, 2023 filed with the SEC on </w:t>
      </w:r>
      <w:hyperlink r:id="rId32">
        <w:r>
          <w:rPr>
            <w:rFonts w:ascii="Times New Roman" w:cs="Times New Roman" w:eastAsia="Times New Roman" w:hAnsi="Times New Roman"/>
            <w:sz w:val="17"/>
            <w:szCs w:val="17"/>
            <w:u w:val="single" w:color="auto"/>
            <w:color w:val="0000EE"/>
          </w:rPr>
          <w:t>October 31,</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2023;</w:t>
      </w:r>
    </w:p>
    <w:p>
      <w:pPr>
        <w:spacing w:after="0" w:line="58" w:lineRule="exact"/>
        <w:rPr>
          <w:rFonts w:ascii="Times New Roman" w:cs="Times New Roman" w:eastAsia="Times New Roman" w:hAnsi="Times New Roman"/>
          <w:sz w:val="17"/>
          <w:szCs w:val="17"/>
          <w:color w:val="000000"/>
        </w:rPr>
      </w:pPr>
    </w:p>
    <w:p>
      <w:pPr>
        <w:ind w:left="1120" w:right="599" w:hanging="337"/>
        <w:spacing w:after="0" w:line="268" w:lineRule="auto"/>
        <w:tabs>
          <w:tab w:leader="none" w:pos="1120" w:val="left"/>
        </w:tabs>
        <w:numPr>
          <w:ilvl w:val="0"/>
          <w:numId w:val="5"/>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33">
        <w:r>
          <w:rPr>
            <w:rFonts w:ascii="Times New Roman" w:cs="Times New Roman" w:eastAsia="Times New Roman" w:hAnsi="Times New Roman"/>
            <w:sz w:val="17"/>
            <w:szCs w:val="17"/>
            <w:u w:val="single" w:color="auto"/>
            <w:color w:val="0000EE"/>
          </w:rPr>
          <w:t xml:space="preserve">January 17, 2023, </w:t>
        </w:r>
      </w:hyperlink>
      <w:hyperlink r:id="rId34">
        <w:r>
          <w:rPr>
            <w:rFonts w:ascii="Times New Roman" w:cs="Times New Roman" w:eastAsia="Times New Roman" w:hAnsi="Times New Roman"/>
            <w:sz w:val="17"/>
            <w:szCs w:val="17"/>
            <w:u w:val="single" w:color="auto"/>
            <w:color w:val="auto"/>
          </w:rPr>
          <w:t xml:space="preserve">April </w:t>
        </w:r>
        <w:r>
          <w:rPr>
            <w:rFonts w:ascii="Times New Roman" w:cs="Times New Roman" w:eastAsia="Times New Roman" w:hAnsi="Times New Roman"/>
            <w:sz w:val="17"/>
            <w:szCs w:val="17"/>
            <w:u w:val="single" w:color="auto"/>
            <w:color w:val="0000EE"/>
          </w:rPr>
          <w:t xml:space="preserve">18, 2023, </w:t>
        </w:r>
      </w:hyperlink>
      <w:hyperlink r:id="rId35">
        <w:r>
          <w:rPr>
            <w:rFonts w:ascii="Times New Roman" w:cs="Times New Roman" w:eastAsia="Times New Roman" w:hAnsi="Times New Roman"/>
            <w:sz w:val="17"/>
            <w:szCs w:val="17"/>
            <w:u w:val="single" w:color="auto"/>
            <w:color w:val="auto"/>
          </w:rPr>
          <w:t xml:space="preserve">May </w:t>
        </w:r>
        <w:r>
          <w:rPr>
            <w:rFonts w:ascii="Times New Roman" w:cs="Times New Roman" w:eastAsia="Times New Roman" w:hAnsi="Times New Roman"/>
            <w:sz w:val="17"/>
            <w:szCs w:val="17"/>
            <w:u w:val="single" w:color="auto"/>
            <w:color w:val="0000EE"/>
          </w:rPr>
          <w:t>23, 2023</w:t>
        </w:r>
      </w:hyperlink>
      <w:r>
        <w:rPr>
          <w:rFonts w:ascii="Times New Roman" w:cs="Times New Roman" w:eastAsia="Times New Roman" w:hAnsi="Times New Roman"/>
          <w:sz w:val="17"/>
          <w:szCs w:val="17"/>
          <w:color w:val="auto"/>
        </w:rPr>
        <w:t xml:space="preserve"> (excluding the information furnished pursuant to Item 7.01 and the related exhibits furnished pursuant to </w:t>
      </w:r>
      <w:hyperlink r:id="rId36">
        <w:r>
          <w:rPr>
            <w:rFonts w:ascii="Times New Roman" w:cs="Times New Roman" w:eastAsia="Times New Roman" w:hAnsi="Times New Roman"/>
            <w:sz w:val="17"/>
            <w:szCs w:val="17"/>
            <w:color w:val="auto"/>
          </w:rPr>
          <w:t xml:space="preserve">Item 9.01), </w:t>
        </w:r>
        <w:r>
          <w:rPr>
            <w:rFonts w:ascii="Times New Roman" w:cs="Times New Roman" w:eastAsia="Times New Roman" w:hAnsi="Times New Roman"/>
            <w:sz w:val="17"/>
            <w:szCs w:val="17"/>
            <w:u w:val="single" w:color="auto"/>
            <w:color w:val="0000EE"/>
          </w:rPr>
          <w:t>June 8, 2023, June 23, 2023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 amended</w:t>
        </w:r>
        <w:r>
          <w:rPr>
            <w:rFonts w:ascii="Times New Roman" w:cs="Times New Roman" w:eastAsia="Times New Roman" w:hAnsi="Times New Roman"/>
            <w:sz w:val="17"/>
            <w:szCs w:val="17"/>
            <w:color w:val="auto"/>
          </w:rPr>
          <w:t xml:space="preserve"> on </w:t>
        </w:r>
        <w:r>
          <w:rPr>
            <w:rFonts w:ascii="Times New Roman" w:cs="Times New Roman" w:eastAsia="Times New Roman" w:hAnsi="Times New Roman"/>
            <w:sz w:val="17"/>
            <w:szCs w:val="17"/>
            <w:u w:val="single" w:color="auto"/>
            <w:color w:val="0000EE"/>
          </w:rPr>
          <w:t>August 31, 2023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July 18, 2023, October 24,</w:t>
        </w:r>
      </w:hyperlink>
      <w:r>
        <w:rPr>
          <w:rFonts w:ascii="Times New Roman" w:cs="Times New Roman" w:eastAsia="Times New Roman" w:hAnsi="Times New Roman"/>
          <w:sz w:val="17"/>
          <w:szCs w:val="17"/>
          <w:color w:val="auto"/>
        </w:rPr>
        <w:t xml:space="preserve"> </w:t>
      </w:r>
      <w:hyperlink r:id="rId36">
        <w:r>
          <w:rPr>
            <w:rFonts w:ascii="Times New Roman" w:cs="Times New Roman" w:eastAsia="Times New Roman" w:hAnsi="Times New Roman"/>
            <w:sz w:val="17"/>
            <w:szCs w:val="17"/>
            <w:u w:val="single" w:color="auto"/>
            <w:color w:val="0000EE"/>
          </w:rPr>
          <w:t>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37">
        <w:r>
          <w:rPr>
            <w:rFonts w:ascii="Times New Roman" w:cs="Times New Roman" w:eastAsia="Times New Roman" w:hAnsi="Times New Roman"/>
            <w:sz w:val="17"/>
            <w:szCs w:val="17"/>
            <w:u w:val="single" w:color="auto"/>
            <w:color w:val="0000EE"/>
          </w:rPr>
          <w:t>December 21, 2023</w:t>
        </w:r>
      </w:hyperlink>
      <w:hyperlink r:id="rId36">
        <w:r>
          <w:rPr>
            <w:rFonts w:ascii="Times New Roman" w:cs="Times New Roman" w:eastAsia="Times New Roman" w:hAnsi="Times New Roman"/>
            <w:sz w:val="17"/>
            <w:szCs w:val="17"/>
            <w:color w:val="000000"/>
          </w:rPr>
          <w:t>; and</w:t>
        </w:r>
      </w:hyperlink>
    </w:p>
    <w:p>
      <w:pPr>
        <w:spacing w:after="0" w:line="65" w:lineRule="exact"/>
        <w:rPr>
          <w:rFonts w:ascii="Times New Roman" w:cs="Times New Roman" w:eastAsia="Times New Roman" w:hAnsi="Times New Roman"/>
          <w:sz w:val="17"/>
          <w:szCs w:val="17"/>
          <w:color w:val="0000EE"/>
        </w:rPr>
      </w:pPr>
    </w:p>
    <w:p>
      <w:pPr>
        <w:ind w:left="1120" w:right="639" w:hanging="337"/>
        <w:spacing w:after="0" w:line="275"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the Registration Statement on </w:t>
      </w:r>
      <w:hyperlink r:id="rId38">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on September 27, 2012, as supplemented by the “Description of Capital Stock” included in this prospectus and including any amendments or reports filed for the purpose of updating such description.</w:t>
      </w:r>
    </w:p>
    <w:p>
      <w:pPr>
        <w:spacing w:after="0" w:line="58" w:lineRule="exact"/>
        <w:rPr>
          <w:rFonts w:ascii="Times New Roman" w:cs="Times New Roman" w:eastAsia="Times New Roman" w:hAnsi="Times New Roman"/>
          <w:sz w:val="17"/>
          <w:szCs w:val="17"/>
          <w:color w:val="0000EE"/>
        </w:rPr>
      </w:pPr>
    </w:p>
    <w:p>
      <w:pPr>
        <w:ind w:left="440" w:right="999"/>
        <w:spacing w:after="0" w:line="294" w:lineRule="auto"/>
        <w:rPr>
          <w:sz w:val="20"/>
          <w:szCs w:val="20"/>
          <w:color w:val="auto"/>
        </w:rPr>
      </w:pPr>
      <w:r>
        <w:rPr>
          <w:rFonts w:ascii="Times New Roman" w:cs="Times New Roman" w:eastAsia="Times New Roman" w:hAnsi="Times New Roman"/>
          <w:sz w:val="17"/>
          <w:szCs w:val="17"/>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82" w:lineRule="exact"/>
        <w:rPr>
          <w:rFonts w:ascii="Times New Roman" w:cs="Times New Roman" w:eastAsia="Times New Roman" w:hAnsi="Times New Roman"/>
          <w:sz w:val="17"/>
          <w:szCs w:val="17"/>
          <w:color w:val="0000EE"/>
        </w:rPr>
      </w:pPr>
    </w:p>
    <w:p>
      <w:pPr>
        <w:jc w:val="center"/>
        <w:ind w:right="59"/>
        <w:spacing w:after="0"/>
        <w:rPr>
          <w:sz w:val="20"/>
          <w:szCs w:val="20"/>
          <w:color w:val="auto"/>
        </w:rPr>
      </w:pPr>
      <w:r>
        <w:rPr>
          <w:rFonts w:ascii="Times New Roman" w:cs="Times New Roman" w:eastAsia="Times New Roman" w:hAnsi="Times New Roman"/>
          <w:sz w:val="17"/>
          <w:szCs w:val="17"/>
          <w:color w:val="auto"/>
        </w:rPr>
        <w:t>Shutterstock, Inc.</w:t>
      </w:r>
    </w:p>
    <w:p>
      <w:pPr>
        <w:jc w:val="center"/>
        <w:ind w:right="59"/>
        <w:spacing w:after="0" w:line="180" w:lineRule="auto"/>
        <w:rPr>
          <w:sz w:val="20"/>
          <w:szCs w:val="20"/>
          <w:color w:val="auto"/>
        </w:rPr>
      </w:pPr>
      <w:r>
        <w:rPr>
          <w:rFonts w:ascii="Times New Roman" w:cs="Times New Roman" w:eastAsia="Times New Roman" w:hAnsi="Times New Roman"/>
          <w:sz w:val="17"/>
          <w:szCs w:val="17"/>
          <w:color w:val="auto"/>
        </w:rPr>
        <w:t>350 Fifth Avenue,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jc w:val="center"/>
        <w:ind w:right="59"/>
        <w:spacing w:after="0"/>
        <w:rPr>
          <w:sz w:val="20"/>
          <w:szCs w:val="20"/>
          <w:color w:val="auto"/>
        </w:rPr>
      </w:pPr>
      <w:r>
        <w:rPr>
          <w:rFonts w:ascii="Times New Roman" w:cs="Times New Roman" w:eastAsia="Times New Roman" w:hAnsi="Times New Roman"/>
          <w:sz w:val="17"/>
          <w:szCs w:val="17"/>
          <w:color w:val="auto"/>
        </w:rPr>
        <w:t>New York, New York 10118</w:t>
      </w:r>
    </w:p>
    <w:p>
      <w:pPr>
        <w:spacing w:after="0" w:line="11" w:lineRule="exact"/>
        <w:rPr>
          <w:rFonts w:ascii="Times New Roman" w:cs="Times New Roman" w:eastAsia="Times New Roman" w:hAnsi="Times New Roman"/>
          <w:sz w:val="17"/>
          <w:szCs w:val="17"/>
          <w:color w:val="0000EE"/>
        </w:rPr>
      </w:pPr>
    </w:p>
    <w:p>
      <w:pPr>
        <w:ind w:left="4380" w:hanging="419"/>
        <w:spacing w:after="0"/>
        <w:tabs>
          <w:tab w:leader="none" w:pos="4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710-3417</w:t>
      </w:r>
    </w:p>
    <w:p>
      <w:pPr>
        <w:spacing w:after="0" w:line="203"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2"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119" w:lineRule="exact"/>
        <w:rPr>
          <w:sz w:val="20"/>
          <w:szCs w:val="20"/>
          <w:color w:val="auto"/>
        </w:rPr>
      </w:pPr>
    </w:p>
    <w:p>
      <w:pPr>
        <w:ind w:left="440" w:right="659"/>
        <w:spacing w:after="0" w:line="294" w:lineRule="auto"/>
        <w:rPr>
          <w:sz w:val="20"/>
          <w:szCs w:val="20"/>
          <w:color w:val="auto"/>
        </w:rPr>
      </w:pPr>
      <w:r>
        <w:rPr>
          <w:rFonts w:ascii="Times New Roman" w:cs="Times New Roman" w:eastAsia="Times New Roman" w:hAnsi="Times New Roman"/>
          <w:sz w:val="17"/>
          <w:szCs w:val="17"/>
          <w:color w:val="auto"/>
        </w:rPr>
        <w:t>Our estimated expenses in connection with the issuance and distribution of the common stock being registered are set forth in the following table.</w:t>
      </w:r>
    </w:p>
    <w:p>
      <w:pPr>
        <w:spacing w:after="0" w:line="100" w:lineRule="exact"/>
        <w:rPr>
          <w:sz w:val="20"/>
          <w:szCs w:val="20"/>
          <w:color w:val="auto"/>
        </w:rPr>
      </w:pPr>
    </w:p>
    <w:tbl>
      <w:tblPr>
        <w:tblLayout w:type="fixed"/>
        <w:tblInd w:w="440" w:type="dxa"/>
        <w:tblCellMar>
          <w:top w:w="0" w:type="dxa"/>
          <w:left w:w="0" w:type="dxa"/>
          <w:bottom w:w="0" w:type="dxa"/>
          <w:right w:w="0" w:type="dxa"/>
        </w:tblCellMar>
      </w:tblPr>
      <w:tr>
        <w:trPr>
          <w:trHeight w:val="345"/>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6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2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52"/>
        </w:trPr>
        <w:tc>
          <w:tcPr>
            <w:tcW w:w="7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9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Trustee Fees and Expenses</w:t>
            </w:r>
          </w:p>
        </w:tc>
        <w:tc>
          <w:tcPr>
            <w:tcW w:w="2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52"/>
        </w:trPr>
        <w:tc>
          <w:tcPr>
            <w:tcW w:w="7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9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2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52"/>
        </w:trPr>
        <w:tc>
          <w:tcPr>
            <w:tcW w:w="7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93"/>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Stock Exchange and Other Listing Fees</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52"/>
        </w:trPr>
        <w:tc>
          <w:tcPr>
            <w:tcW w:w="7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4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5"/>
        </w:trPr>
        <w:tc>
          <w:tcPr>
            <w:tcW w:w="7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149225</wp:posOffset>
            </wp:positionV>
            <wp:extent cx="795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257" w:lineRule="exact"/>
        <w:rPr>
          <w:sz w:val="20"/>
          <w:szCs w:val="20"/>
          <w:color w:val="auto"/>
        </w:rPr>
      </w:pPr>
    </w:p>
    <w:p>
      <w:pPr>
        <w:ind w:left="780" w:right="819" w:hanging="344"/>
        <w:spacing w:after="0" w:line="244" w:lineRule="auto"/>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under the Securities Act, the registrant is deferring payment of the registration fee for the common stock offered by this prospectus.</w:t>
      </w:r>
    </w:p>
    <w:p>
      <w:pPr>
        <w:spacing w:after="0" w:line="12" w:lineRule="exact"/>
        <w:rPr>
          <w:sz w:val="20"/>
          <w:szCs w:val="20"/>
          <w:color w:val="auto"/>
        </w:rPr>
      </w:pPr>
    </w:p>
    <w:p>
      <w:pPr>
        <w:ind w:left="780" w:hanging="344"/>
        <w:spacing w:after="0"/>
        <w:tabs>
          <w:tab w:leader="none" w:pos="7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fees are calculated based on the common stock offered and the number of issuances and accordingly cannot be estimated at this time.</w:t>
      </w:r>
    </w:p>
    <w:p>
      <w:pPr>
        <w:spacing w:after="0" w:line="205"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15.</w:t>
        <w:tab/>
        <w:t>Indemnification of Directors and Officers</w:t>
      </w:r>
    </w:p>
    <w:p>
      <w:pPr>
        <w:spacing w:after="0" w:line="119" w:lineRule="exact"/>
        <w:rPr>
          <w:sz w:val="20"/>
          <w:szCs w:val="20"/>
          <w:color w:val="auto"/>
        </w:rPr>
      </w:pPr>
    </w:p>
    <w:p>
      <w:pPr>
        <w:ind w:left="440" w:right="459"/>
        <w:spacing w:after="0" w:line="259"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provides, in effect, that any person made a party to any action by reason of the fact that he or she is or was a director, officer, employee or agent of a corporation may and, in some cases, must be indemnified by the corporation against, in the case of a non-derivative action, judgments, fines, amounts paid in settlement and reasonable expenses (including attorneys’ fees) incurred by him or her as a result of such action and in the case of a derivative action, against expenses (including attorneys’ fees), if in either type of action he acted in good faith and in a manner he reasonably believed to be in or not opposed to the best interests of the corporation and, in the case of a criminal action, he had no reasonable cause to believe his conduct was unlawful. This indemnification does not apply, in a derivative action, to matters as to which it is adjudged that the director, officer, employee or agent is liable to the corporation, unless upon court order it is determined that, despite such adjudication of liability, but in view of all the circumstances of the case, he or she is fairly and reasonably entitled to indemnity for expenses.</w:t>
      </w:r>
    </w:p>
    <w:p>
      <w:pPr>
        <w:spacing w:after="0" w:line="79" w:lineRule="exact"/>
        <w:rPr>
          <w:sz w:val="20"/>
          <w:szCs w:val="20"/>
          <w:color w:val="auto"/>
        </w:rPr>
      </w:pPr>
    </w:p>
    <w:p>
      <w:pPr>
        <w:ind w:left="440" w:right="579"/>
        <w:spacing w:after="0" w:line="261" w:lineRule="auto"/>
        <w:rPr>
          <w:sz w:val="20"/>
          <w:szCs w:val="20"/>
          <w:color w:val="auto"/>
        </w:rPr>
      </w:pPr>
      <w:r>
        <w:rPr>
          <w:rFonts w:ascii="Times New Roman" w:cs="Times New Roman" w:eastAsia="Times New Roman" w:hAnsi="Times New Roman"/>
          <w:sz w:val="17"/>
          <w:szCs w:val="17"/>
          <w:color w:val="auto"/>
        </w:rPr>
        <w:t>The bylaws of the Company provides for indemnification, to the fullest extent permitted by the DGCL, to any person who was or is a party or is threatened to be made a party to any action, suit or proceeding, whether civil, criminal, administrative or investigative, by reason of the fact that he or she is or was a director or officer of the Company, or is or was serving at the request of the Company, as a director, officer, or agent of another corporation, limited liability company, or other enterprise, against expenses (including attorneys’ fees), judgments, liabilities, losses, fines and amounts paid in settlement reasonably incurred by him or her in connection with such action, suit or proceeding. The Company may also, in its discretion, indemnify employees and agents in those circumstances where indemnification is permitted by the DGCL.</w:t>
      </w:r>
    </w:p>
    <w:p>
      <w:pPr>
        <w:spacing w:after="0" w:line="73" w:lineRule="exact"/>
        <w:rPr>
          <w:sz w:val="20"/>
          <w:szCs w:val="20"/>
          <w:color w:val="auto"/>
        </w:rPr>
      </w:pPr>
    </w:p>
    <w:p>
      <w:pPr>
        <w:ind w:left="440" w:right="679"/>
        <w:spacing w:after="0" w:line="275" w:lineRule="auto"/>
        <w:rPr>
          <w:sz w:val="20"/>
          <w:szCs w:val="20"/>
          <w:color w:val="auto"/>
        </w:rPr>
      </w:pPr>
      <w:r>
        <w:rPr>
          <w:rFonts w:ascii="Times New Roman" w:cs="Times New Roman" w:eastAsia="Times New Roman" w:hAnsi="Times New Roman"/>
          <w:sz w:val="17"/>
          <w:szCs w:val="17"/>
          <w:color w:val="auto"/>
        </w:rPr>
        <w:t>The certificate of incorporation of the Company provides that no director is liable to the Company or its stockholders for monetary damages for breach of fiduciary duty as a director to the fullest extent permitted by the DGCL.</w:t>
      </w:r>
    </w:p>
    <w:p>
      <w:pPr>
        <w:spacing w:after="0" w:line="58" w:lineRule="exact"/>
        <w:rPr>
          <w:sz w:val="20"/>
          <w:szCs w:val="20"/>
          <w:color w:val="auto"/>
        </w:rPr>
      </w:pPr>
    </w:p>
    <w:p>
      <w:pPr>
        <w:ind w:left="440" w:right="559"/>
        <w:spacing w:after="0" w:line="268"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all of its directors and executive officers and has purchased directors’ and officers’ liability insurance. Any underwriting agreement may provide for indemnification by the underwriters of the issuer and its officers and directors for certain liabilities arising under the Securities Act or otherwise.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16.</w:t>
        <w:tab/>
        <w:t>Exhibits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exhibits are filed as part of this registration statement:</w:t>
      </w:r>
    </w:p>
    <w:p>
      <w:pPr>
        <w:spacing w:after="0" w:line="25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45720</wp:posOffset>
            </wp:positionV>
            <wp:extent cx="2384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384425" cy="8255"/>
                    </a:xfrm>
                    <a:prstGeom prst="rect">
                      <a:avLst/>
                    </a:prstGeom>
                    <a:noFill/>
                  </pic:spPr>
                </pic:pic>
              </a:graphicData>
            </a:graphic>
          </wp:anchor>
        </w:drawing>
      </w:r>
    </w:p>
    <w:p>
      <w:pPr>
        <w:spacing w:after="0" w:line="106"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5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45"/>
        </w:trPr>
        <w:tc>
          <w:tcPr>
            <w:tcW w:w="220" w:type="dxa"/>
            <w:vAlign w:val="bottom"/>
            <w:tcBorders>
              <w:top w:val="single" w:sz="8" w:color="auto"/>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40" w:type="dxa"/>
            <w:vAlign w:val="bottom"/>
            <w:tcBorders>
              <w:top w:val="single" w:sz="8" w:color="auto"/>
              <w:bottom w:val="single" w:sz="8" w:color="CCEEFF"/>
            </w:tcBorders>
          </w:tcPr>
          <w:p>
            <w:pPr>
              <w:spacing w:after="0"/>
              <w:rPr>
                <w:sz w:val="3"/>
                <w:szCs w:val="3"/>
                <w:color w:val="auto"/>
              </w:rPr>
            </w:pPr>
          </w:p>
        </w:tc>
        <w:tc>
          <w:tcPr>
            <w:tcW w:w="300" w:type="dxa"/>
            <w:vAlign w:val="bottom"/>
            <w:tcBorders>
              <w:top w:val="single" w:sz="8" w:color="auto"/>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9"/>
        </w:trPr>
        <w:tc>
          <w:tcPr>
            <w:tcW w:w="3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 of Underwriting or Purchase Agreement.</w:t>
            </w: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r>
      <w:tr>
        <w:trPr>
          <w:trHeight w:val="222"/>
        </w:trPr>
        <w:tc>
          <w:tcPr>
            <w:tcW w:w="340" w:type="dxa"/>
            <w:vAlign w:val="bottom"/>
            <w:gridSpan w:val="2"/>
          </w:tcPr>
          <w:p>
            <w:pPr>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Amended and Restated Certificate of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S-1/A</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333-181376</w:t>
            </w: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29, 2012</w:t>
            </w:r>
          </w:p>
        </w:tc>
      </w:tr>
      <w:tr>
        <w:trPr>
          <w:trHeight w:val="228"/>
        </w:trPr>
        <w:tc>
          <w:tcPr>
            <w:tcW w:w="2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Incorporation of Shutterstock, Inc.</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52"/>
        </w:trPr>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2"/>
        </w:trPr>
        <w:tc>
          <w:tcPr>
            <w:tcW w:w="34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Amended and Restated Bylaws of Shutterstock,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S-1/A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333-181376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29, 2012</w:t>
            </w:r>
          </w:p>
        </w:tc>
      </w:tr>
      <w:tr>
        <w:trPr>
          <w:trHeight w:val="260"/>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w:t>
            </w:r>
          </w:p>
        </w:tc>
        <w:tc>
          <w:tcPr>
            <w:tcW w:w="7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22"/>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Specimen Common Stock Certificate.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71"/>
        </w:trPr>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22"/>
        </w:trPr>
        <w:tc>
          <w:tcPr>
            <w:tcW w:w="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Opinion of White &amp; Case LLP.</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71"/>
        </w:trPr>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r>
      <w:tr>
        <w:trPr>
          <w:trHeight w:val="222"/>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White &amp; Case LLP (included in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2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5.1).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52"/>
        </w:trPr>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22"/>
        </w:trPr>
        <w:tc>
          <w:tcPr>
            <w:tcW w:w="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Consent of PricewaterhouseCoopers LLP.</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71"/>
        </w:trPr>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r>
      <w:tr>
        <w:trPr>
          <w:trHeight w:val="222"/>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Ernst &amp; Young LLP.</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71"/>
        </w:trPr>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22"/>
        </w:trPr>
        <w:tc>
          <w:tcPr>
            <w:tcW w:w="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Powers of Attorney (included on the signature</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0"/>
        </w:trPr>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pages hereof).</w:t>
            </w:r>
          </w:p>
        </w:tc>
        <w:tc>
          <w:tcPr>
            <w:tcW w:w="7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22"/>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107†</w:t>
            </w:r>
          </w:p>
        </w:tc>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Filing Fee Table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-2483485</wp:posOffset>
            </wp:positionV>
            <wp:extent cx="82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82550" cy="825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-2483485</wp:posOffset>
            </wp:positionV>
            <wp:extent cx="990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9906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-2483485</wp:posOffset>
            </wp:positionV>
            <wp:extent cx="99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9906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-2483485</wp:posOffset>
            </wp:positionV>
            <wp:extent cx="990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99060" cy="825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-2483485</wp:posOffset>
            </wp:positionV>
            <wp:extent cx="49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198755</wp:posOffset>
            </wp:positionV>
            <wp:extent cx="7950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336" w:lineRule="exact"/>
        <w:rPr>
          <w:sz w:val="20"/>
          <w:szCs w:val="20"/>
          <w:color w:val="auto"/>
        </w:rPr>
      </w:pPr>
    </w:p>
    <w:p>
      <w:pPr>
        <w:jc w:val="both"/>
        <w:ind w:left="780" w:right="639" w:hanging="344"/>
        <w:spacing w:after="0" w:line="232" w:lineRule="auto"/>
        <w:tabs>
          <w:tab w:leader="none" w:pos="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as an exhibit to a post-effective amendment to this registration statement or as an exhibit to a Current Report on Form 8-K or other report to be filed by the Company pursuant to Section 13(a) or 15(d) of the Exchange Act and incorporated herein by reference.</w:t>
      </w:r>
    </w:p>
    <w:p>
      <w:pPr>
        <w:spacing w:after="0" w:line="16" w:lineRule="exact"/>
        <w:rPr>
          <w:sz w:val="20"/>
          <w:szCs w:val="20"/>
          <w:color w:val="auto"/>
        </w:rPr>
      </w:pPr>
    </w:p>
    <w:p>
      <w:pPr>
        <w:ind w:left="780" w:hanging="344"/>
        <w:spacing w:after="0"/>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93"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119" w:lineRule="exact"/>
        <w:rPr>
          <w:sz w:val="20"/>
          <w:szCs w:val="20"/>
          <w:color w:val="auto"/>
        </w:rPr>
      </w:pPr>
    </w:p>
    <w:p>
      <w:pPr>
        <w:ind w:left="780" w:hanging="344"/>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7" w:lineRule="exact"/>
        <w:rPr>
          <w:rFonts w:ascii="Times New Roman" w:cs="Times New Roman" w:eastAsia="Times New Roman" w:hAnsi="Times New Roman"/>
          <w:sz w:val="17"/>
          <w:szCs w:val="17"/>
          <w:color w:val="auto"/>
        </w:rPr>
      </w:pPr>
    </w:p>
    <w:p>
      <w:pPr>
        <w:ind w:left="1120" w:right="859" w:hanging="337"/>
        <w:spacing w:after="0" w:line="294" w:lineRule="auto"/>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42" w:lineRule="exact"/>
        <w:rPr>
          <w:rFonts w:ascii="Times New Roman" w:cs="Times New Roman" w:eastAsia="Times New Roman" w:hAnsi="Times New Roman"/>
          <w:sz w:val="17"/>
          <w:szCs w:val="17"/>
          <w:color w:val="auto"/>
        </w:rPr>
      </w:pPr>
    </w:p>
    <w:p>
      <w:pPr>
        <w:ind w:left="1480" w:hanging="349"/>
        <w:spacing w:after="0"/>
        <w:tabs>
          <w:tab w:leader="none" w:pos="148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17" w:lineRule="exact"/>
        <w:rPr>
          <w:rFonts w:ascii="Times New Roman" w:cs="Times New Roman" w:eastAsia="Times New Roman" w:hAnsi="Times New Roman"/>
          <w:sz w:val="17"/>
          <w:szCs w:val="17"/>
          <w:color w:val="auto"/>
        </w:rPr>
      </w:pPr>
    </w:p>
    <w:p>
      <w:pPr>
        <w:ind w:left="1480" w:right="639" w:hanging="349"/>
        <w:spacing w:after="0" w:line="275" w:lineRule="auto"/>
        <w:tabs>
          <w:tab w:leader="none" w:pos="148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58" w:lineRule="exact"/>
        <w:rPr>
          <w:rFonts w:ascii="Times New Roman" w:cs="Times New Roman" w:eastAsia="Times New Roman" w:hAnsi="Times New Roman"/>
          <w:sz w:val="17"/>
          <w:szCs w:val="17"/>
          <w:color w:val="auto"/>
        </w:rPr>
      </w:pPr>
    </w:p>
    <w:p>
      <w:pPr>
        <w:ind w:left="1480" w:right="559" w:hanging="349"/>
        <w:spacing w:after="0" w:line="294" w:lineRule="auto"/>
        <w:tabs>
          <w:tab w:leader="none" w:pos="148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43" w:lineRule="exact"/>
        <w:rPr>
          <w:sz w:val="20"/>
          <w:szCs w:val="20"/>
          <w:color w:val="auto"/>
        </w:rPr>
      </w:pPr>
    </w:p>
    <w:p>
      <w:pPr>
        <w:ind w:left="1140" w:right="499"/>
        <w:spacing w:after="0" w:line="265" w:lineRule="auto"/>
        <w:rPr>
          <w:sz w:val="20"/>
          <w:szCs w:val="20"/>
          <w:color w:val="auto"/>
        </w:rPr>
      </w:pPr>
      <w:r>
        <w:rPr>
          <w:rFonts w:ascii="Times New Roman" w:cs="Times New Roman" w:eastAsia="Times New Roman" w:hAnsi="Times New Roman"/>
          <w:sz w:val="17"/>
          <w:szCs w:val="17"/>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8" w:lineRule="exact"/>
        <w:rPr>
          <w:sz w:val="20"/>
          <w:szCs w:val="20"/>
          <w:color w:val="auto"/>
        </w:rPr>
      </w:pPr>
    </w:p>
    <w:p>
      <w:pPr>
        <w:ind w:left="1120" w:right="599" w:hanging="337"/>
        <w:spacing w:after="0" w:line="268" w:lineRule="auto"/>
        <w:tabs>
          <w:tab w:leader="none" w:pos="1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5" w:lineRule="exact"/>
        <w:rPr>
          <w:rFonts w:ascii="Times New Roman" w:cs="Times New Roman" w:eastAsia="Times New Roman" w:hAnsi="Times New Roman"/>
          <w:sz w:val="17"/>
          <w:szCs w:val="17"/>
          <w:color w:val="auto"/>
        </w:rPr>
      </w:pPr>
    </w:p>
    <w:p>
      <w:pPr>
        <w:ind w:left="1120" w:right="479" w:hanging="337"/>
        <w:spacing w:after="0" w:line="294" w:lineRule="auto"/>
        <w:tabs>
          <w:tab w:leader="none" w:pos="1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127635</wp:posOffset>
            </wp:positionV>
            <wp:extent cx="6756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1120" w:hanging="337"/>
        <w:spacing w:after="0"/>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7"/>
          <w:szCs w:val="17"/>
          <w:color w:val="auto"/>
        </w:rPr>
      </w:pPr>
    </w:p>
    <w:p>
      <w:pPr>
        <w:ind w:left="1480" w:right="679" w:hanging="349"/>
        <w:spacing w:after="0" w:line="275"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8" w:lineRule="exact"/>
        <w:rPr>
          <w:rFonts w:ascii="Times New Roman" w:cs="Times New Roman" w:eastAsia="Times New Roman" w:hAnsi="Times New Roman"/>
          <w:sz w:val="17"/>
          <w:szCs w:val="17"/>
          <w:color w:val="auto"/>
        </w:rPr>
      </w:pPr>
    </w:p>
    <w:p>
      <w:pPr>
        <w:ind w:left="1480" w:right="599" w:hanging="349"/>
        <w:spacing w:after="0" w:line="267"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480" w:right="47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6" w:lineRule="exact"/>
        <w:rPr>
          <w:rFonts w:ascii="Times New Roman" w:cs="Times New Roman" w:eastAsia="Times New Roman" w:hAnsi="Times New Roman"/>
          <w:sz w:val="17"/>
          <w:szCs w:val="17"/>
          <w:color w:val="auto"/>
        </w:rPr>
      </w:pPr>
    </w:p>
    <w:p>
      <w:pPr>
        <w:ind w:left="1120" w:right="879" w:hanging="337"/>
        <w:spacing w:after="0" w:line="294" w:lineRule="auto"/>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w:t>
      </w:r>
    </w:p>
    <w:p>
      <w:pPr>
        <w:spacing w:after="0" w:line="42" w:lineRule="exact"/>
        <w:rPr>
          <w:rFonts w:ascii="Times New Roman" w:cs="Times New Roman" w:eastAsia="Times New Roman" w:hAnsi="Times New Roman"/>
          <w:sz w:val="17"/>
          <w:szCs w:val="17"/>
          <w:color w:val="auto"/>
        </w:rPr>
      </w:pPr>
    </w:p>
    <w:p>
      <w:pPr>
        <w:ind w:left="1140" w:right="45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rFonts w:ascii="Times New Roman" w:cs="Times New Roman" w:eastAsia="Times New Roman" w:hAnsi="Times New Roman"/>
          <w:sz w:val="17"/>
          <w:szCs w:val="17"/>
          <w:color w:val="auto"/>
        </w:rPr>
      </w:pPr>
    </w:p>
    <w:p>
      <w:pPr>
        <w:ind w:left="1480" w:right="979" w:hanging="349"/>
        <w:spacing w:after="0" w:line="294"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42" w:lineRule="exact"/>
        <w:rPr>
          <w:rFonts w:ascii="Times New Roman" w:cs="Times New Roman" w:eastAsia="Times New Roman" w:hAnsi="Times New Roman"/>
          <w:sz w:val="17"/>
          <w:szCs w:val="17"/>
          <w:color w:val="auto"/>
        </w:rPr>
      </w:pPr>
    </w:p>
    <w:p>
      <w:pPr>
        <w:ind w:left="1480" w:right="899" w:hanging="349"/>
        <w:spacing w:after="0" w:line="294"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42" w:lineRule="exact"/>
        <w:rPr>
          <w:rFonts w:ascii="Times New Roman" w:cs="Times New Roman" w:eastAsia="Times New Roman" w:hAnsi="Times New Roman"/>
          <w:sz w:val="17"/>
          <w:szCs w:val="17"/>
          <w:color w:val="auto"/>
        </w:rPr>
      </w:pPr>
    </w:p>
    <w:p>
      <w:pPr>
        <w:jc w:val="both"/>
        <w:ind w:left="1480" w:right="1159" w:hanging="349"/>
        <w:spacing w:after="0" w:line="275"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8" w:lineRule="exact"/>
        <w:rPr>
          <w:rFonts w:ascii="Times New Roman" w:cs="Times New Roman" w:eastAsia="Times New Roman" w:hAnsi="Times New Roman"/>
          <w:sz w:val="17"/>
          <w:szCs w:val="17"/>
          <w:color w:val="auto"/>
        </w:rPr>
      </w:pPr>
    </w:p>
    <w:p>
      <w:pPr>
        <w:ind w:left="1480" w:right="719" w:hanging="349"/>
        <w:spacing w:after="0" w:line="294" w:lineRule="auto"/>
        <w:tabs>
          <w:tab w:leader="none" w:pos="1480"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42" w:lineRule="exact"/>
        <w:rPr>
          <w:rFonts w:ascii="Times New Roman" w:cs="Times New Roman" w:eastAsia="Times New Roman" w:hAnsi="Times New Roman"/>
          <w:sz w:val="17"/>
          <w:szCs w:val="17"/>
          <w:color w:val="auto"/>
        </w:rPr>
      </w:pPr>
    </w:p>
    <w:p>
      <w:pPr>
        <w:ind w:left="780" w:right="459" w:hanging="344"/>
        <w:spacing w:after="0" w:line="263" w:lineRule="auto"/>
        <w:tabs>
          <w:tab w:leader="none" w:pos="7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left="780" w:right="459" w:hanging="344"/>
        <w:spacing w:after="0" w:line="259" w:lineRule="auto"/>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135890</wp:posOffset>
            </wp:positionV>
            <wp:extent cx="6756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6756400" cy="1651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9" w:lineRule="exact"/>
        <w:rPr>
          <w:sz w:val="20"/>
          <w:szCs w:val="20"/>
          <w:color w:val="auto"/>
        </w:rPr>
      </w:pPr>
    </w:p>
    <w:p>
      <w:pPr>
        <w:ind w:left="440" w:right="539"/>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December 21, 2023.</w:t>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SHUTTERSTOCK, INC.</w:t>
      </w:r>
    </w:p>
    <w:p>
      <w:pPr>
        <w:spacing w:after="0" w:line="200" w:lineRule="exact"/>
        <w:rPr>
          <w:sz w:val="20"/>
          <w:szCs w:val="20"/>
          <w:color w:val="auto"/>
        </w:rPr>
      </w:pPr>
    </w:p>
    <w:p>
      <w:pPr>
        <w:spacing w:after="0" w:line="230" w:lineRule="exact"/>
        <w:rPr>
          <w:sz w:val="20"/>
          <w:szCs w:val="20"/>
          <w:color w:val="auto"/>
        </w:rPr>
      </w:pPr>
    </w:p>
    <w:p>
      <w:pPr>
        <w:ind w:left="4700"/>
        <w:spacing w:after="0"/>
        <w:tabs>
          <w:tab w:leader="none" w:pos="5120" w:val="left"/>
        </w:tabs>
        <w:rPr>
          <w:sz w:val="20"/>
          <w:szCs w:val="20"/>
          <w:color w:val="auto"/>
        </w:rPr>
      </w:pPr>
      <w:r>
        <w:rPr>
          <w:rFonts w:ascii="Times New Roman" w:cs="Times New Roman" w:eastAsia="Times New Roman" w:hAnsi="Times New Roman"/>
          <w:sz w:val="17"/>
          <w:szCs w:val="17"/>
          <w:color w:val="auto"/>
        </w:rPr>
        <w:t>By:</w:t>
        <w:tab/>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61595</wp:posOffset>
            </wp:positionV>
            <wp:extent cx="2177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Paul J. Hennessy</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170" w:lineRule="exact"/>
        <w:rPr>
          <w:sz w:val="20"/>
          <w:szCs w:val="20"/>
          <w:color w:val="auto"/>
        </w:rPr>
      </w:pPr>
    </w:p>
    <w:p>
      <w:pPr>
        <w:ind w:left="440" w:right="499"/>
        <w:spacing w:after="0" w:line="260"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Paul Hennessy, Jarrod Yahes and John Lapham,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85" w:lineRule="exact"/>
        <w:rPr>
          <w:sz w:val="20"/>
          <w:szCs w:val="20"/>
          <w:color w:val="auto"/>
        </w:rPr>
      </w:pPr>
    </w:p>
    <w:p>
      <w:pPr>
        <w:ind w:left="440" w:right="1039"/>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p>
      <w:pPr>
        <w:ind w:left="1520"/>
        <w:spacing w:after="0"/>
        <w:tabs>
          <w:tab w:leader="none" w:pos="4780" w:val="left"/>
          <w:tab w:leader="none" w:pos="7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45720</wp:posOffset>
            </wp:positionV>
            <wp:extent cx="5166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1663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Paul J. Hennessy</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84"/>
        </w:trPr>
        <w:tc>
          <w:tcPr>
            <w:tcW w:w="2520" w:type="dxa"/>
            <w:vAlign w:val="bottom"/>
            <w:tcBorders>
              <w:bottom w:val="single" w:sz="8" w:color="auto"/>
            </w:tcBorders>
          </w:tcPr>
          <w:p>
            <w:pPr>
              <w:spacing w:after="0"/>
              <w:rPr>
                <w:sz w:val="7"/>
                <w:szCs w:val="7"/>
                <w:color w:val="auto"/>
              </w:rPr>
            </w:pPr>
          </w:p>
        </w:tc>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Paul J. Hennessy</w:t>
            </w:r>
          </w:p>
        </w:tc>
        <w:tc>
          <w:tcPr>
            <w:tcW w:w="33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Jarrod Yahes</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84"/>
        </w:trPr>
        <w:tc>
          <w:tcPr>
            <w:tcW w:w="2520" w:type="dxa"/>
            <w:vAlign w:val="bottom"/>
            <w:tcBorders>
              <w:bottom w:val="single" w:sz="8" w:color="auto"/>
            </w:tcBorders>
          </w:tcPr>
          <w:p>
            <w:pPr>
              <w:spacing w:after="0"/>
              <w:rPr>
                <w:sz w:val="7"/>
                <w:szCs w:val="7"/>
                <w:color w:val="auto"/>
              </w:rPr>
            </w:pPr>
          </w:p>
        </w:tc>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Jarrod Yahes</w:t>
            </w:r>
          </w:p>
        </w:tc>
        <w:tc>
          <w:tcPr>
            <w:tcW w:w="33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Steven Ciardiello</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84"/>
        </w:trPr>
        <w:tc>
          <w:tcPr>
            <w:tcW w:w="2520" w:type="dxa"/>
            <w:vAlign w:val="bottom"/>
            <w:tcBorders>
              <w:bottom w:val="single" w:sz="8" w:color="auto"/>
            </w:tcBorders>
          </w:tcPr>
          <w:p>
            <w:pPr>
              <w:spacing w:after="0"/>
              <w:rPr>
                <w:sz w:val="7"/>
                <w:szCs w:val="7"/>
                <w:color w:val="auto"/>
              </w:rPr>
            </w:pPr>
          </w:p>
        </w:tc>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Steven Ciardiello</w:t>
            </w:r>
          </w:p>
        </w:tc>
        <w:tc>
          <w:tcPr>
            <w:tcW w:w="336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Jonathan Oringer</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Chairman of the Board</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65"/>
        </w:trPr>
        <w:tc>
          <w:tcPr>
            <w:tcW w:w="25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Jonathan Oringer</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Rachna Bhasin</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65"/>
        </w:trPr>
        <w:tc>
          <w:tcPr>
            <w:tcW w:w="25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Rachna Bhasin</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Deirdre M. Bigley</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65"/>
        </w:trPr>
        <w:tc>
          <w:tcPr>
            <w:tcW w:w="25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Deirdre M. Bigley</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Alfonse Upshaw</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65"/>
        </w:trPr>
        <w:tc>
          <w:tcPr>
            <w:tcW w:w="25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Alfonse Upshaw</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 Thomas R. Evans</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21, 2023</w:t>
            </w:r>
          </w:p>
        </w:tc>
        <w:tc>
          <w:tcPr>
            <w:tcW w:w="0" w:type="dxa"/>
            <w:vAlign w:val="bottom"/>
          </w:tcPr>
          <w:p>
            <w:pPr>
              <w:spacing w:after="0"/>
              <w:rPr>
                <w:sz w:val="1"/>
                <w:szCs w:val="1"/>
                <w:color w:val="auto"/>
              </w:rPr>
            </w:pPr>
          </w:p>
        </w:tc>
      </w:tr>
      <w:tr>
        <w:trPr>
          <w:trHeight w:val="65"/>
        </w:trPr>
        <w:tc>
          <w:tcPr>
            <w:tcW w:w="25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Thomas R. Evans</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2520" w:type="dxa"/>
            <w:vAlign w:val="bottom"/>
          </w:tcPr>
          <w:p>
            <w:pPr>
              <w:spacing w:after="0"/>
              <w:rPr>
                <w:sz w:val="24"/>
                <w:szCs w:val="24"/>
                <w:color w:val="auto"/>
              </w:rPr>
            </w:pPr>
          </w:p>
        </w:tc>
        <w:tc>
          <w:tcPr>
            <w:tcW w:w="33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II-5</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21" w:name="page22"/>
    <w:bookmarkEnd w:id="21"/>
    <w:p>
      <w:pPr>
        <w:ind w:left="9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7198360" cy="4852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98360" cy="4852035"/>
                    </a:xfrm>
                    <a:prstGeom prst="rect">
                      <a:avLst/>
                    </a:prstGeom>
                    <a:noFill/>
                  </pic:spPr>
                </pic:pic>
              </a:graphicData>
            </a:graphic>
          </wp:anchor>
        </w:drawing>
      </w:r>
    </w:p>
    <w:p>
      <w:pPr>
        <w:sectPr>
          <w:pgSz w:w="11900" w:h="16838" w:orient="portrait"/>
          <w:cols w:equalWidth="0" w:num="1">
            <w:col w:w="10120"/>
          </w:cols>
          <w:pgMar w:left="1440" w:top="263"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98360" cy="895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98360" cy="8958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153670</wp:posOffset>
            </wp:positionV>
            <wp:extent cx="1796415" cy="521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1796415"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21,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Shutterstock,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 Fifth Avenue, 20th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-123190</wp:posOffset>
            </wp:positionV>
            <wp:extent cx="1705610" cy="1026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1705610" cy="10267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New York, NY 10118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2" w:lineRule="exact"/>
        <w:rPr>
          <w:sz w:val="20"/>
          <w:szCs w:val="20"/>
          <w:color w:val="auto"/>
        </w:rPr>
      </w:pPr>
    </w:p>
    <w:p>
      <w:pPr>
        <w:jc w:val="both"/>
        <w:ind w:firstLine="626"/>
        <w:spacing w:after="0" w:line="262" w:lineRule="auto"/>
        <w:rPr>
          <w:sz w:val="20"/>
          <w:szCs w:val="20"/>
          <w:color w:val="auto"/>
        </w:rPr>
      </w:pPr>
      <w:r>
        <w:rPr>
          <w:rFonts w:ascii="Times New Roman" w:cs="Times New Roman" w:eastAsia="Times New Roman" w:hAnsi="Times New Roman"/>
          <w:sz w:val="17"/>
          <w:szCs w:val="17"/>
          <w:color w:val="auto"/>
        </w:rPr>
        <w:t>We have acted as counsel to Shutterstock, Inc., a corporation organized under the laws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by the Company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of a shelf registration statement on Form S-3 (as amended,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on the date hereof, including a base prospectus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which provides that it may be supplemented by one or more prospectus supplements (each such prospectus supplement, together with the Base Prospectus, a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relating to the registration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of the offer and sale by the Company, from time to time, of an unlimited number of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Company’s common stock, par value $0.01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The Shares that are being registered under the Registration Statement will be offered on a continuous or delayed basis pursuant to the provisions of Rule 415 under the Securities Act.</w:t>
      </w:r>
    </w:p>
    <w:p>
      <w:pPr>
        <w:spacing w:after="0" w:line="175"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This opinion letter is rendered in accordance with the requirements of Item 601(b)(5) of Regulation S-K under the Securities Act, and no opinion is expressed herein as to any matter pertaining to the contents of the Registration Statement, the Base Prospectus or any Prospectus filed pursuant to Rule 424(b) with respect thereto, other than as expressly stated herein with respect to the issue of the Shares.</w:t>
      </w:r>
    </w:p>
    <w:p>
      <w:pPr>
        <w:spacing w:after="0" w:line="163" w:lineRule="exact"/>
        <w:rPr>
          <w:sz w:val="20"/>
          <w:szCs w:val="20"/>
          <w:color w:val="auto"/>
        </w:rPr>
      </w:pPr>
    </w:p>
    <w:p>
      <w:pPr>
        <w:jc w:val="both"/>
        <w:ind w:firstLine="626"/>
        <w:spacing w:after="0" w:line="275" w:lineRule="auto"/>
        <w:rPr>
          <w:sz w:val="20"/>
          <w:szCs w:val="20"/>
          <w:color w:val="auto"/>
        </w:rPr>
      </w:pPr>
      <w:r>
        <w:rPr>
          <w:rFonts w:ascii="Times New Roman" w:cs="Times New Roman" w:eastAsia="Times New Roman" w:hAnsi="Times New Roman"/>
          <w:sz w:val="17"/>
          <w:szCs w:val="17"/>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371" w:lineRule="exact"/>
        <w:rPr>
          <w:sz w:val="20"/>
          <w:szCs w:val="20"/>
          <w:color w:val="auto"/>
        </w:rPr>
      </w:pPr>
    </w:p>
    <w:p>
      <w:pPr>
        <w:ind w:left="380" w:hanging="376"/>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pacing w:after="0" w:line="221" w:lineRule="exact"/>
        <w:rPr>
          <w:rFonts w:ascii="Times New Roman" w:cs="Times New Roman" w:eastAsia="Times New Roman" w:hAnsi="Times New Roman"/>
          <w:sz w:val="17"/>
          <w:szCs w:val="17"/>
          <w:color w:val="auto"/>
        </w:rPr>
      </w:pPr>
    </w:p>
    <w:p>
      <w:pPr>
        <w:ind w:left="380" w:hanging="376"/>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Prospectus;</w:t>
      </w:r>
    </w:p>
    <w:p>
      <w:pPr>
        <w:spacing w:after="0" w:line="221" w:lineRule="exact"/>
        <w:rPr>
          <w:rFonts w:ascii="Times New Roman" w:cs="Times New Roman" w:eastAsia="Times New Roman" w:hAnsi="Times New Roman"/>
          <w:sz w:val="17"/>
          <w:szCs w:val="17"/>
          <w:color w:val="auto"/>
        </w:rPr>
      </w:pPr>
    </w:p>
    <w:p>
      <w:pPr>
        <w:ind w:left="340" w:hanging="336"/>
        <w:spacing w:after="0" w:line="294"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Amended and Restated Certificate of Incorporation of the Company (the “Certificate of Incorporation”), certified by the Secretary of State of the State of Delaware on October 12, 2012;</w:t>
      </w:r>
    </w:p>
    <w:p>
      <w:pPr>
        <w:spacing w:after="0" w:line="146" w:lineRule="exact"/>
        <w:rPr>
          <w:rFonts w:ascii="Times New Roman" w:cs="Times New Roman" w:eastAsia="Times New Roman" w:hAnsi="Times New Roman"/>
          <w:sz w:val="17"/>
          <w:szCs w:val="17"/>
          <w:color w:val="auto"/>
        </w:rPr>
      </w:pPr>
    </w:p>
    <w:p>
      <w:pPr>
        <w:ind w:left="340" w:hanging="336"/>
        <w:spacing w:after="0"/>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Amended and Restated Bylaws of the Company as in effect on October 16, 2012, certified by the Secretary of the Company; and</w:t>
      </w:r>
    </w:p>
    <w:p>
      <w:pPr>
        <w:spacing w:after="0" w:line="221" w:lineRule="exact"/>
        <w:rPr>
          <w:rFonts w:ascii="Times New Roman" w:cs="Times New Roman" w:eastAsia="Times New Roman" w:hAnsi="Times New Roman"/>
          <w:sz w:val="17"/>
          <w:szCs w:val="17"/>
          <w:color w:val="auto"/>
        </w:rPr>
      </w:pPr>
    </w:p>
    <w:p>
      <w:pPr>
        <w:ind w:left="340" w:hanging="336"/>
        <w:spacing w:after="0"/>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resolutions adopted by the Company’s board of directors (the “Board”) on December 14, 2023; and</w:t>
      </w:r>
    </w:p>
    <w:p>
      <w:pPr>
        <w:spacing w:after="0" w:line="221" w:lineRule="exact"/>
        <w:rPr>
          <w:rFonts w:ascii="Times New Roman" w:cs="Times New Roman" w:eastAsia="Times New Roman" w:hAnsi="Times New Roman"/>
          <w:sz w:val="17"/>
          <w:szCs w:val="17"/>
          <w:color w:val="auto"/>
        </w:rPr>
      </w:pPr>
    </w:p>
    <w:p>
      <w:pPr>
        <w:ind w:left="340" w:hanging="336"/>
        <w:spacing w:after="0" w:line="294"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 certificate, dated the date hereof, of the Delaware Secretary of State, dated December 19, 2023, certifying the existence and good standing of the Company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212725</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4" w:name="page25"/>
    <w:bookmarkEnd w:id="24"/>
    <w:p>
      <w:pPr>
        <w:jc w:val="both"/>
        <w:ind w:firstLine="626"/>
        <w:spacing w:after="0" w:line="261" w:lineRule="auto"/>
        <w:rPr>
          <w:sz w:val="20"/>
          <w:szCs w:val="20"/>
          <w:color w:val="auto"/>
        </w:rPr>
      </w:pPr>
      <w:r>
        <w:rPr>
          <w:rFonts w:ascii="Times New Roman" w:cs="Times New Roman" w:eastAsia="Times New Roman" w:hAnsi="Times New Roman"/>
          <w:sz w:val="17"/>
          <w:szCs w:val="17"/>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77" w:lineRule="exact"/>
        <w:rPr>
          <w:sz w:val="20"/>
          <w:szCs w:val="20"/>
          <w:color w:val="auto"/>
        </w:rPr>
      </w:pPr>
    </w:p>
    <w:p>
      <w:pPr>
        <w:jc w:val="both"/>
        <w:ind w:firstLine="626"/>
        <w:spacing w:after="0" w:line="260" w:lineRule="auto"/>
        <w:rPr>
          <w:sz w:val="20"/>
          <w:szCs w:val="20"/>
          <w:color w:val="auto"/>
        </w:rPr>
      </w:pPr>
      <w:r>
        <w:rPr>
          <w:rFonts w:ascii="Times New Roman" w:cs="Times New Roman" w:eastAsia="Times New Roman" w:hAnsi="Times New Roman"/>
          <w:sz w:val="17"/>
          <w:szCs w:val="17"/>
          <w:color w:val="auto"/>
        </w:rPr>
        <w:t>In rendering the opinions contained herein, we have assumed that: (i) the Registration Statement and any supplements and amendments thereto will be declared effective and will comply with all applicable laws (and will remain effective and in compliance at the time of issuance or resale of any Shares thereunder); (ii) a prospectus supplement describing the Shares offered pursuant to the Registration Statement, to the extent required by applicable law and relevant rules and regulations of the Commission, will be timely filed with the Commission and will comply with all applicable laws; (iii) the definitive terms of the Shares will have been established in accordance with the authorizing resolutions adopted by the Board (or an authorized committee thereof), the Certificate of Incorporation and applicable law; (iv) the Company will issue and deliver the Shares in the manner contemplated by the Registration Statement including the applicable Prospectus within the limits of the then remaining authorized but unissued shares of Common Stock; (v) the resolutions authorizing the Company to issue, offer and sell the Shares will have been adopted by the Board (or an authorized committee thereof) and will be in full force and effect at all times when the Shares are offered or sold by the Company; and (vi) the Shares will be issued and sold in compliance with applicable federal and state securities laws or applicable laws or regulations or any agreement or other instrument binding the Company.</w:t>
      </w:r>
    </w:p>
    <w:p>
      <w:pPr>
        <w:spacing w:after="0" w:line="17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We have further assumed that the Common Stock will be authorized and countersigned by the transfer agent or registrar therefor and delivered by the Company in accordance with applicable laws and sold as contemplated in the Registration Statement.</w:t>
      </w:r>
    </w:p>
    <w:p>
      <w:pPr>
        <w:spacing w:after="0" w:line="147"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Based upon the foregoing assumptions, and subject to the qualifications and limitations stated herein, having considered such questions of law as we have deemed necessary as a basis for the opinion expressed below, we are of the opinion that the Shares, upon receipt by the Company of such lawful consideration therefor as the Board (or an authorized committee thereof) may determine, will be validly issued, fully paid and non-assessable shares of Common Stock of the Company.</w:t>
      </w:r>
    </w:p>
    <w:p>
      <w:pPr>
        <w:spacing w:after="0" w:line="170"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The opinion expressed above is limited to questions arising under the Delaware General Corporation Law. We do not express any opinion as to the laws of any other jurisdiction.</w:t>
      </w:r>
    </w:p>
    <w:p>
      <w:pPr>
        <w:spacing w:after="0" w:line="147" w:lineRule="exact"/>
        <w:rPr>
          <w:sz w:val="20"/>
          <w:szCs w:val="20"/>
          <w:color w:val="auto"/>
        </w:rPr>
      </w:pPr>
    </w:p>
    <w:p>
      <w:pPr>
        <w:jc w:val="both"/>
        <w:ind w:firstLine="626"/>
        <w:spacing w:after="0" w:line="294" w:lineRule="auto"/>
        <w:rPr>
          <w:sz w:val="20"/>
          <w:szCs w:val="20"/>
          <w:color w:val="auto"/>
        </w:rPr>
      </w:pPr>
      <w:r>
        <w:rPr>
          <w:rFonts w:ascii="Times New Roman" w:cs="Times New Roman" w:eastAsia="Times New Roman" w:hAnsi="Times New Roman"/>
          <w:sz w:val="17"/>
          <w:szCs w:val="17"/>
          <w:color w:val="auto"/>
        </w:rPr>
        <w:t>This opinion letter is for your benefit in connection with the Registration Statement and may be relied upon by you and by persons entitled to rely upon it pursuant to the applicable provisions of the Securities Act.</w:t>
      </w:r>
    </w:p>
    <w:p>
      <w:pPr>
        <w:spacing w:after="0" w:line="147"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70" w:lineRule="exact"/>
        <w:rPr>
          <w:sz w:val="20"/>
          <w:szCs w:val="20"/>
          <w:color w:val="auto"/>
        </w:rPr>
      </w:pPr>
    </w:p>
    <w:p>
      <w:pPr>
        <w:jc w:val="both"/>
        <w:ind w:firstLine="626"/>
        <w:spacing w:after="0" w:line="268" w:lineRule="auto"/>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 and to the reference to our firm as counsel for the Company that has passed on the validity of the Shares appearing under the caption “Legal Matters” in the Base Prospectus forming part of the Registration Statement or any Prospectus. In giving this consent, we do not thereby admit that we are within the category of persons whose consent is required under Section 7 of the Securities Act or the rules and regulations of the Commission thereunder.</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White &amp; Case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KPD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S-3 of Shutterstock, Inc. of our report dated February 14,</w:t>
      </w:r>
    </w:p>
    <w:p>
      <w:pPr>
        <w:spacing w:after="0" w:line="3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2023 relating to the financial statements and the effectiveness of internal control over financial reporting, which appears in Shutterstock, Inc.'s Annual Report on Form 10-K for the year ended December 31, 2022.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23.3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Auditors</w:t>
      </w:r>
    </w:p>
    <w:p>
      <w:pPr>
        <w:spacing w:after="0" w:line="22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this Registration Statement (Form S-3) and related Prospectus of Shutterstock, Inc. for the registration of common stock and to the incorporation by reference therein of our report dated August 24, 2023, with respect to the consolidated financial statements of Giphy, Inc. included in the Current Report on Form 8-K/A of Shutterstock, Inc. dated August 30, 2023, filed with the Securities and Exchange Commission.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7" w:name="page28"/>
    <w:bookmarkEnd w:id="27"/>
    <w:p>
      <w:pPr>
        <w:ind w:left="103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676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36765" cy="33020"/>
                    </a:xfrm>
                    <a:prstGeom prst="rect">
                      <a:avLst/>
                    </a:prstGeom>
                    <a:noFill/>
                  </pic:spPr>
                </pic:pic>
              </a:graphicData>
            </a:graphic>
          </wp:anchor>
        </w:drawing>
        <w:t>Exhibit 107</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Type)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4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54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Filing Fee</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Previously</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Paid In</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Connection</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Proposed</w:t>
            </w: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Unsold</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Calculation</w:t>
            </w: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Maximum</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Maximum</w:t>
            </w: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or Carry</w:t>
            </w: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Aggregate</w:t>
            </w: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 of</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 be</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Class</w:t>
            </w: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Price Per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Offering</w:t>
            </w: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Registration</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File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Carried</w:t>
            </w:r>
          </w:p>
        </w:tc>
        <w:tc>
          <w:tcPr>
            <w:tcW w:w="0" w:type="dxa"/>
            <w:vAlign w:val="bottom"/>
          </w:tcPr>
          <w:p>
            <w:pPr>
              <w:spacing w:after="0"/>
              <w:rPr>
                <w:sz w:val="1"/>
                <w:szCs w:val="1"/>
                <w:color w:val="auto"/>
              </w:rPr>
            </w:pPr>
          </w:p>
        </w:tc>
      </w:tr>
      <w:tr>
        <w:trPr>
          <w:trHeight w:val="233"/>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Title</w:t>
            </w:r>
          </w:p>
        </w:tc>
        <w:tc>
          <w:tcPr>
            <w:tcW w:w="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Registered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Unit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Price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4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6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Common</w:t>
            </w:r>
          </w:p>
        </w:tc>
        <w:tc>
          <w:tcPr>
            <w:tcW w:w="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Fees to be</w:t>
            </w:r>
          </w:p>
        </w:tc>
        <w:tc>
          <w:tcPr>
            <w:tcW w:w="720" w:type="dxa"/>
            <w:vAlign w:val="bottom"/>
            <w:tcBorders>
              <w:right w:val="single" w:sz="8" w:color="auto"/>
            </w:tcBorders>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Stock,</w:t>
            </w: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40" w:type="dxa"/>
            <w:vAlign w:val="bottom"/>
            <w:tcBorders>
              <w:left w:val="single" w:sz="8" w:color="auto"/>
              <w:right w:val="single" w:sz="8" w:color="auto"/>
            </w:tcBorders>
            <w:vMerge w:val="continue"/>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par value</w:t>
            </w:r>
          </w:p>
        </w:tc>
        <w:tc>
          <w:tcPr>
            <w:tcW w:w="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Paid</w:t>
            </w:r>
          </w:p>
        </w:tc>
        <w:tc>
          <w:tcPr>
            <w:tcW w:w="720" w:type="dxa"/>
            <w:vAlign w:val="bottom"/>
            <w:tcBorders>
              <w:right w:val="single" w:sz="8" w:color="auto"/>
            </w:tcBorders>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$0.01</w:t>
            </w:r>
          </w:p>
        </w:tc>
        <w:tc>
          <w:tcPr>
            <w:tcW w:w="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Rule 456(b)</w:t>
            </w:r>
          </w:p>
        </w:tc>
        <w:tc>
          <w:tcPr>
            <w:tcW w:w="9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and Rule</w:t>
            </w: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Fees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457(r)(2)</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vMerge w:val="continue"/>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Paid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40" w:type="dxa"/>
            <w:vAlign w:val="bottom"/>
            <w:tcBorders>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Carry</w:t>
            </w:r>
          </w:p>
        </w:tc>
        <w:tc>
          <w:tcPr>
            <w:tcW w:w="72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7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9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5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9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9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9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940" w:hanging="362"/>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registered hereunder may be sold separately or in a combination with other securities registered hereby.</w:t>
      </w:r>
    </w:p>
    <w:p>
      <w:pPr>
        <w:spacing w:after="0" w:line="31" w:lineRule="exact"/>
        <w:rPr>
          <w:rFonts w:ascii="Times New Roman" w:cs="Times New Roman" w:eastAsia="Times New Roman" w:hAnsi="Times New Roman"/>
          <w:sz w:val="17"/>
          <w:szCs w:val="17"/>
          <w:color w:val="auto"/>
        </w:rPr>
      </w:pPr>
    </w:p>
    <w:p>
      <w:pPr>
        <w:ind w:left="900" w:right="200" w:hanging="322"/>
        <w:spacing w:after="0" w:line="256" w:lineRule="auto"/>
        <w:tabs>
          <w:tab w:leader="none" w:pos="94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w:t>
      </w:r>
    </w:p>
    <w:p>
      <w:pPr>
        <w:ind w:left="900" w:right="280" w:hanging="322"/>
        <w:spacing w:after="0" w:line="264" w:lineRule="auto"/>
        <w:tabs>
          <w:tab w:leader="none" w:pos="9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indeterminate aggregate initial offering price or number of shares of Common Stock are being registered as may, from time to time, be at indeterminate prices. Separate consideration may or may not be received for share of Common Stock that are issuable on exercise, conversion or exchange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240"/>
      </w:cols>
      <w:pgMar w:left="320" w:top="2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646"/>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3">
    <w:nsid w:val="41A7C4C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28" Type="http://schemas.openxmlformats.org/officeDocument/2006/relationships/hyperlink" Target="https://www.sec.gov/ix?doc=/Archives/edgar/data/1549346/000154934623000011/sstk-20221231.htm" TargetMode="External"/><Relationship Id="rId29" Type="http://schemas.openxmlformats.org/officeDocument/2006/relationships/hyperlink" Target="https://www.sec.gov/ix?doc=/Archives/edgar/data/1549346/000114036123020258/ny20006980x1_def14a.htm" TargetMode="External"/><Relationship Id="rId30" Type="http://schemas.openxmlformats.org/officeDocument/2006/relationships/hyperlink" Target="https://www.sec.gov/ix?doc=/Archives/edgar/data/1549346/000154934623000021/sstk-20230331.htm" TargetMode="External"/><Relationship Id="rId31" Type="http://schemas.openxmlformats.org/officeDocument/2006/relationships/hyperlink" Target="https://www.sec.gov/ix?doc=/Archives/edgar/data/1549346/000154934623000033/sstk-20230630.htm" TargetMode="External"/><Relationship Id="rId32" Type="http://schemas.openxmlformats.org/officeDocument/2006/relationships/hyperlink" Target="https://www.sec.gov/ix?doc=/Archives/edgar/data/1549346/000154934623000044/sstk-20230930.htm" TargetMode="External"/><Relationship Id="rId33" Type="http://schemas.openxmlformats.org/officeDocument/2006/relationships/hyperlink" Target="https://www.sec.gov/ix?doc=/Archives/edgar/data/1549346/000154934623000003/sstk-20230112.htm" TargetMode="External"/><Relationship Id="rId34" Type="http://schemas.openxmlformats.org/officeDocument/2006/relationships/hyperlink" Target="https://www.sec.gov/ix?doc=/Archives/edgar/data/1549346/000154934623000017/sstk-20230417.htm" TargetMode="External"/><Relationship Id="rId35" Type="http://schemas.openxmlformats.org/officeDocument/2006/relationships/hyperlink" Target="https://www.sec.gov/ix?doc=/Archives/edgar/data/1549346/000114036123026154/brhc20053362_8k.htm" TargetMode="External"/><Relationship Id="rId36" Type="http://schemas.openxmlformats.org/officeDocument/2006/relationships/hyperlink" Target="https://www.sec.gov/ix?doc=/Archives/edgar/data/1549346/000154934623000037/sstk-20231023.htm" TargetMode="External"/><Relationship Id="rId37" Type="http://schemas.openxmlformats.org/officeDocument/2006/relationships/hyperlink" Target="https://www.sec.gov/ix?doc=/Archives/edgar/data/1549346/000114036123058932/ny20016129x2_8k.htm" TargetMode="External"/><Relationship Id="rId38" Type="http://schemas.openxmlformats.org/officeDocument/2006/relationships/hyperlink" Target="http://www.sec.gov/Archives/edgar/data/1549346/000110465912065731/a12-11073_78a12b.htm" TargetMode="External"/><Relationship Id="rId43" Type="http://schemas.openxmlformats.org/officeDocument/2006/relationships/hyperlink" Target="https://www.sec.gov/Archives/edgar/data/1549346/000104746912006975/a2209974zex-3_2.htm" TargetMode="External"/><Relationship Id="rId44" Type="http://schemas.openxmlformats.org/officeDocument/2006/relationships/hyperlink" Target="https://www.sec.gov/Archives/edgar/data/1549346/000104746912006975/a2209974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2023-12-21T16:11:59Z</dcterms:created>
  <dcterms:modified xsi:type="dcterms:W3CDTF">2023-12-21T16:11:59Z</dcterms:modified>
</cp:coreProperties>
</file>