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681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68122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Upshaw Alfonse L</w:t>
              </w:r>
            </w:hyperlink>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180" w:type="dxa"/>
            <w:vAlign w:val="bottom"/>
            <w:gridSpan w:val="6"/>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Shutterstock,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SSTK</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60" w:type="dxa"/>
            <w:vAlign w:val="bottom"/>
            <w:gridSpan w:val="8"/>
            <w:vMerge w:val="continue"/>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2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06/02/2022</w:t>
            </w: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C/O SHUTTERSTOCK, INC.</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7"/>
            <w:vMerge w:val="restart"/>
          </w:tcPr>
          <w:p>
            <w:pPr>
              <w:spacing w:after="0"/>
              <w:rPr>
                <w:sz w:val="20"/>
                <w:szCs w:val="20"/>
                <w:color w:val="auto"/>
              </w:rPr>
            </w:pPr>
            <w:r>
              <w:rPr>
                <w:rFonts w:ascii="Arial" w:cs="Arial" w:eastAsia="Arial" w:hAnsi="Arial"/>
                <w:sz w:val="17"/>
                <w:szCs w:val="17"/>
                <w:color w:val="0000FF"/>
              </w:rPr>
              <w:t>350 FIFTH AVENUE, 21ST FLOOR</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24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00" w:type="dxa"/>
            <w:vAlign w:val="bottom"/>
            <w:gridSpan w:val="3"/>
          </w:tcPr>
          <w:p>
            <w:pPr>
              <w:spacing w:after="0"/>
              <w:rPr>
                <w:sz w:val="20"/>
                <w:szCs w:val="20"/>
                <w:color w:val="auto"/>
              </w:rPr>
            </w:pPr>
            <w:r>
              <w:rPr>
                <w:rFonts w:ascii="Arial" w:cs="Arial" w:eastAsia="Arial" w:hAnsi="Arial"/>
                <w:sz w:val="17"/>
                <w:szCs w:val="17"/>
                <w:color w:val="0000FF"/>
              </w:rPr>
              <w:t>NY</w:t>
            </w:r>
          </w:p>
        </w:tc>
        <w:tc>
          <w:tcPr>
            <w:tcW w:w="1140" w:type="dxa"/>
            <w:vAlign w:val="bottom"/>
          </w:tcPr>
          <w:p>
            <w:pPr>
              <w:ind w:left="20"/>
              <w:spacing w:after="0"/>
              <w:rPr>
                <w:sz w:val="20"/>
                <w:szCs w:val="20"/>
                <w:color w:val="auto"/>
              </w:rPr>
            </w:pPr>
            <w:r>
              <w:rPr>
                <w:rFonts w:ascii="Arial" w:cs="Arial" w:eastAsia="Arial" w:hAnsi="Arial"/>
                <w:sz w:val="17"/>
                <w:szCs w:val="17"/>
                <w:color w:val="0000FF"/>
              </w:rPr>
              <w:t>10118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14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19"/>
          </w:tcPr>
          <w:p>
            <w:pPr>
              <w:ind w:left="5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22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02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1040" w:type="dxa"/>
            <w:vAlign w:val="bottom"/>
            <w:gridSpan w:val="2"/>
            <w:vMerge w:val="restart"/>
          </w:tcPr>
          <w:p>
            <w:pPr>
              <w:jc w:val="right"/>
              <w:ind w:right="116"/>
              <w:spacing w:after="0"/>
              <w:rPr>
                <w:sz w:val="20"/>
                <w:szCs w:val="20"/>
                <w:color w:val="auto"/>
              </w:rPr>
            </w:pPr>
            <w:r>
              <w:rPr>
                <w:rFonts w:ascii="Arial" w:cs="Arial" w:eastAsia="Arial" w:hAnsi="Arial"/>
                <w:sz w:val="13"/>
                <w:szCs w:val="13"/>
                <w:color w:val="0000FF"/>
              </w:rPr>
              <w:t>06/02/2022</w:t>
            </w: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2,255</w:t>
            </w:r>
          </w:p>
        </w:tc>
        <w:tc>
          <w:tcPr>
            <w:tcW w:w="320" w:type="dxa"/>
            <w:vAlign w:val="bottom"/>
          </w:tcPr>
          <w:p>
            <w:pPr>
              <w:spacing w:after="0"/>
              <w:rPr>
                <w:sz w:val="16"/>
                <w:szCs w:val="16"/>
                <w:color w:val="auto"/>
              </w:rPr>
            </w:pPr>
          </w:p>
        </w:tc>
        <w:tc>
          <w:tcPr>
            <w:tcW w:w="80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40"/>
              <w:spacing w:after="0"/>
              <w:rPr>
                <w:sz w:val="20"/>
                <w:szCs w:val="20"/>
                <w:color w:val="auto"/>
              </w:rPr>
            </w:pPr>
            <w:r>
              <w:rPr>
                <w:rFonts w:ascii="Arial" w:cs="Arial" w:eastAsia="Arial" w:hAnsi="Arial"/>
                <w:sz w:val="17"/>
                <w:szCs w:val="17"/>
                <w:color w:val="0000FF"/>
              </w:rPr>
              <w:t>2,255</w:t>
            </w:r>
          </w:p>
        </w:tc>
        <w:tc>
          <w:tcPr>
            <w:tcW w:w="6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2,255</w:t>
            </w:r>
          </w:p>
        </w:tc>
        <w:tc>
          <w:tcPr>
            <w:tcW w:w="28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share of the Issuer's common stock.</w:t>
      </w:r>
    </w:p>
    <w:p>
      <w:pPr>
        <w:spacing w:after="0" w:line="45" w:lineRule="exact"/>
        <w:rPr>
          <w:rFonts w:ascii="Arial" w:cs="Arial" w:eastAsia="Arial" w:hAnsi="Arial"/>
          <w:sz w:val="13"/>
          <w:szCs w:val="13"/>
          <w:color w:val="008000"/>
        </w:rPr>
      </w:pPr>
    </w:p>
    <w:p>
      <w:pPr>
        <w:ind w:left="40" w:right="24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RSU award granted on June 2, 2022 that vests in full on the earlier of June 2, 2023, or the date immediately preceding the 2023 Annual Meeting of Shareholders, subject to the Reporting Person's continued service on such vesting date. Pursuant to the Reporting Person's election, once vested, the settlement of these restricted stock units will be deferred until the earlier of the Reporting Person's termination of service on the Board or a change in control of the Issuer.</w:t>
      </w:r>
    </w:p>
    <w:p>
      <w:pPr>
        <w:spacing w:after="0" w:line="1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John Lapham,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06/06/2022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4468" TargetMode="External"/><Relationship Id="rId13"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2022-06-06T15:26:39Z</dcterms:created>
  <dcterms:modified xsi:type="dcterms:W3CDTF">2022-06-06T15:26:39Z</dcterms:modified>
</cp:coreProperties>
</file>