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36">
        <w:r>
          <w:rPr>
            <w:rFonts w:ascii="Arial" w:cs="Arial" w:eastAsia="Arial" w:hAnsi="Arial"/>
            <w:sz w:val="21"/>
            <w:szCs w:val="21"/>
            <w:u w:val="single" w:color="auto"/>
            <w:color w:val="0000EE"/>
          </w:rPr>
          <w:t>INDEX TO CONSOLIDATED FINANCIAL STATEMENTS</w:t>
        </w:r>
      </w:hyperlink>
    </w:p>
    <w:p>
      <w:pPr>
        <w:spacing w:after="0" w:line="19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August 23, 2013</w:t>
      </w:r>
    </w:p>
    <w:p>
      <w:pPr>
        <w:spacing w:after="0" w:line="204" w:lineRule="exact"/>
        <w:rPr>
          <w:sz w:val="24"/>
          <w:szCs w:val="24"/>
          <w:color w:val="auto"/>
        </w:rPr>
      </w:pPr>
    </w:p>
    <w:p>
      <w:pPr>
        <w:ind w:left="99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139700</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143510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Shutterstock,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tcPr>
          <w:p>
            <w:pPr>
              <w:jc w:val="center"/>
              <w:ind w:right="54"/>
              <w:spacing w:after="0"/>
              <w:rPr>
                <w:sz w:val="20"/>
                <w:szCs w:val="20"/>
                <w:color w:val="auto"/>
              </w:rPr>
            </w:pPr>
            <w:r>
              <w:rPr>
                <w:rFonts w:ascii="Arial" w:cs="Arial" w:eastAsia="Arial" w:hAnsi="Arial"/>
                <w:sz w:val="13"/>
                <w:szCs w:val="13"/>
                <w:b w:val="1"/>
                <w:bCs w:val="1"/>
                <w:color w:val="auto"/>
                <w:w w:val="91"/>
              </w:rPr>
              <w:t>Delaware</w:t>
            </w:r>
          </w:p>
        </w:tc>
        <w:tc>
          <w:tcPr>
            <w:tcW w:w="186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7389</w:t>
            </w:r>
          </w:p>
        </w:tc>
        <w:tc>
          <w:tcPr>
            <w:tcW w:w="1420" w:type="dxa"/>
            <w:vAlign w:val="bottom"/>
          </w:tcPr>
          <w:p>
            <w:pPr>
              <w:jc w:val="center"/>
              <w:ind w:left="114"/>
              <w:spacing w:after="0"/>
              <w:rPr>
                <w:sz w:val="20"/>
                <w:szCs w:val="20"/>
                <w:color w:val="auto"/>
              </w:rPr>
            </w:pPr>
            <w:r>
              <w:rPr>
                <w:rFonts w:ascii="Arial" w:cs="Arial" w:eastAsia="Arial" w:hAnsi="Arial"/>
                <w:sz w:val="13"/>
                <w:szCs w:val="13"/>
                <w:b w:val="1"/>
                <w:bCs w:val="1"/>
                <w:color w:val="auto"/>
                <w:w w:val="92"/>
              </w:rPr>
              <w:t>80-0812659</w:t>
            </w:r>
          </w:p>
        </w:tc>
      </w:tr>
      <w:tr>
        <w:trPr>
          <w:trHeight w:val="144"/>
        </w:trPr>
        <w:tc>
          <w:tcPr>
            <w:tcW w:w="1640" w:type="dxa"/>
            <w:vAlign w:val="bottom"/>
          </w:tcPr>
          <w:p>
            <w:pPr>
              <w:jc w:val="center"/>
              <w:ind w:right="54"/>
              <w:spacing w:after="0" w:line="144" w:lineRule="exact"/>
              <w:rPr>
                <w:sz w:val="20"/>
                <w:szCs w:val="20"/>
                <w:color w:val="auto"/>
              </w:rPr>
            </w:pPr>
            <w:r>
              <w:rPr>
                <w:rFonts w:ascii="Arial" w:cs="Arial" w:eastAsia="Arial" w:hAnsi="Arial"/>
                <w:sz w:val="13"/>
                <w:szCs w:val="13"/>
                <w:color w:val="auto"/>
                <w:w w:val="93"/>
              </w:rPr>
              <w:t>(State or other jurisdiction of</w:t>
            </w:r>
          </w:p>
        </w:tc>
        <w:tc>
          <w:tcPr>
            <w:tcW w:w="1860" w:type="dxa"/>
            <w:vAlign w:val="bottom"/>
          </w:tcPr>
          <w:p>
            <w:pPr>
              <w:jc w:val="center"/>
              <w:ind w:right="14"/>
              <w:spacing w:after="0" w:line="144" w:lineRule="exact"/>
              <w:rPr>
                <w:sz w:val="20"/>
                <w:szCs w:val="20"/>
                <w:color w:val="auto"/>
              </w:rPr>
            </w:pPr>
            <w:r>
              <w:rPr>
                <w:rFonts w:ascii="Arial" w:cs="Arial" w:eastAsia="Arial" w:hAnsi="Arial"/>
                <w:sz w:val="13"/>
                <w:szCs w:val="13"/>
                <w:color w:val="auto"/>
                <w:w w:val="92"/>
              </w:rPr>
              <w:t>(Primary Standard Industrial</w:t>
            </w:r>
          </w:p>
        </w:tc>
        <w:tc>
          <w:tcPr>
            <w:tcW w:w="1420" w:type="dxa"/>
            <w:vAlign w:val="bottom"/>
          </w:tcPr>
          <w:p>
            <w:pPr>
              <w:jc w:val="center"/>
              <w:ind w:left="13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tcPr>
          <w:p>
            <w:pPr>
              <w:jc w:val="center"/>
              <w:ind w:right="54"/>
              <w:spacing w:after="0" w:line="144" w:lineRule="exact"/>
              <w:rPr>
                <w:sz w:val="20"/>
                <w:szCs w:val="20"/>
                <w:color w:val="auto"/>
              </w:rPr>
            </w:pPr>
            <w:r>
              <w:rPr>
                <w:rFonts w:ascii="Arial" w:cs="Arial" w:eastAsia="Arial" w:hAnsi="Arial"/>
                <w:sz w:val="13"/>
                <w:szCs w:val="13"/>
                <w:color w:val="auto"/>
                <w:w w:val="92"/>
              </w:rPr>
              <w:t>incorporation or</w:t>
            </w:r>
          </w:p>
        </w:tc>
        <w:tc>
          <w:tcPr>
            <w:tcW w:w="1860" w:type="dxa"/>
            <w:vAlign w:val="bottom"/>
          </w:tcPr>
          <w:p>
            <w:pPr>
              <w:jc w:val="center"/>
              <w:ind w:right="14"/>
              <w:spacing w:after="0" w:line="144" w:lineRule="exact"/>
              <w:rPr>
                <w:sz w:val="20"/>
                <w:szCs w:val="20"/>
                <w:color w:val="auto"/>
              </w:rPr>
            </w:pPr>
            <w:r>
              <w:rPr>
                <w:rFonts w:ascii="Arial" w:cs="Arial" w:eastAsia="Arial" w:hAnsi="Arial"/>
                <w:sz w:val="13"/>
                <w:szCs w:val="13"/>
                <w:color w:val="auto"/>
                <w:w w:val="93"/>
              </w:rPr>
              <w:t>Classification Code Number)</w:t>
            </w:r>
          </w:p>
        </w:tc>
        <w:tc>
          <w:tcPr>
            <w:tcW w:w="1420" w:type="dxa"/>
            <w:vAlign w:val="bottom"/>
          </w:tcPr>
          <w:p>
            <w:pPr>
              <w:jc w:val="center"/>
              <w:ind w:left="134"/>
              <w:spacing w:after="0" w:line="144" w:lineRule="exact"/>
              <w:rPr>
                <w:sz w:val="20"/>
                <w:szCs w:val="20"/>
                <w:color w:val="auto"/>
              </w:rPr>
            </w:pPr>
            <w:r>
              <w:rPr>
                <w:rFonts w:ascii="Arial" w:cs="Arial" w:eastAsia="Arial" w:hAnsi="Arial"/>
                <w:sz w:val="13"/>
                <w:szCs w:val="13"/>
                <w:color w:val="auto"/>
                <w:w w:val="95"/>
              </w:rPr>
              <w:t>Identification Number)</w:t>
            </w:r>
          </w:p>
        </w:tc>
      </w:tr>
      <w:tr>
        <w:trPr>
          <w:trHeight w:val="165"/>
        </w:trPr>
        <w:tc>
          <w:tcPr>
            <w:tcW w:w="1640" w:type="dxa"/>
            <w:vAlign w:val="bottom"/>
          </w:tcPr>
          <w:p>
            <w:pPr>
              <w:jc w:val="center"/>
              <w:ind w:right="34"/>
              <w:spacing w:after="0"/>
              <w:rPr>
                <w:sz w:val="20"/>
                <w:szCs w:val="20"/>
                <w:color w:val="auto"/>
              </w:rPr>
            </w:pPr>
            <w:r>
              <w:rPr>
                <w:rFonts w:ascii="Arial" w:cs="Arial" w:eastAsia="Arial" w:hAnsi="Arial"/>
                <w:sz w:val="13"/>
                <w:szCs w:val="13"/>
                <w:color w:val="auto"/>
                <w:w w:val="93"/>
              </w:rPr>
              <w:t>organization)</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60 Broad Street, 30th Floor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New York, NY 10004</w:t>
      </w:r>
    </w:p>
    <w:p>
      <w:pPr>
        <w:jc w:val="center"/>
        <w:spacing w:after="0" w:line="231" w:lineRule="auto"/>
        <w:rPr>
          <w:sz w:val="20"/>
          <w:szCs w:val="20"/>
          <w:color w:val="auto"/>
        </w:rPr>
      </w:pPr>
      <w:r>
        <w:rPr>
          <w:rFonts w:ascii="Arial" w:cs="Arial" w:eastAsia="Arial" w:hAnsi="Arial"/>
          <w:sz w:val="13"/>
          <w:szCs w:val="13"/>
          <w:b w:val="1"/>
          <w:bCs w:val="1"/>
          <w:color w:val="auto"/>
        </w:rPr>
        <w:t>(646) 419-4452</w:t>
      </w:r>
    </w:p>
    <w:p>
      <w:pPr>
        <w:jc w:val="center"/>
        <w:spacing w:after="0" w:line="232" w:lineRule="auto"/>
        <w:rPr>
          <w:sz w:val="20"/>
          <w:szCs w:val="20"/>
          <w:color w:val="auto"/>
        </w:rPr>
      </w:pPr>
      <w:r>
        <w:rPr>
          <w:rFonts w:ascii="Arial" w:cs="Arial" w:eastAsia="Arial" w:hAnsi="Arial"/>
          <w:sz w:val="13"/>
          <w:szCs w:val="13"/>
          <w:color w:val="auto"/>
        </w:rPr>
        <w:t>(Address, including zip code, and telephone number, including area</w:t>
      </w:r>
    </w:p>
    <w:p>
      <w:pPr>
        <w:jc w:val="center"/>
        <w:spacing w:after="0"/>
        <w:rPr>
          <w:sz w:val="20"/>
          <w:szCs w:val="20"/>
          <w:color w:val="auto"/>
        </w:rPr>
      </w:pPr>
      <w:r>
        <w:rPr>
          <w:rFonts w:ascii="Arial" w:cs="Arial" w:eastAsia="Arial" w:hAnsi="Arial"/>
          <w:sz w:val="13"/>
          <w:szCs w:val="13"/>
          <w:color w:val="auto"/>
        </w:rPr>
        <w:t>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Jonathan Oringer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Shutterstock, Inc.</w:t>
      </w:r>
    </w:p>
    <w:p>
      <w:pPr>
        <w:jc w:val="center"/>
        <w:spacing w:after="0" w:line="232" w:lineRule="auto"/>
        <w:rPr>
          <w:sz w:val="20"/>
          <w:szCs w:val="20"/>
          <w:color w:val="auto"/>
        </w:rPr>
      </w:pPr>
      <w:r>
        <w:rPr>
          <w:rFonts w:ascii="Arial" w:cs="Arial" w:eastAsia="Arial" w:hAnsi="Arial"/>
          <w:sz w:val="13"/>
          <w:szCs w:val="13"/>
          <w:b w:val="1"/>
          <w:bCs w:val="1"/>
          <w:color w:val="auto"/>
        </w:rPr>
        <w:t>60 Broad Street, 30th Floor</w:t>
      </w:r>
    </w:p>
    <w:p>
      <w:pPr>
        <w:jc w:val="center"/>
        <w:spacing w:after="0" w:line="231" w:lineRule="auto"/>
        <w:rPr>
          <w:sz w:val="20"/>
          <w:szCs w:val="20"/>
          <w:color w:val="auto"/>
        </w:rPr>
      </w:pPr>
      <w:r>
        <w:rPr>
          <w:rFonts w:ascii="Arial" w:cs="Arial" w:eastAsia="Arial" w:hAnsi="Arial"/>
          <w:sz w:val="13"/>
          <w:szCs w:val="13"/>
          <w:b w:val="1"/>
          <w:bCs w:val="1"/>
          <w:color w:val="auto"/>
        </w:rPr>
        <w:t>New York, NY 10004</w:t>
      </w:r>
    </w:p>
    <w:p>
      <w:pPr>
        <w:jc w:val="center"/>
        <w:spacing w:after="0" w:line="232" w:lineRule="auto"/>
        <w:rPr>
          <w:sz w:val="20"/>
          <w:szCs w:val="20"/>
          <w:color w:val="auto"/>
        </w:rPr>
      </w:pPr>
      <w:r>
        <w:rPr>
          <w:rFonts w:ascii="Arial" w:cs="Arial" w:eastAsia="Arial" w:hAnsi="Arial"/>
          <w:sz w:val="13"/>
          <w:szCs w:val="13"/>
          <w:b w:val="1"/>
          <w:bCs w:val="1"/>
          <w:color w:val="auto"/>
        </w:rPr>
        <w:t>(646) 419-4452</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960" w:type="dxa"/>
        <w:tblCellMar>
          <w:top w:w="0" w:type="dxa"/>
          <w:left w:w="0" w:type="dxa"/>
          <w:bottom w:w="0" w:type="dxa"/>
          <w:right w:w="0" w:type="dxa"/>
        </w:tblCellMar>
      </w:tblPr>
      <w:tr>
        <w:trPr>
          <w:trHeight w:val="165"/>
        </w:trPr>
        <w:tc>
          <w:tcPr>
            <w:tcW w:w="14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Copies to:</w:t>
            </w:r>
          </w:p>
        </w:tc>
      </w:tr>
      <w:tr>
        <w:trPr>
          <w:trHeight w:val="329"/>
        </w:trPr>
        <w:tc>
          <w:tcPr>
            <w:tcW w:w="1400" w:type="dxa"/>
            <w:vAlign w:val="bottom"/>
          </w:tcPr>
          <w:p>
            <w:pPr>
              <w:jc w:val="center"/>
              <w:ind w:right="14"/>
              <w:spacing w:after="0"/>
              <w:rPr>
                <w:sz w:val="20"/>
                <w:szCs w:val="20"/>
                <w:color w:val="auto"/>
              </w:rPr>
            </w:pPr>
            <w:r>
              <w:rPr>
                <w:rFonts w:ascii="Arial" w:cs="Arial" w:eastAsia="Arial" w:hAnsi="Arial"/>
                <w:sz w:val="13"/>
                <w:szCs w:val="13"/>
                <w:b w:val="1"/>
                <w:bCs w:val="1"/>
                <w:color w:val="auto"/>
                <w:w w:val="93"/>
              </w:rPr>
              <w:t>Brian B. Margolis, Esq.</w:t>
            </w:r>
          </w:p>
        </w:tc>
        <w:tc>
          <w:tcPr>
            <w:tcW w:w="2300" w:type="dxa"/>
            <w:vAlign w:val="bottom"/>
          </w:tcPr>
          <w:p>
            <w:pPr>
              <w:jc w:val="center"/>
              <w:ind w:left="534"/>
              <w:spacing w:after="0"/>
              <w:rPr>
                <w:sz w:val="20"/>
                <w:szCs w:val="20"/>
                <w:color w:val="auto"/>
              </w:rPr>
            </w:pPr>
            <w:r>
              <w:rPr>
                <w:rFonts w:ascii="Arial" w:cs="Arial" w:eastAsia="Arial" w:hAnsi="Arial"/>
                <w:sz w:val="13"/>
                <w:szCs w:val="13"/>
                <w:b w:val="1"/>
                <w:bCs w:val="1"/>
                <w:color w:val="auto"/>
                <w:w w:val="91"/>
              </w:rPr>
              <w:t>Gregory B. Astrachan, Esq.</w:t>
            </w:r>
          </w:p>
        </w:tc>
      </w:tr>
      <w:tr>
        <w:trPr>
          <w:trHeight w:val="144"/>
        </w:trPr>
        <w:tc>
          <w:tcPr>
            <w:tcW w:w="1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8"/>
              </w:rPr>
              <w:t>Stephen C. Ashley, Esq.</w:t>
            </w:r>
          </w:p>
        </w:tc>
        <w:tc>
          <w:tcPr>
            <w:tcW w:w="2300" w:type="dxa"/>
            <w:vAlign w:val="bottom"/>
          </w:tcPr>
          <w:p>
            <w:pPr>
              <w:jc w:val="center"/>
              <w:ind w:left="514"/>
              <w:spacing w:after="0" w:line="144" w:lineRule="exact"/>
              <w:rPr>
                <w:sz w:val="20"/>
                <w:szCs w:val="20"/>
                <w:color w:val="auto"/>
              </w:rPr>
            </w:pPr>
            <w:r>
              <w:rPr>
                <w:rFonts w:ascii="Arial" w:cs="Arial" w:eastAsia="Arial" w:hAnsi="Arial"/>
                <w:sz w:val="13"/>
                <w:szCs w:val="13"/>
                <w:b w:val="1"/>
                <w:bCs w:val="1"/>
                <w:color w:val="auto"/>
                <w:w w:val="98"/>
              </w:rPr>
              <w:t>Willkie Farr &amp; Gallagher LLP</w:t>
            </w:r>
          </w:p>
        </w:tc>
      </w:tr>
      <w:tr>
        <w:trPr>
          <w:trHeight w:val="144"/>
        </w:trPr>
        <w:tc>
          <w:tcPr>
            <w:tcW w:w="1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9"/>
              </w:rPr>
              <w:t>Orrick, Herrington &amp;</w:t>
            </w:r>
          </w:p>
        </w:tc>
        <w:tc>
          <w:tcPr>
            <w:tcW w:w="2300" w:type="dxa"/>
            <w:vAlign w:val="bottom"/>
          </w:tcPr>
          <w:p>
            <w:pPr>
              <w:jc w:val="center"/>
              <w:ind w:left="514"/>
              <w:spacing w:after="0" w:line="144" w:lineRule="exact"/>
              <w:rPr>
                <w:sz w:val="20"/>
                <w:szCs w:val="20"/>
                <w:color w:val="auto"/>
              </w:rPr>
            </w:pPr>
            <w:r>
              <w:rPr>
                <w:rFonts w:ascii="Arial" w:cs="Arial" w:eastAsia="Arial" w:hAnsi="Arial"/>
                <w:sz w:val="13"/>
                <w:szCs w:val="13"/>
                <w:b w:val="1"/>
                <w:bCs w:val="1"/>
                <w:color w:val="auto"/>
                <w:w w:val="88"/>
              </w:rPr>
              <w:t>787 Seventh Avenue</w:t>
            </w:r>
          </w:p>
        </w:tc>
      </w:tr>
      <w:tr>
        <w:trPr>
          <w:trHeight w:val="144"/>
        </w:trPr>
        <w:tc>
          <w:tcPr>
            <w:tcW w:w="1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Sutcliffe LLP</w:t>
            </w:r>
          </w:p>
        </w:tc>
        <w:tc>
          <w:tcPr>
            <w:tcW w:w="2300" w:type="dxa"/>
            <w:vAlign w:val="bottom"/>
          </w:tcPr>
          <w:p>
            <w:pPr>
              <w:jc w:val="center"/>
              <w:ind w:left="534"/>
              <w:spacing w:after="0" w:line="144" w:lineRule="exact"/>
              <w:rPr>
                <w:sz w:val="20"/>
                <w:szCs w:val="20"/>
                <w:color w:val="auto"/>
              </w:rPr>
            </w:pPr>
            <w:r>
              <w:rPr>
                <w:rFonts w:ascii="Arial" w:cs="Arial" w:eastAsia="Arial" w:hAnsi="Arial"/>
                <w:sz w:val="13"/>
                <w:szCs w:val="13"/>
                <w:b w:val="1"/>
                <w:bCs w:val="1"/>
                <w:color w:val="auto"/>
                <w:w w:val="94"/>
              </w:rPr>
              <w:t>New York, NY 10019</w:t>
            </w:r>
          </w:p>
        </w:tc>
      </w:tr>
      <w:tr>
        <w:trPr>
          <w:trHeight w:val="144"/>
        </w:trPr>
        <w:tc>
          <w:tcPr>
            <w:tcW w:w="1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51 West 52nd Street</w:t>
            </w:r>
          </w:p>
        </w:tc>
        <w:tc>
          <w:tcPr>
            <w:tcW w:w="2300" w:type="dxa"/>
            <w:vAlign w:val="bottom"/>
          </w:tcPr>
          <w:p>
            <w:pPr>
              <w:jc w:val="center"/>
              <w:ind w:left="534"/>
              <w:spacing w:after="0" w:line="144" w:lineRule="exact"/>
              <w:rPr>
                <w:sz w:val="20"/>
                <w:szCs w:val="20"/>
                <w:color w:val="auto"/>
              </w:rPr>
            </w:pPr>
            <w:r>
              <w:rPr>
                <w:rFonts w:ascii="Arial" w:cs="Arial" w:eastAsia="Arial" w:hAnsi="Arial"/>
                <w:sz w:val="13"/>
                <w:szCs w:val="13"/>
                <w:b w:val="1"/>
                <w:bCs w:val="1"/>
                <w:color w:val="auto"/>
                <w:w w:val="92"/>
              </w:rPr>
              <w:t>(212) 728-8000</w:t>
            </w:r>
          </w:p>
        </w:tc>
      </w:tr>
      <w:tr>
        <w:trPr>
          <w:trHeight w:val="144"/>
        </w:trPr>
        <w:tc>
          <w:tcPr>
            <w:tcW w:w="1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New York, NY 10019</w:t>
            </w:r>
          </w:p>
        </w:tc>
        <w:tc>
          <w:tcPr>
            <w:tcW w:w="2300" w:type="dxa"/>
            <w:vAlign w:val="bottom"/>
          </w:tcPr>
          <w:p>
            <w:pPr>
              <w:spacing w:after="0"/>
              <w:rPr>
                <w:sz w:val="12"/>
                <w:szCs w:val="12"/>
                <w:color w:val="auto"/>
              </w:rPr>
            </w:pPr>
          </w:p>
        </w:tc>
      </w:tr>
      <w:tr>
        <w:trPr>
          <w:trHeight w:val="169"/>
        </w:trPr>
        <w:tc>
          <w:tcPr>
            <w:tcW w:w="140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(212) 506-5000</w:t>
            </w:r>
          </w:p>
        </w:tc>
        <w:tc>
          <w:tcPr>
            <w:tcW w:w="230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340"/>
        <w:spacing w:after="0"/>
        <w:tabs>
          <w:tab w:leader="none" w:pos="100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3"/>
          <w:szCs w:val="13"/>
          <w:color w:val="auto"/>
        </w:rPr>
        <w:t>o</w:t>
      </w:r>
    </w:p>
    <w:p>
      <w:pPr>
        <w:spacing w:after="0" w:line="204" w:lineRule="exact"/>
        <w:rPr>
          <w:sz w:val="24"/>
          <w:szCs w:val="24"/>
          <w:color w:val="auto"/>
        </w:rPr>
      </w:pPr>
    </w:p>
    <w:p>
      <w:pPr>
        <w:ind w:firstLine="343"/>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6"/>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4" w:lineRule="exact"/>
        <w:rPr>
          <w:sz w:val="24"/>
          <w:szCs w:val="24"/>
          <w:color w:val="auto"/>
        </w:rPr>
      </w:pPr>
    </w:p>
    <w:p>
      <w:pPr>
        <w:ind w:left="1260"/>
        <w:spacing w:after="0" w:line="150" w:lineRule="exact"/>
        <w:tabs>
          <w:tab w:leader="none" w:pos="2900" w:val="left"/>
          <w:tab w:leader="none" w:pos="5620" w:val="left"/>
          <w:tab w:leader="none" w:pos="86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Smaller reporting company o</w:t>
      </w:r>
    </w:p>
    <w:p>
      <w:pPr>
        <w:spacing w:after="0" w:line="24" w:lineRule="exact"/>
        <w:rPr>
          <w:sz w:val="24"/>
          <w:szCs w:val="24"/>
          <w:color w:val="auto"/>
        </w:rPr>
      </w:pPr>
    </w:p>
    <w:p>
      <w:pPr>
        <w:jc w:val="center"/>
        <w:ind w:left="1100"/>
        <w:spacing w:after="0"/>
        <w:rPr>
          <w:sz w:val="20"/>
          <w:szCs w:val="20"/>
          <w:color w:val="auto"/>
        </w:rPr>
      </w:pPr>
      <w:r>
        <w:rPr>
          <w:rFonts w:ascii="Arial" w:cs="Arial" w:eastAsia="Arial" w:hAnsi="Arial"/>
          <w:sz w:val="13"/>
          <w:szCs w:val="13"/>
          <w:color w:val="auto"/>
        </w:rPr>
        <w:t>(Do not check if a</w:t>
      </w:r>
    </w:p>
    <w:p>
      <w:pPr>
        <w:jc w:val="center"/>
        <w:ind w:left="1100"/>
        <w:spacing w:after="0"/>
        <w:rPr>
          <w:sz w:val="20"/>
          <w:szCs w:val="20"/>
          <w:color w:val="auto"/>
        </w:rPr>
      </w:pPr>
      <w:r>
        <w:rPr>
          <w:rFonts w:ascii="Arial" w:cs="Arial" w:eastAsia="Arial" w:hAnsi="Arial"/>
          <w:sz w:val="13"/>
          <w:szCs w:val="13"/>
          <w:color w:val="auto"/>
        </w:rPr>
        <w:t>smaller reporting company)</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287655</wp:posOffset>
            </wp:positionV>
            <wp:extent cx="5793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304165</wp:posOffset>
            </wp:positionV>
            <wp:extent cx="579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sectPr>
          <w:pgSz w:w="11900" w:h="16838" w:orient="portrait"/>
          <w:cols w:equalWidth="0" w:num="1">
            <w:col w:w="11420"/>
          </w:cols>
          <w:pgMar w:left="240" w:top="669" w:right="239" w:bottom="0" w:gutter="0" w:footer="0" w:header="0"/>
        </w:sectPr>
      </w:pPr>
    </w:p>
    <w:p>
      <w:pPr>
        <w:spacing w:after="0" w:line="200" w:lineRule="exact"/>
        <w:rPr>
          <w:sz w:val="24"/>
          <w:szCs w:val="24"/>
          <w:color w:val="auto"/>
        </w:rPr>
      </w:pPr>
    </w:p>
    <w:p>
      <w:pPr>
        <w:spacing w:after="0" w:line="280" w:lineRule="exact"/>
        <w:rPr>
          <w:sz w:val="24"/>
          <w:szCs w:val="24"/>
          <w:color w:val="auto"/>
        </w:rPr>
      </w:pPr>
    </w:p>
    <w:p>
      <w:pPr>
        <w:ind w:left="3420"/>
        <w:spacing w:after="0"/>
        <w:tabs>
          <w:tab w:leader="none" w:pos="7640" w:val="left"/>
          <w:tab w:leader="none" w:pos="9320" w:val="left"/>
        </w:tabs>
        <w:rPr>
          <w:sz w:val="20"/>
          <w:szCs w:val="20"/>
          <w:color w:val="auto"/>
        </w:rPr>
      </w:pPr>
      <w:r>
        <w:rPr>
          <w:rFonts w:ascii="Arial" w:cs="Arial" w:eastAsia="Arial" w:hAnsi="Arial"/>
          <w:sz w:val="13"/>
          <w:szCs w:val="13"/>
          <w:b w:val="1"/>
          <w:bCs w:val="1"/>
          <w:color w:val="auto"/>
        </w:rPr>
        <w:t>Title of Each Class of Securities</w:t>
      </w:r>
      <w:r>
        <w:rPr>
          <w:sz w:val="20"/>
          <w:szCs w:val="20"/>
          <w:color w:val="auto"/>
        </w:rPr>
        <w:tab/>
      </w:r>
      <w:r>
        <w:rPr>
          <w:rFonts w:ascii="Arial" w:cs="Arial" w:eastAsia="Arial" w:hAnsi="Arial"/>
          <w:sz w:val="13"/>
          <w:szCs w:val="13"/>
          <w:b w:val="1"/>
          <w:bCs w:val="1"/>
          <w:color w:val="auto"/>
        </w:rPr>
        <w:t>Proposed Maximum</w:t>
      </w:r>
      <w:r>
        <w:rPr>
          <w:sz w:val="20"/>
          <w:szCs w:val="20"/>
          <w:color w:val="auto"/>
        </w:rPr>
        <w:tab/>
      </w:r>
      <w:r>
        <w:rPr>
          <w:rFonts w:ascii="Arial" w:cs="Arial" w:eastAsia="Arial" w:hAnsi="Arial"/>
          <w:sz w:val="11"/>
          <w:szCs w:val="11"/>
          <w:b w:val="1"/>
          <w:bCs w:val="1"/>
          <w:color w:val="auto"/>
        </w:rPr>
        <w:t>Amount of</w:t>
      </w:r>
    </w:p>
    <w:p>
      <w:pPr>
        <w:sectPr>
          <w:pgSz w:w="11900" w:h="16838" w:orient="portrait"/>
          <w:cols w:equalWidth="0" w:num="1">
            <w:col w:w="11420"/>
          </w:cols>
          <w:pgMar w:left="240" w:top="669" w:right="239" w:bottom="0" w:gutter="0" w:footer="0" w:header="0"/>
          <w:type w:val="continuous"/>
        </w:sectPr>
      </w:pPr>
    </w:p>
    <w:bookmarkStart w:id="1" w:name="page2"/>
    <w:bookmarkEnd w:id="1"/>
    <w:tbl>
      <w:tblPr>
        <w:tblLayout w:type="fixed"/>
        <w:tblInd w:w="114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tcPr>
          <w:p>
            <w:pPr>
              <w:ind w:left="1520"/>
              <w:spacing w:after="0"/>
              <w:rPr>
                <w:sz w:val="20"/>
                <w:szCs w:val="20"/>
                <w:color w:val="auto"/>
              </w:rPr>
            </w:pPr>
            <w:r>
              <w:rPr>
                <w:rFonts w:ascii="Arial" w:cs="Arial" w:eastAsia="Arial" w:hAnsi="Arial"/>
                <w:sz w:val="13"/>
                <w:szCs w:val="13"/>
                <w:b w:val="1"/>
                <w:bCs w:val="1"/>
                <w:color w:val="auto"/>
              </w:rPr>
              <w:t>to be Registered</w:t>
            </w:r>
          </w:p>
        </w:tc>
        <w:tc>
          <w:tcPr>
            <w:tcW w:w="2760" w:type="dxa"/>
            <w:vAlign w:val="bottom"/>
          </w:tcPr>
          <w:p>
            <w:pPr>
              <w:jc w:val="center"/>
              <w:ind w:left="1199"/>
              <w:spacing w:after="0"/>
              <w:rPr>
                <w:sz w:val="20"/>
                <w:szCs w:val="20"/>
                <w:color w:val="auto"/>
              </w:rPr>
            </w:pPr>
            <w:r>
              <w:rPr>
                <w:rFonts w:ascii="Arial" w:cs="Arial" w:eastAsia="Arial" w:hAnsi="Arial"/>
                <w:sz w:val="13"/>
                <w:szCs w:val="13"/>
                <w:b w:val="1"/>
                <w:bCs w:val="1"/>
                <w:color w:val="auto"/>
                <w:w w:val="92"/>
              </w:rPr>
              <w:t>Aggregate Offering</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Registration Fee</w:t>
            </w:r>
          </w:p>
        </w:tc>
      </w:tr>
      <w:tr>
        <w:trPr>
          <w:trHeight w:val="214"/>
        </w:trPr>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center"/>
              <w:ind w:left="1199"/>
              <w:spacing w:after="0" w:line="214" w:lineRule="exact"/>
              <w:rPr>
                <w:sz w:val="20"/>
                <w:szCs w:val="20"/>
                <w:color w:val="auto"/>
              </w:rPr>
            </w:pPr>
            <w:r>
              <w:rPr>
                <w:rFonts w:ascii="Arial" w:cs="Arial" w:eastAsia="Arial" w:hAnsi="Arial"/>
                <w:sz w:val="24"/>
                <w:szCs w:val="24"/>
                <w:b w:val="1"/>
                <w:bCs w:val="1"/>
                <w:color w:val="auto"/>
                <w:w w:val="84"/>
                <w:vertAlign w:val="subscript"/>
              </w:rPr>
              <w:t>Price</w:t>
            </w:r>
            <w:r>
              <w:rPr>
                <w:rFonts w:ascii="Arial" w:cs="Arial" w:eastAsia="Arial" w:hAnsi="Arial"/>
                <w:sz w:val="10"/>
                <w:szCs w:val="10"/>
                <w:b w:val="1"/>
                <w:bCs w:val="1"/>
                <w:color w:val="auto"/>
                <w:w w:val="84"/>
              </w:rPr>
              <w:t>(1)(2)</w:t>
            </w:r>
          </w:p>
        </w:tc>
        <w:tc>
          <w:tcPr>
            <w:tcW w:w="1280" w:type="dxa"/>
            <w:vAlign w:val="bottom"/>
            <w:tcBorders>
              <w:bottom w:val="single" w:sz="8" w:color="auto"/>
            </w:tcBorders>
          </w:tcPr>
          <w:p>
            <w:pPr>
              <w:spacing w:after="0"/>
              <w:rPr>
                <w:sz w:val="18"/>
                <w:szCs w:val="18"/>
                <w:color w:val="auto"/>
              </w:rPr>
            </w:pPr>
          </w:p>
        </w:tc>
      </w:tr>
      <w:tr>
        <w:trPr>
          <w:trHeight w:val="161"/>
        </w:trPr>
        <w:tc>
          <w:tcPr>
            <w:tcW w:w="50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Common Stock, par value $0.01 per share</w:t>
            </w:r>
          </w:p>
        </w:tc>
        <w:tc>
          <w:tcPr>
            <w:tcW w:w="2760" w:type="dxa"/>
            <w:vAlign w:val="bottom"/>
            <w:tcBorders>
              <w:bottom w:val="single" w:sz="8" w:color="auto"/>
            </w:tcBorders>
          </w:tcPr>
          <w:p>
            <w:pPr>
              <w:jc w:val="center"/>
              <w:ind w:left="1219"/>
              <w:spacing w:after="0"/>
              <w:rPr>
                <w:sz w:val="20"/>
                <w:szCs w:val="20"/>
                <w:color w:val="auto"/>
              </w:rPr>
            </w:pPr>
            <w:r>
              <w:rPr>
                <w:rFonts w:ascii="Arial" w:cs="Arial" w:eastAsia="Arial" w:hAnsi="Arial"/>
                <w:sz w:val="13"/>
                <w:szCs w:val="13"/>
                <w:color w:val="auto"/>
                <w:w w:val="90"/>
              </w:rPr>
              <w:t>$172,500,000</w:t>
            </w: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$23,529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8"/>
        </w:trPr>
        <w:tc>
          <w:tcPr>
            <w:tcW w:w="340" w:type="dxa"/>
            <w:vAlign w:val="bottom"/>
          </w:tcPr>
          <w:p>
            <w:pPr>
              <w:spacing w:after="0"/>
              <w:rPr>
                <w:sz w:val="20"/>
                <w:szCs w:val="20"/>
                <w:color w:val="auto"/>
              </w:rPr>
            </w:pPr>
            <w:r>
              <w:rPr>
                <w:rFonts w:ascii="Arial" w:cs="Arial" w:eastAsia="Arial" w:hAnsi="Arial"/>
                <w:sz w:val="13"/>
                <w:szCs w:val="13"/>
                <w:color w:val="auto"/>
              </w:rPr>
              <w:t>(1)</w:t>
            </w:r>
          </w:p>
        </w:tc>
        <w:tc>
          <w:tcPr>
            <w:tcW w:w="840" w:type="dxa"/>
            <w:vAlign w:val="bottom"/>
          </w:tcPr>
          <w:p>
            <w:pPr>
              <w:ind w:left="200"/>
              <w:spacing w:after="0"/>
              <w:rPr>
                <w:sz w:val="20"/>
                <w:szCs w:val="20"/>
                <w:color w:val="auto"/>
              </w:rPr>
            </w:pPr>
            <w:r>
              <w:rPr>
                <w:rFonts w:ascii="Arial" w:cs="Arial" w:eastAsia="Arial" w:hAnsi="Arial"/>
                <w:sz w:val="13"/>
                <w:szCs w:val="13"/>
                <w:color w:val="auto"/>
              </w:rPr>
              <w:t>Includes</w:t>
            </w:r>
          </w:p>
        </w:tc>
        <w:tc>
          <w:tcPr>
            <w:tcW w:w="6660" w:type="dxa"/>
            <w:vAlign w:val="bottom"/>
            <w:gridSpan w:val="2"/>
          </w:tcPr>
          <w:p>
            <w:pPr>
              <w:ind w:left="180"/>
              <w:spacing w:after="0"/>
              <w:rPr>
                <w:sz w:val="20"/>
                <w:szCs w:val="20"/>
                <w:color w:val="auto"/>
              </w:rPr>
            </w:pPr>
            <w:r>
              <w:rPr>
                <w:rFonts w:ascii="Arial" w:cs="Arial" w:eastAsia="Arial" w:hAnsi="Arial"/>
                <w:sz w:val="13"/>
                <w:szCs w:val="13"/>
                <w:color w:val="auto"/>
              </w:rPr>
              <w:t>shares of Common Stock issuable upon exercise of the Underwriters' option to purchase additional shares.</w:t>
            </w:r>
          </w:p>
        </w:tc>
        <w:tc>
          <w:tcPr>
            <w:tcW w:w="1280" w:type="dxa"/>
            <w:vAlign w:val="bottom"/>
          </w:tcPr>
          <w:p>
            <w:pPr>
              <w:spacing w:after="0"/>
              <w:rPr>
                <w:sz w:val="24"/>
                <w:szCs w:val="24"/>
                <w:color w:val="auto"/>
              </w:rPr>
            </w:pPr>
          </w:p>
        </w:tc>
      </w:tr>
    </w:tbl>
    <w:p>
      <w:pPr>
        <w:spacing w:after="0" w:line="97"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w:t>
      </w:r>
    </w:p>
    <w:p>
      <w:pPr>
        <w:spacing w:after="0" w:line="200"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PROSPECTUS (Subject to Completion)</w:t>
      </w:r>
    </w:p>
    <w:p>
      <w:pPr>
        <w:spacing w:after="0" w:line="12"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i w:val="1"/>
          <w:iCs w:val="1"/>
          <w:color w:val="auto"/>
        </w:rPr>
        <w:t>Issued</w:t>
      </w:r>
      <w:r>
        <w:rPr>
          <w:sz w:val="20"/>
          <w:szCs w:val="20"/>
          <w:color w:val="auto"/>
        </w:rPr>
        <w:tab/>
      </w:r>
      <w:r>
        <w:rPr>
          <w:rFonts w:ascii="Arial" w:cs="Arial" w:eastAsia="Arial" w:hAnsi="Arial"/>
          <w:sz w:val="21"/>
          <w:szCs w:val="21"/>
          <w:i w:val="1"/>
          <w:iCs w:val="1"/>
          <w:color w:val="auto"/>
        </w:rPr>
        <w:t>, 2013</w:t>
      </w:r>
    </w:p>
    <w:p>
      <w:pPr>
        <w:spacing w:after="0" w:line="175" w:lineRule="exact"/>
        <w:rPr>
          <w:sz w:val="20"/>
          <w:szCs w:val="20"/>
          <w:color w:val="auto"/>
        </w:rPr>
      </w:pPr>
    </w:p>
    <w:p>
      <w:pPr>
        <w:ind w:left="624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152400</wp:posOffset>
            </wp:positionV>
            <wp:extent cx="3304540" cy="474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b w:val="1"/>
          <w:bCs w:val="1"/>
          <w:i w:val="1"/>
          <w:iCs w:val="1"/>
          <w:color w:val="auto"/>
        </w:rPr>
        <w:t>Shutterstock, Inc. is offering shares of its common stock and the selling stockholders are offering We will not receive any proceeds from the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113030</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w:t>
      </w:r>
    </w:p>
    <w:p>
      <w:pPr>
        <w:spacing w:after="0" w:line="498" w:lineRule="exact"/>
        <w:rPr>
          <w:sz w:val="20"/>
          <w:szCs w:val="20"/>
          <w:color w:val="auto"/>
        </w:rPr>
      </w:pPr>
    </w:p>
    <w:p>
      <w:pPr>
        <w:sectPr>
          <w:pgSz w:w="11900" w:h="16838" w:orient="portrait"/>
          <w:cols w:equalWidth="0" w:num="2">
            <w:col w:w="8680" w:space="720"/>
            <w:col w:w="2020"/>
          </w:cols>
          <w:pgMar w:left="240" w:top="131" w:right="2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common stock is listed on the New York Stock Exchange under the symbol "SSTK". On August 22, 2013, the last reported sale price of our common stock on the New York Stock Exchange was $53.92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113030</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auto"/>
        </w:rPr>
        <w:t>We are an "emerging growth company" under applicable Securities and Exchange Commission rules and, as such, will be subject to reduced public company reporting requirements. Investing in our common stock involves risks. See "Risk Factors" section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122555</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60"/>
        <w:spacing w:after="0"/>
        <w:tabs>
          <w:tab w:leader="none" w:pos="6020" w:val="left"/>
        </w:tabs>
        <w:rPr>
          <w:sz w:val="20"/>
          <w:szCs w:val="20"/>
          <w:color w:val="auto"/>
        </w:rPr>
      </w:pPr>
      <w:r>
        <w:rPr>
          <w:rFonts w:ascii="Arial" w:cs="Arial" w:eastAsia="Arial" w:hAnsi="Arial"/>
          <w:sz w:val="21"/>
          <w:szCs w:val="21"/>
          <w:i w:val="1"/>
          <w:iCs w:val="1"/>
          <w:color w:val="auto"/>
        </w:rPr>
        <w:t>PRICE $</w:t>
      </w:r>
      <w:r>
        <w:rPr>
          <w:sz w:val="20"/>
          <w:szCs w:val="20"/>
          <w:color w:val="auto"/>
        </w:rPr>
        <w:tab/>
      </w:r>
      <w:r>
        <w:rPr>
          <w:rFonts w:ascii="Arial" w:cs="Arial" w:eastAsia="Arial" w:hAnsi="Arial"/>
          <w:sz w:val="18"/>
          <w:szCs w:val="18"/>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98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Underwriting</w:t>
            </w:r>
          </w:p>
        </w:tc>
        <w:tc>
          <w:tcPr>
            <w:tcW w:w="1400" w:type="dxa"/>
            <w:vAlign w:val="bottom"/>
          </w:tcPr>
          <w:p>
            <w:pPr>
              <w:spacing w:after="0"/>
              <w:rPr>
                <w:sz w:val="12"/>
                <w:szCs w:val="12"/>
                <w:color w:val="auto"/>
              </w:rPr>
            </w:pPr>
          </w:p>
        </w:tc>
        <w:tc>
          <w:tcPr>
            <w:tcW w:w="1060" w:type="dxa"/>
            <w:vAlign w:val="bottom"/>
          </w:tcPr>
          <w:p>
            <w:pPr>
              <w:jc w:val="center"/>
              <w:ind w:left="294"/>
              <w:spacing w:after="0"/>
              <w:rPr>
                <w:sz w:val="20"/>
                <w:szCs w:val="20"/>
                <w:color w:val="auto"/>
              </w:rPr>
            </w:pPr>
            <w:r>
              <w:rPr>
                <w:rFonts w:ascii="Arial" w:cs="Arial" w:eastAsia="Arial" w:hAnsi="Arial"/>
                <w:sz w:val="13"/>
                <w:szCs w:val="13"/>
                <w:b w:val="1"/>
                <w:bCs w:val="1"/>
                <w:i w:val="1"/>
                <w:iCs w:val="1"/>
                <w:color w:val="auto"/>
                <w:w w:val="83"/>
              </w:rPr>
              <w:t>Proceeds to</w:t>
            </w:r>
          </w:p>
        </w:tc>
      </w:tr>
      <w:tr>
        <w:trPr>
          <w:trHeight w:val="144"/>
        </w:trPr>
        <w:tc>
          <w:tcPr>
            <w:tcW w:w="112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40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3"/>
              </w:rPr>
              <w:t>Proceeds to</w:t>
            </w:r>
          </w:p>
        </w:tc>
        <w:tc>
          <w:tcPr>
            <w:tcW w:w="1060" w:type="dxa"/>
            <w:vAlign w:val="bottom"/>
          </w:tcPr>
          <w:p>
            <w:pPr>
              <w:jc w:val="center"/>
              <w:ind w:left="294"/>
              <w:spacing w:after="0" w:line="144" w:lineRule="exact"/>
              <w:rPr>
                <w:sz w:val="20"/>
                <w:szCs w:val="20"/>
                <w:color w:val="auto"/>
              </w:rPr>
            </w:pPr>
            <w:r>
              <w:rPr>
                <w:rFonts w:ascii="Arial" w:cs="Arial" w:eastAsia="Arial" w:hAnsi="Arial"/>
                <w:sz w:val="13"/>
                <w:szCs w:val="13"/>
                <w:b w:val="1"/>
                <w:bCs w:val="1"/>
                <w:i w:val="1"/>
                <w:iCs w:val="1"/>
                <w:color w:val="auto"/>
                <w:w w:val="89"/>
              </w:rPr>
              <w:t>Selling</w:t>
            </w:r>
          </w:p>
        </w:tc>
      </w:tr>
      <w:tr>
        <w:trPr>
          <w:trHeight w:val="153"/>
        </w:trPr>
        <w:tc>
          <w:tcPr>
            <w:tcW w:w="1120" w:type="dxa"/>
            <w:vAlign w:val="bottom"/>
          </w:tcPr>
          <w:p>
            <w:pPr>
              <w:spacing w:after="0"/>
              <w:rPr>
                <w:sz w:val="20"/>
                <w:szCs w:val="20"/>
                <w:color w:val="auto"/>
              </w:rPr>
            </w:pPr>
            <w:r>
              <w:rPr>
                <w:rFonts w:ascii="Arial" w:cs="Arial" w:eastAsia="Arial" w:hAnsi="Arial"/>
                <w:sz w:val="13"/>
                <w:szCs w:val="13"/>
                <w:b w:val="1"/>
                <w:bCs w:val="1"/>
                <w:i w:val="1"/>
                <w:iCs w:val="1"/>
                <w:color w:val="auto"/>
              </w:rPr>
              <w:t>Price to Public</w:t>
            </w:r>
          </w:p>
        </w:tc>
        <w:tc>
          <w:tcPr>
            <w:tcW w:w="14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14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5"/>
              </w:rPr>
              <w:t>Shutterstock</w:t>
            </w:r>
          </w:p>
        </w:tc>
        <w:tc>
          <w:tcPr>
            <w:tcW w:w="1060" w:type="dxa"/>
            <w:vAlign w:val="bottom"/>
          </w:tcPr>
          <w:p>
            <w:pPr>
              <w:jc w:val="center"/>
              <w:ind w:left="294"/>
              <w:spacing w:after="0"/>
              <w:rPr>
                <w:sz w:val="20"/>
                <w:szCs w:val="20"/>
                <w:color w:val="auto"/>
              </w:rPr>
            </w:pPr>
            <w:r>
              <w:rPr>
                <w:rFonts w:ascii="Arial" w:cs="Arial" w:eastAsia="Arial" w:hAnsi="Arial"/>
                <w:sz w:val="13"/>
                <w:szCs w:val="13"/>
                <w:b w:val="1"/>
                <w:bCs w:val="1"/>
                <w:i w:val="1"/>
                <w:iCs w:val="1"/>
                <w:color w:val="auto"/>
                <w:w w:val="84"/>
              </w:rPr>
              <w:t>Stockholders</w:t>
            </w:r>
          </w:p>
        </w:tc>
      </w:tr>
    </w:tbl>
    <w:p>
      <w:pPr>
        <w:spacing w:after="0" w:line="1" w:lineRule="exact"/>
        <w:rPr>
          <w:sz w:val="20"/>
          <w:szCs w:val="20"/>
          <w:color w:val="auto"/>
        </w:rPr>
      </w:pPr>
    </w:p>
    <w:p>
      <w:pPr>
        <w:sectPr>
          <w:pgSz w:w="11900" w:h="16838" w:orient="portrait"/>
          <w:cols w:equalWidth="0" w:num="1">
            <w:col w:w="11420"/>
          </w:cols>
          <w:pgMar w:left="240" w:top="131" w:right="239" w:bottom="1440" w:gutter="0" w:footer="0" w:header="0"/>
          <w:type w:val="continuous"/>
        </w:sectPr>
      </w:pPr>
    </w:p>
    <w:tbl>
      <w:tblPr>
        <w:tblLayout w:type="fixed"/>
        <w:tblInd w:w="1140" w:type="dxa"/>
        <w:tblCellMar>
          <w:top w:w="0" w:type="dxa"/>
          <w:left w:w="0" w:type="dxa"/>
          <w:bottom w:w="0" w:type="dxa"/>
          <w:right w:w="0" w:type="dxa"/>
        </w:tblCellMar>
      </w:tblPr>
      <w:tr>
        <w:trPr>
          <w:trHeight w:val="194"/>
        </w:trPr>
        <w:tc>
          <w:tcPr>
            <w:tcW w:w="3760" w:type="dxa"/>
            <w:vAlign w:val="bottom"/>
          </w:tcPr>
          <w:p>
            <w:pPr>
              <w:spacing w:after="0" w:line="194" w:lineRule="exact"/>
              <w:rPr>
                <w:sz w:val="20"/>
                <w:szCs w:val="20"/>
                <w:color w:val="auto"/>
              </w:rPr>
            </w:pPr>
            <w:r>
              <w:rPr>
                <w:rFonts w:ascii="Arial" w:cs="Arial" w:eastAsia="Arial" w:hAnsi="Arial"/>
                <w:sz w:val="17"/>
                <w:szCs w:val="17"/>
                <w:i w:val="1"/>
                <w:iCs w:val="1"/>
                <w:color w:val="auto"/>
              </w:rPr>
              <w:t>Per Share</w:t>
            </w:r>
          </w:p>
        </w:tc>
        <w:tc>
          <w:tcPr>
            <w:tcW w:w="960" w:type="dxa"/>
            <w:vAlign w:val="bottom"/>
            <w:tcBorders>
              <w:top w:val="single" w:sz="8" w:color="auto"/>
            </w:tcBorders>
          </w:tcPr>
          <w:p>
            <w:pPr>
              <w:jc w:val="right"/>
              <w:ind w:right="395"/>
              <w:spacing w:after="0" w:line="194" w:lineRule="exact"/>
              <w:rPr>
                <w:sz w:val="20"/>
                <w:szCs w:val="20"/>
                <w:color w:val="auto"/>
              </w:rPr>
            </w:pPr>
            <w:r>
              <w:rPr>
                <w:rFonts w:ascii="Arial" w:cs="Arial" w:eastAsia="Arial" w:hAnsi="Arial"/>
                <w:sz w:val="17"/>
                <w:szCs w:val="17"/>
                <w:i w:val="1"/>
                <w:iCs w:val="1"/>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7"/>
                <w:szCs w:val="17"/>
                <w:i w:val="1"/>
                <w:iCs w:val="1"/>
                <w:color w:val="auto"/>
              </w:rPr>
              <w:t>Total</w:t>
            </w:r>
          </w:p>
        </w:tc>
        <w:tc>
          <w:tcPr>
            <w:tcW w:w="960" w:type="dxa"/>
            <w:vAlign w:val="bottom"/>
          </w:tcPr>
          <w:p>
            <w:pPr>
              <w:jc w:val="right"/>
              <w:ind w:right="395"/>
              <w:spacing w:after="0"/>
              <w:rPr>
                <w:sz w:val="20"/>
                <w:szCs w:val="20"/>
                <w:color w:val="auto"/>
              </w:rPr>
            </w:pPr>
            <w:r>
              <w:rPr>
                <w:rFonts w:ascii="Arial" w:cs="Arial" w:eastAsia="Arial" w:hAnsi="Arial"/>
                <w:sz w:val="17"/>
                <w:szCs w:val="17"/>
                <w:i w:val="1"/>
                <w:iCs w:val="1"/>
                <w:color w:val="auto"/>
              </w:rPr>
              <w:t>$</w:t>
            </w: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We and the selling stockholders have granted the underwriters the right to purchase up to the underwriting discounts and commissions.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900" w:type="dxa"/>
            <w:vAlign w:val="bottom"/>
            <w:tcBorders>
              <w:top w:val="single" w:sz="8" w:color="auto"/>
            </w:tcBorders>
          </w:tcPr>
          <w:p>
            <w:pPr>
              <w:jc w:val="right"/>
              <w:ind w:right="355"/>
              <w:spacing w:after="0" w:line="194" w:lineRule="exact"/>
              <w:rPr>
                <w:sz w:val="20"/>
                <w:szCs w:val="20"/>
                <w:color w:val="auto"/>
              </w:rPr>
            </w:pPr>
            <w:r>
              <w:rPr>
                <w:rFonts w:ascii="Arial" w:cs="Arial" w:eastAsia="Arial" w:hAnsi="Arial"/>
                <w:sz w:val="17"/>
                <w:szCs w:val="17"/>
                <w:i w:val="1"/>
                <w:iCs w:val="1"/>
                <w:color w:val="auto"/>
              </w:rPr>
              <w:t>$</w:t>
            </w:r>
          </w:p>
        </w:tc>
        <w:tc>
          <w:tcPr>
            <w:tcW w:w="600" w:type="dxa"/>
            <w:vAlign w:val="bottom"/>
          </w:tcPr>
          <w:p>
            <w:pPr>
              <w:spacing w:after="0"/>
              <w:rPr>
                <w:sz w:val="16"/>
                <w:szCs w:val="16"/>
                <w:color w:val="auto"/>
              </w:rPr>
            </w:pPr>
          </w:p>
        </w:tc>
        <w:tc>
          <w:tcPr>
            <w:tcW w:w="760" w:type="dxa"/>
            <w:vAlign w:val="bottom"/>
            <w:tcBorders>
              <w:top w:val="single" w:sz="8" w:color="auto"/>
            </w:tcBorders>
          </w:tcPr>
          <w:p>
            <w:pPr>
              <w:jc w:val="right"/>
              <w:ind w:right="295"/>
              <w:spacing w:after="0" w:line="194" w:lineRule="exact"/>
              <w:rPr>
                <w:sz w:val="20"/>
                <w:szCs w:val="20"/>
                <w:color w:val="auto"/>
              </w:rPr>
            </w:pPr>
            <w:r>
              <w:rPr>
                <w:rFonts w:ascii="Arial" w:cs="Arial" w:eastAsia="Arial" w:hAnsi="Arial"/>
                <w:sz w:val="17"/>
                <w:szCs w:val="17"/>
                <w:i w:val="1"/>
                <w:iCs w:val="1"/>
                <w:color w:val="auto"/>
              </w:rPr>
              <w:t>$</w:t>
            </w:r>
          </w:p>
        </w:tc>
        <w:tc>
          <w:tcPr>
            <w:tcW w:w="620" w:type="dxa"/>
            <w:vAlign w:val="bottom"/>
          </w:tcPr>
          <w:p>
            <w:pPr>
              <w:spacing w:after="0"/>
              <w:rPr>
                <w:sz w:val="16"/>
                <w:szCs w:val="16"/>
                <w:color w:val="auto"/>
              </w:rPr>
            </w:pPr>
          </w:p>
        </w:tc>
        <w:tc>
          <w:tcPr>
            <w:tcW w:w="820" w:type="dxa"/>
            <w:vAlign w:val="bottom"/>
            <w:tcBorders>
              <w:top w:val="single" w:sz="8" w:color="auto"/>
            </w:tcBorders>
          </w:tcPr>
          <w:p>
            <w:pPr>
              <w:jc w:val="right"/>
              <w:ind w:right="335"/>
              <w:spacing w:after="0" w:line="194" w:lineRule="exact"/>
              <w:rPr>
                <w:sz w:val="20"/>
                <w:szCs w:val="20"/>
                <w:color w:val="auto"/>
              </w:rPr>
            </w:pPr>
            <w:r>
              <w:rPr>
                <w:rFonts w:ascii="Arial" w:cs="Arial" w:eastAsia="Arial" w:hAnsi="Arial"/>
                <w:sz w:val="17"/>
                <w:szCs w:val="17"/>
                <w:i w:val="1"/>
                <w:iCs w:val="1"/>
                <w:color w:val="auto"/>
              </w:rPr>
              <w:t>$</w:t>
            </w:r>
          </w:p>
        </w:tc>
      </w:tr>
      <w:tr>
        <w:trPr>
          <w:trHeight w:val="216"/>
        </w:trPr>
        <w:tc>
          <w:tcPr>
            <w:tcW w:w="900" w:type="dxa"/>
            <w:vAlign w:val="bottom"/>
          </w:tcPr>
          <w:p>
            <w:pPr>
              <w:jc w:val="right"/>
              <w:ind w:right="355"/>
              <w:spacing w:after="0"/>
              <w:rPr>
                <w:sz w:val="20"/>
                <w:szCs w:val="20"/>
                <w:color w:val="auto"/>
              </w:rPr>
            </w:pPr>
            <w:r>
              <w:rPr>
                <w:rFonts w:ascii="Arial" w:cs="Arial" w:eastAsia="Arial" w:hAnsi="Arial"/>
                <w:sz w:val="17"/>
                <w:szCs w:val="17"/>
                <w:i w:val="1"/>
                <w:iCs w:val="1"/>
                <w:color w:val="auto"/>
              </w:rPr>
              <w:t>$</w:t>
            </w:r>
          </w:p>
        </w:tc>
        <w:tc>
          <w:tcPr>
            <w:tcW w:w="1360" w:type="dxa"/>
            <w:vAlign w:val="bottom"/>
            <w:gridSpan w:val="2"/>
          </w:tcPr>
          <w:p>
            <w:pPr>
              <w:jc w:val="right"/>
              <w:ind w:right="295"/>
              <w:spacing w:after="0"/>
              <w:rPr>
                <w:sz w:val="20"/>
                <w:szCs w:val="20"/>
                <w:color w:val="auto"/>
              </w:rPr>
            </w:pPr>
            <w:r>
              <w:rPr>
                <w:rFonts w:ascii="Arial" w:cs="Arial" w:eastAsia="Arial" w:hAnsi="Arial"/>
                <w:sz w:val="17"/>
                <w:szCs w:val="17"/>
                <w:i w:val="1"/>
                <w:iCs w:val="1"/>
                <w:color w:val="auto"/>
              </w:rPr>
              <w:t>$</w:t>
            </w:r>
          </w:p>
        </w:tc>
        <w:tc>
          <w:tcPr>
            <w:tcW w:w="1440" w:type="dxa"/>
            <w:vAlign w:val="bottom"/>
            <w:gridSpan w:val="2"/>
          </w:tcPr>
          <w:p>
            <w:pPr>
              <w:jc w:val="right"/>
              <w:ind w:right="335"/>
              <w:spacing w:after="0"/>
              <w:rPr>
                <w:sz w:val="20"/>
                <w:szCs w:val="20"/>
                <w:color w:val="auto"/>
              </w:rPr>
            </w:pPr>
            <w:r>
              <w:rPr>
                <w:rFonts w:ascii="Arial" w:cs="Arial" w:eastAsia="Arial" w:hAnsi="Arial"/>
                <w:sz w:val="17"/>
                <w:szCs w:val="17"/>
                <w:i w:val="1"/>
                <w:iCs w:val="1"/>
                <w:color w:val="auto"/>
              </w:rPr>
              <w:t>$</w:t>
            </w:r>
          </w:p>
        </w:tc>
      </w:tr>
    </w:tbl>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additional shares of common stock at the price to public less</w:t>
      </w:r>
    </w:p>
    <w:p>
      <w:pPr>
        <w:spacing w:after="0" w:line="433" w:lineRule="exact"/>
        <w:rPr>
          <w:sz w:val="20"/>
          <w:szCs w:val="20"/>
          <w:color w:val="auto"/>
        </w:rPr>
      </w:pPr>
    </w:p>
    <w:p>
      <w:pPr>
        <w:sectPr>
          <w:pgSz w:w="11900" w:h="16838" w:orient="portrait"/>
          <w:cols w:equalWidth="0" w:num="2">
            <w:col w:w="6120" w:space="220"/>
            <w:col w:w="5080"/>
          </w:cols>
          <w:pgMar w:left="240" w:top="131" w:right="239" w:bottom="1440" w:gutter="0" w:footer="0" w:header="0"/>
          <w:type w:val="continuous"/>
        </w:sect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spacing w:after="0"/>
              <w:rPr>
                <w:sz w:val="20"/>
                <w:szCs w:val="20"/>
                <w:color w:val="auto"/>
              </w:rPr>
            </w:pPr>
            <w:r>
              <w:rPr>
                <w:rFonts w:ascii="Arial" w:cs="Arial" w:eastAsia="Arial" w:hAnsi="Arial"/>
                <w:sz w:val="17"/>
                <w:szCs w:val="17"/>
                <w:i w:val="1"/>
                <w:iCs w:val="1"/>
                <w:color w:val="auto"/>
                <w:w w:val="99"/>
              </w:rPr>
              <w:t>The underwriters expect to deliver the shares of common stock to purchasers on</w:t>
            </w:r>
          </w:p>
        </w:tc>
        <w:tc>
          <w:tcPr>
            <w:tcW w:w="1060" w:type="dxa"/>
            <w:vAlign w:val="bottom"/>
            <w:gridSpan w:val="2"/>
          </w:tcPr>
          <w:p>
            <w:pPr>
              <w:jc w:val="right"/>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tabs>
          <w:tab w:leader="none" w:pos="4900" w:val="left"/>
          <w:tab w:leader="none" w:pos="10560" w:val="left"/>
        </w:tabs>
        <w:rPr>
          <w:sz w:val="20"/>
          <w:szCs w:val="20"/>
          <w:color w:val="auto"/>
        </w:rPr>
      </w:pPr>
      <w:r>
        <w:rPr>
          <w:rFonts w:ascii="Arial" w:cs="Arial" w:eastAsia="Arial" w:hAnsi="Arial"/>
          <w:sz w:val="17"/>
          <w:szCs w:val="17"/>
          <w:i w:val="1"/>
          <w:iCs w:val="1"/>
          <w:color w:val="auto"/>
        </w:rPr>
        <w:t>MORGAN STANLEY</w:t>
      </w:r>
      <w:r>
        <w:rPr>
          <w:sz w:val="20"/>
          <w:szCs w:val="20"/>
          <w:color w:val="auto"/>
        </w:rPr>
        <w:tab/>
      </w:r>
      <w:r>
        <w:rPr>
          <w:rFonts w:ascii="Arial" w:cs="Arial" w:eastAsia="Arial" w:hAnsi="Arial"/>
          <w:sz w:val="17"/>
          <w:szCs w:val="17"/>
          <w:i w:val="1"/>
          <w:iCs w:val="1"/>
          <w:color w:val="auto"/>
        </w:rPr>
        <w:t>DEUTSCHE BANK SECURITIES</w:t>
      </w:r>
      <w:r>
        <w:rPr>
          <w:sz w:val="20"/>
          <w:szCs w:val="20"/>
          <w:color w:val="auto"/>
        </w:rPr>
        <w:tab/>
      </w:r>
      <w:r>
        <w:rPr>
          <w:rFonts w:ascii="Arial" w:cs="Arial" w:eastAsia="Arial" w:hAnsi="Arial"/>
          <w:sz w:val="15"/>
          <w:szCs w:val="15"/>
          <w:i w:val="1"/>
          <w:i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4440" w:val="left"/>
          <w:tab w:leader="none" w:pos="7760" w:val="left"/>
          <w:tab w:leader="none" w:pos="10200" w:val="left"/>
        </w:tabs>
        <w:rPr>
          <w:sz w:val="20"/>
          <w:szCs w:val="20"/>
          <w:color w:val="auto"/>
        </w:rPr>
      </w:pPr>
      <w:r>
        <w:rPr>
          <w:rFonts w:ascii="Arial" w:cs="Arial" w:eastAsia="Arial" w:hAnsi="Arial"/>
          <w:sz w:val="17"/>
          <w:szCs w:val="17"/>
          <w:i w:val="1"/>
          <w:iCs w:val="1"/>
          <w:color w:val="auto"/>
        </w:rPr>
        <w:t>ALLEN &amp; COMPANY LLC</w:t>
      </w:r>
      <w:r>
        <w:rPr>
          <w:sz w:val="20"/>
          <w:szCs w:val="20"/>
          <w:color w:val="auto"/>
        </w:rPr>
        <w:tab/>
      </w:r>
      <w:r>
        <w:rPr>
          <w:rFonts w:ascii="Arial" w:cs="Arial" w:eastAsia="Arial" w:hAnsi="Arial"/>
          <w:sz w:val="17"/>
          <w:szCs w:val="17"/>
          <w:i w:val="1"/>
          <w:iCs w:val="1"/>
          <w:color w:val="auto"/>
        </w:rPr>
        <w:t>RBC CAPITAL MARKETS</w:t>
      </w:r>
      <w:r>
        <w:rPr>
          <w:sz w:val="20"/>
          <w:szCs w:val="20"/>
          <w:color w:val="auto"/>
        </w:rPr>
        <w:tab/>
      </w:r>
      <w:r>
        <w:rPr>
          <w:rFonts w:ascii="Arial" w:cs="Arial" w:eastAsia="Arial" w:hAnsi="Arial"/>
          <w:sz w:val="17"/>
          <w:szCs w:val="17"/>
          <w:i w:val="1"/>
          <w:iCs w:val="1"/>
          <w:color w:val="auto"/>
        </w:rPr>
        <w:t>STIFEL</w:t>
      </w:r>
      <w:r>
        <w:rPr>
          <w:sz w:val="20"/>
          <w:szCs w:val="20"/>
          <w:color w:val="auto"/>
        </w:rPr>
        <w:tab/>
      </w:r>
      <w:r>
        <w:rPr>
          <w:rFonts w:ascii="Arial" w:cs="Arial" w:eastAsia="Arial" w:hAnsi="Arial"/>
          <w:sz w:val="16"/>
          <w:szCs w:val="16"/>
          <w:i w:val="1"/>
          <w:iCs w:val="1"/>
          <w:color w:val="auto"/>
        </w:rPr>
        <w:t>WILLIAM BLAIR</w:t>
      </w: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8043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8043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8043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8043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8043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8043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0" w:type="dxa"/>
            <w:vAlign w:val="bottom"/>
            <w:gridSpan w:val="6"/>
          </w:tcPr>
          <w:p>
            <w:pPr>
              <w:ind w:left="280"/>
              <w:spacing w:after="0"/>
              <w:rPr>
                <w:sz w:val="20"/>
                <w:szCs w:val="20"/>
                <w:color w:val="auto"/>
              </w:rPr>
            </w:pPr>
            <w:r>
              <w:rPr>
                <w:rFonts w:ascii="Arial" w:cs="Arial" w:eastAsia="Arial" w:hAnsi="Arial"/>
                <w:sz w:val="17"/>
                <w:szCs w:val="17"/>
                <w:b w:val="1"/>
                <w:bCs w:val="1"/>
                <w:color w:val="auto"/>
              </w:rPr>
              <w:t>TABLE OF CONTENTS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9"/>
            <w:vMerge w:val="restart"/>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Prospectus Summary</w:t>
              </w:r>
            </w:hyperlink>
          </w:p>
        </w:tc>
        <w:tc>
          <w:tcPr>
            <w:tcW w:w="7100" w:type="dxa"/>
            <w:vAlign w:val="bottom"/>
            <w:gridSpan w:val="17"/>
            <w:vMerge w:val="restart"/>
          </w:tcPr>
          <w:p>
            <w:pPr>
              <w:spacing w:after="0"/>
              <w:rPr>
                <w:sz w:val="24"/>
                <w:szCs w:val="24"/>
                <w:color w:val="auto"/>
              </w:rPr>
            </w:pPr>
          </w:p>
        </w:tc>
        <w:tc>
          <w:tcPr>
            <w:tcW w:w="440" w:type="dxa"/>
            <w:vAlign w:val="bottom"/>
            <w:gridSpan w:val="5"/>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440" w:type="dxa"/>
            <w:vAlign w:val="bottom"/>
            <w:gridSpan w:val="9"/>
            <w:vMerge w:val="continue"/>
          </w:tcPr>
          <w:p>
            <w:pPr>
              <w:spacing w:after="0"/>
              <w:rPr>
                <w:sz w:val="14"/>
                <w:szCs w:val="14"/>
                <w:color w:val="auto"/>
              </w:rPr>
            </w:pPr>
          </w:p>
        </w:tc>
        <w:tc>
          <w:tcPr>
            <w:tcW w:w="7100" w:type="dxa"/>
            <w:vAlign w:val="bottom"/>
            <w:gridSpan w:val="17"/>
            <w:vMerge w:val="continue"/>
          </w:tcPr>
          <w:p>
            <w:pPr>
              <w:spacing w:after="0"/>
              <w:rPr>
                <w:sz w:val="14"/>
                <w:szCs w:val="14"/>
                <w:color w:val="auto"/>
              </w:rPr>
            </w:pPr>
          </w:p>
        </w:tc>
        <w:tc>
          <w:tcPr>
            <w:tcW w:w="42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8">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gridSpan w:val="4"/>
          </w:tcPr>
          <w:p>
            <w:pPr>
              <w:spacing w:after="0" w:line="189" w:lineRule="exact"/>
              <w:rPr>
                <w:rFonts w:ascii="Arial" w:cs="Arial" w:eastAsia="Arial" w:hAnsi="Arial"/>
                <w:sz w:val="17"/>
                <w:szCs w:val="17"/>
                <w:color w:val="0000EE"/>
                <w:w w:val="88"/>
              </w:rPr>
            </w:pPr>
            <w:hyperlink w:anchor="page15">
              <w:r>
                <w:rPr>
                  <w:rFonts w:ascii="Arial" w:cs="Arial" w:eastAsia="Arial" w:hAnsi="Arial"/>
                  <w:sz w:val="17"/>
                  <w:szCs w:val="17"/>
                  <w:color w:val="0000EE"/>
                  <w:w w:val="88"/>
                </w:rPr>
                <w:t>The Offering</w:t>
              </w:r>
            </w:hyperlink>
          </w:p>
        </w:tc>
        <w:tc>
          <w:tcPr>
            <w:tcW w:w="560" w:type="dxa"/>
            <w:vAlign w:val="bottom"/>
            <w:gridSpan w:val="5"/>
          </w:tcPr>
          <w:p>
            <w:pPr>
              <w:spacing w:after="0"/>
              <w:rPr>
                <w:sz w:val="16"/>
                <w:szCs w:val="16"/>
                <w:color w:val="auto"/>
              </w:rPr>
            </w:pPr>
          </w:p>
        </w:tc>
        <w:tc>
          <w:tcPr>
            <w:tcW w:w="7100" w:type="dxa"/>
            <w:vAlign w:val="bottom"/>
            <w:gridSpan w:val="17"/>
          </w:tcPr>
          <w:p>
            <w:pPr>
              <w:spacing w:after="0"/>
              <w:rPr>
                <w:sz w:val="16"/>
                <w:szCs w:val="16"/>
                <w:color w:val="auto"/>
              </w:rPr>
            </w:pPr>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40" w:type="dxa"/>
            <w:vAlign w:val="bottom"/>
            <w:gridSpan w:val="17"/>
          </w:tcPr>
          <w:p>
            <w:pPr>
              <w:spacing w:after="0" w:line="189" w:lineRule="exact"/>
              <w:rPr>
                <w:rFonts w:ascii="Arial" w:cs="Arial" w:eastAsia="Arial" w:hAnsi="Arial"/>
                <w:sz w:val="17"/>
                <w:szCs w:val="17"/>
                <w:color w:val="0000EE"/>
                <w:w w:val="90"/>
              </w:rPr>
            </w:pPr>
            <w:hyperlink w:anchor="page16">
              <w:r>
                <w:rPr>
                  <w:rFonts w:ascii="Arial" w:cs="Arial" w:eastAsia="Arial" w:hAnsi="Arial"/>
                  <w:sz w:val="17"/>
                  <w:szCs w:val="17"/>
                  <w:color w:val="0000EE"/>
                  <w:w w:val="90"/>
                </w:rPr>
                <w:t>Summary Consolidated Financial Data</w:t>
              </w:r>
            </w:hyperlink>
          </w:p>
        </w:tc>
        <w:tc>
          <w:tcPr>
            <w:tcW w:w="5900" w:type="dxa"/>
            <w:vAlign w:val="bottom"/>
            <w:gridSpan w:val="9"/>
          </w:tcPr>
          <w:p>
            <w:pPr>
              <w:spacing w:after="0"/>
              <w:rPr>
                <w:sz w:val="16"/>
                <w:szCs w:val="16"/>
                <w:color w:val="auto"/>
              </w:rPr>
            </w:pPr>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40" w:type="dxa"/>
            <w:vAlign w:val="bottom"/>
            <w:gridSpan w:val="17"/>
          </w:tcPr>
          <w:p>
            <w:pPr>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Risk Factors</w:t>
              </w:r>
            </w:hyperlink>
          </w:p>
        </w:tc>
        <w:tc>
          <w:tcPr>
            <w:tcW w:w="5900" w:type="dxa"/>
            <w:vAlign w:val="bottom"/>
            <w:gridSpan w:val="9"/>
          </w:tcPr>
          <w:p>
            <w:pPr>
              <w:spacing w:after="0"/>
              <w:rPr>
                <w:sz w:val="16"/>
                <w:szCs w:val="16"/>
                <w:color w:val="auto"/>
              </w:rPr>
            </w:pPr>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Special Note Regarding Forward-Looking Statements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34</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Industry and Market Data</w:t>
              </w:r>
            </w:hyperlink>
          </w:p>
        </w:tc>
        <w:tc>
          <w:tcPr>
            <w:tcW w:w="4880" w:type="dxa"/>
            <w:vAlign w:val="bottom"/>
            <w:gridSpan w:val="4"/>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85"/>
              </w:rPr>
            </w:pPr>
            <w:hyperlink w:anchor="page43">
              <w:r>
                <w:rPr>
                  <w:rFonts w:ascii="Arial" w:cs="Arial" w:eastAsia="Arial" w:hAnsi="Arial"/>
                  <w:sz w:val="17"/>
                  <w:szCs w:val="17"/>
                  <w:color w:val="0000EE"/>
                  <w:w w:val="85"/>
                </w:rPr>
                <w:t>Use of Proceeds</w:t>
              </w:r>
            </w:hyperlink>
          </w:p>
        </w:tc>
        <w:tc>
          <w:tcPr>
            <w:tcW w:w="640" w:type="dxa"/>
            <w:vAlign w:val="bottom"/>
            <w:tcBorders>
              <w:top w:val="single" w:sz="8" w:color="0000EE"/>
            </w:tcBorders>
            <w:gridSpan w:val="4"/>
          </w:tcPr>
          <w:p>
            <w:pPr>
              <w:spacing w:after="0"/>
              <w:rPr>
                <w:sz w:val="16"/>
                <w:szCs w:val="16"/>
                <w:color w:val="auto"/>
              </w:rPr>
            </w:pPr>
          </w:p>
        </w:tc>
        <w:tc>
          <w:tcPr>
            <w:tcW w:w="6800" w:type="dxa"/>
            <w:vAlign w:val="bottom"/>
            <w:gridSpan w:val="14"/>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Market Price of Common Stock</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190"/>
        </w:trPr>
        <w:tc>
          <w:tcPr>
            <w:tcW w:w="2160" w:type="dxa"/>
            <w:vAlign w:val="bottom"/>
            <w:tcBorders>
              <w:top w:val="single" w:sz="8" w:color="0000EE"/>
            </w:tcBorders>
            <w:gridSpan w:val="15"/>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Dividend Policy</w:t>
              </w:r>
            </w:hyperlink>
          </w:p>
        </w:tc>
        <w:tc>
          <w:tcPr>
            <w:tcW w:w="6380" w:type="dxa"/>
            <w:vAlign w:val="bottom"/>
            <w:gridSpan w:val="11"/>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2"/>
              </w:rPr>
            </w:pPr>
            <w:hyperlink w:anchor="page45">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440" w:type="dxa"/>
            <w:vAlign w:val="bottom"/>
            <w:gridSpan w:val="18"/>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2560" w:type="dxa"/>
            <w:vAlign w:val="bottom"/>
            <w:tcBorders>
              <w:bottom w:val="single" w:sz="8" w:color="0000EE"/>
            </w:tcBorders>
            <w:gridSpan w:val="16"/>
          </w:tcPr>
          <w:p>
            <w:pPr>
              <w:spacing w:after="0" w:line="189" w:lineRule="exact"/>
              <w:rPr>
                <w:rFonts w:ascii="Arial" w:cs="Arial" w:eastAsia="Arial" w:hAnsi="Arial"/>
                <w:sz w:val="17"/>
                <w:szCs w:val="17"/>
                <w:color w:val="0000EE"/>
                <w:w w:val="89"/>
              </w:rPr>
            </w:pPr>
            <w:hyperlink w:anchor="page46">
              <w:r>
                <w:rPr>
                  <w:rFonts w:ascii="Arial" w:cs="Arial" w:eastAsia="Arial" w:hAnsi="Arial"/>
                  <w:sz w:val="17"/>
                  <w:szCs w:val="17"/>
                  <w:color w:val="0000EE"/>
                  <w:w w:val="89"/>
                </w:rPr>
                <w:t>Selected Consolidated Financial Data</w:t>
              </w:r>
            </w:hyperlink>
          </w:p>
        </w:tc>
        <w:tc>
          <w:tcPr>
            <w:tcW w:w="5980" w:type="dxa"/>
            <w:vAlign w:val="bottom"/>
            <w:gridSpan w:val="10"/>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5"/>
          </w:tcPr>
          <w:p>
            <w:pPr>
              <w:spacing w:after="0" w:line="189" w:lineRule="exact"/>
              <w:rPr>
                <w:rFonts w:ascii="Arial" w:cs="Arial" w:eastAsia="Arial" w:hAnsi="Arial"/>
                <w:sz w:val="17"/>
                <w:szCs w:val="17"/>
                <w:color w:val="0000EE"/>
                <w:w w:val="90"/>
              </w:rPr>
            </w:pPr>
            <w:hyperlink w:anchor="page51">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51">
              <w:r>
                <w:rPr>
                  <w:rFonts w:ascii="Arial" w:cs="Arial" w:eastAsia="Arial" w:hAnsi="Arial"/>
                  <w:sz w:val="17"/>
                  <w:szCs w:val="17"/>
                  <w:color w:val="0000EE"/>
                  <w:w w:val="84"/>
                </w:rPr>
                <w:t>44</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2"/>
          </w:tcPr>
          <w:p>
            <w:pPr>
              <w:spacing w:after="0" w:line="189"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Business</w:t>
              </w:r>
            </w:hyperlink>
          </w:p>
        </w:tc>
        <w:tc>
          <w:tcPr>
            <w:tcW w:w="7940" w:type="dxa"/>
            <w:vAlign w:val="bottom"/>
            <w:gridSpan w:val="24"/>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74</w:t>
              </w:r>
            </w:hyperlink>
          </w:p>
        </w:tc>
        <w:tc>
          <w:tcPr>
            <w:tcW w:w="0" w:type="dxa"/>
            <w:vAlign w:val="bottom"/>
          </w:tcPr>
          <w:p>
            <w:pPr>
              <w:spacing w:after="0"/>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Management</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93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Executive Compensation</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99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Certain Relationships and Related Party Transactions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110</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11"/>
          </w:tcPr>
          <w:p>
            <w:pPr>
              <w:spacing w:after="0"/>
              <w:rPr>
                <w:sz w:val="16"/>
                <w:szCs w:val="16"/>
                <w:color w:val="auto"/>
              </w:rPr>
            </w:pPr>
          </w:p>
        </w:tc>
        <w:tc>
          <w:tcPr>
            <w:tcW w:w="4920" w:type="dxa"/>
            <w:vAlign w:val="bottom"/>
            <w:gridSpan w:val="5"/>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19">
              <w:r>
                <w:rPr>
                  <w:rFonts w:ascii="Arial" w:cs="Arial" w:eastAsia="Arial" w:hAnsi="Arial"/>
                  <w:sz w:val="17"/>
                  <w:szCs w:val="17"/>
                  <w:color w:val="0000EE"/>
                  <w:w w:val="77"/>
                </w:rPr>
                <w:t>112</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w:anchor="page121">
              <w:r>
                <w:rPr>
                  <w:rFonts w:ascii="Arial" w:cs="Arial" w:eastAsia="Arial" w:hAnsi="Arial"/>
                  <w:sz w:val="17"/>
                  <w:szCs w:val="17"/>
                  <w:color w:val="0000EE"/>
                  <w:w w:val="91"/>
                </w:rPr>
                <w:t>Description of Capital Stock</w:t>
              </w:r>
            </w:hyperlink>
          </w:p>
        </w:tc>
        <w:tc>
          <w:tcPr>
            <w:tcW w:w="6600" w:type="dxa"/>
            <w:vAlign w:val="bottom"/>
            <w:gridSpan w:val="13"/>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21">
              <w:r>
                <w:rPr>
                  <w:rFonts w:ascii="Arial" w:cs="Arial" w:eastAsia="Arial" w:hAnsi="Arial"/>
                  <w:sz w:val="17"/>
                  <w:szCs w:val="17"/>
                  <w:color w:val="0000EE"/>
                  <w:w w:val="77"/>
                </w:rPr>
                <w:t>114</w:t>
              </w:r>
            </w:hyperlink>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gridSpan w:val="14"/>
          </w:tcPr>
          <w:p>
            <w:pPr>
              <w:spacing w:after="0" w:line="189" w:lineRule="exact"/>
              <w:rPr>
                <w:rFonts w:ascii="Arial" w:cs="Arial" w:eastAsia="Arial" w:hAnsi="Arial"/>
                <w:sz w:val="17"/>
                <w:szCs w:val="17"/>
                <w:color w:val="0000EE"/>
                <w:w w:val="90"/>
              </w:rPr>
            </w:pPr>
            <w:hyperlink w:anchor="page125">
              <w:r>
                <w:rPr>
                  <w:rFonts w:ascii="Arial" w:cs="Arial" w:eastAsia="Arial" w:hAnsi="Arial"/>
                  <w:sz w:val="17"/>
                  <w:szCs w:val="17"/>
                  <w:color w:val="0000EE"/>
                  <w:w w:val="90"/>
                </w:rPr>
                <w:t>Shares Eligible for Future Sale</w:t>
              </w:r>
            </w:hyperlink>
          </w:p>
        </w:tc>
        <w:tc>
          <w:tcPr>
            <w:tcW w:w="6440" w:type="dxa"/>
            <w:vAlign w:val="bottom"/>
            <w:gridSpan w:val="12"/>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25">
              <w:r>
                <w:rPr>
                  <w:rFonts w:ascii="Arial" w:cs="Arial" w:eastAsia="Arial" w:hAnsi="Arial"/>
                  <w:sz w:val="17"/>
                  <w:szCs w:val="17"/>
                  <w:color w:val="0000EE"/>
                  <w:w w:val="77"/>
                </w:rPr>
                <w:t>118</w:t>
              </w:r>
            </w:hyperlink>
          </w:p>
        </w:tc>
        <w:tc>
          <w:tcPr>
            <w:tcW w:w="0" w:type="dxa"/>
            <w:vAlign w:val="bottom"/>
          </w:tcPr>
          <w:p>
            <w:pPr>
              <w:spacing w:after="0"/>
              <w:rPr>
                <w:sz w:val="1"/>
                <w:szCs w:val="1"/>
                <w:color w:val="auto"/>
              </w:rPr>
            </w:pPr>
          </w:p>
        </w:tc>
      </w:tr>
      <w:tr>
        <w:trPr>
          <w:trHeight w:val="190"/>
        </w:trPr>
        <w:tc>
          <w:tcPr>
            <w:tcW w:w="5840" w:type="dxa"/>
            <w:vAlign w:val="bottom"/>
            <w:tcBorders>
              <w:bottom w:val="single" w:sz="8" w:color="0000EE"/>
            </w:tcBorders>
            <w:gridSpan w:val="24"/>
          </w:tcPr>
          <w:p>
            <w:pPr>
              <w:spacing w:after="0" w:line="189" w:lineRule="exact"/>
              <w:rPr>
                <w:rFonts w:ascii="Arial" w:cs="Arial" w:eastAsia="Arial" w:hAnsi="Arial"/>
                <w:sz w:val="17"/>
                <w:szCs w:val="17"/>
                <w:color w:val="0000EE"/>
                <w:w w:val="89"/>
              </w:rPr>
            </w:pPr>
            <w:hyperlink w:anchor="page127">
              <w:r>
                <w:rPr>
                  <w:rFonts w:ascii="Arial" w:cs="Arial" w:eastAsia="Arial" w:hAnsi="Arial"/>
                  <w:sz w:val="17"/>
                  <w:szCs w:val="17"/>
                  <w:color w:val="0000EE"/>
                  <w:w w:val="89"/>
                </w:rPr>
                <w:t>Material U.S. Federal Income Tax and Estate Tax Consequences to Non-U.S. Holders</w:t>
              </w:r>
            </w:hyperlink>
          </w:p>
        </w:tc>
        <w:tc>
          <w:tcPr>
            <w:tcW w:w="27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27">
              <w:r>
                <w:rPr>
                  <w:rFonts w:ascii="Arial" w:cs="Arial" w:eastAsia="Arial" w:hAnsi="Arial"/>
                  <w:sz w:val="17"/>
                  <w:szCs w:val="17"/>
                  <w:color w:val="0000EE"/>
                  <w:w w:val="77"/>
                </w:rPr>
                <w:t>120</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000EE"/>
            </w:tcBorders>
            <w:gridSpan w:val="5"/>
          </w:tcPr>
          <w:p>
            <w:pPr>
              <w:spacing w:after="0" w:line="189" w:lineRule="exact"/>
              <w:rPr>
                <w:rFonts w:ascii="Arial" w:cs="Arial" w:eastAsia="Arial" w:hAnsi="Arial"/>
                <w:sz w:val="17"/>
                <w:szCs w:val="17"/>
                <w:color w:val="0000EE"/>
                <w:w w:val="94"/>
              </w:rPr>
            </w:pPr>
            <w:hyperlink w:anchor="page131">
              <w:r>
                <w:rPr>
                  <w:rFonts w:ascii="Arial" w:cs="Arial" w:eastAsia="Arial" w:hAnsi="Arial"/>
                  <w:sz w:val="17"/>
                  <w:szCs w:val="17"/>
                  <w:color w:val="0000EE"/>
                  <w:w w:val="94"/>
                </w:rPr>
                <w:t>Underwriting</w:t>
              </w:r>
            </w:hyperlink>
          </w:p>
        </w:tc>
        <w:tc>
          <w:tcPr>
            <w:tcW w:w="7620" w:type="dxa"/>
            <w:vAlign w:val="bottom"/>
            <w:gridSpan w:val="21"/>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124</w:t>
              </w:r>
            </w:hyperlink>
          </w:p>
        </w:tc>
        <w:tc>
          <w:tcPr>
            <w:tcW w:w="0" w:type="dxa"/>
            <w:vAlign w:val="bottom"/>
          </w:tcPr>
          <w:p>
            <w:pPr>
              <w:spacing w:after="0"/>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Legal Matters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128</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5">
              <w:r>
                <w:rPr>
                  <w:rFonts w:ascii="Arial" w:cs="Arial" w:eastAsia="Arial" w:hAnsi="Arial"/>
                  <w:sz w:val="17"/>
                  <w:szCs w:val="17"/>
                  <w:color w:val="0000EE"/>
                  <w:w w:val="86"/>
                </w:rPr>
                <w:t>Experts</w:t>
              </w:r>
            </w:hyperlink>
          </w:p>
        </w:tc>
        <w:tc>
          <w:tcPr>
            <w:tcW w:w="420" w:type="dxa"/>
            <w:vAlign w:val="bottom"/>
            <w:tcBorders>
              <w:top w:val="single" w:sz="8" w:color="0000EE"/>
            </w:tcBorders>
            <w:gridSpan w:val="5"/>
          </w:tcPr>
          <w:p>
            <w:pPr>
              <w:spacing w:after="0"/>
              <w:rPr>
                <w:sz w:val="16"/>
                <w:szCs w:val="16"/>
                <w:color w:val="auto"/>
              </w:rPr>
            </w:pPr>
          </w:p>
        </w:tc>
        <w:tc>
          <w:tcPr>
            <w:tcW w:w="7600" w:type="dxa"/>
            <w:vAlign w:val="bottom"/>
            <w:gridSpan w:val="20"/>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35">
              <w:r>
                <w:rPr>
                  <w:rFonts w:ascii="Arial" w:cs="Arial" w:eastAsia="Arial" w:hAnsi="Arial"/>
                  <w:sz w:val="17"/>
                  <w:szCs w:val="17"/>
                  <w:color w:val="0000EE"/>
                  <w:w w:val="77"/>
                </w:rPr>
                <w:t>128</w:t>
              </w:r>
            </w:hyperlink>
          </w:p>
        </w:tc>
        <w:tc>
          <w:tcPr>
            <w:tcW w:w="0" w:type="dxa"/>
            <w:vAlign w:val="bottom"/>
          </w:tcPr>
          <w:p>
            <w:pPr>
              <w:spacing w:after="0"/>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Where You Can Find More Information</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128</w:t>
              </w:r>
            </w:hyperlink>
          </w:p>
        </w:tc>
        <w:tc>
          <w:tcPr>
            <w:tcW w:w="0" w:type="dxa"/>
            <w:vAlign w:val="bottom"/>
          </w:tcPr>
          <w:p>
            <w:pPr>
              <w:spacing w:after="0"/>
              <w:rPr>
                <w:sz w:val="1"/>
                <w:szCs w:val="1"/>
                <w:color w:val="auto"/>
              </w:rPr>
            </w:pPr>
          </w:p>
        </w:tc>
      </w:tr>
      <w:tr>
        <w:trPr>
          <w:trHeight w:val="20"/>
        </w:trPr>
        <w:tc>
          <w:tcPr>
            <w:tcW w:w="2700" w:type="dxa"/>
            <w:vAlign w:val="bottom"/>
            <w:gridSpan w:val="1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6"/>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Index to Consolidated Financial Statements</w:t>
              </w:r>
            </w:hyperlink>
          </w:p>
        </w:tc>
        <w:tc>
          <w:tcPr>
            <w:tcW w:w="180" w:type="dxa"/>
            <w:vAlign w:val="bottom"/>
          </w:tcPr>
          <w:p>
            <w:pPr>
              <w:spacing w:after="0"/>
              <w:rPr>
                <w:sz w:val="16"/>
                <w:szCs w:val="16"/>
                <w:color w:val="auto"/>
              </w:rPr>
            </w:pPr>
          </w:p>
        </w:tc>
        <w:tc>
          <w:tcPr>
            <w:tcW w:w="260" w:type="dxa"/>
            <w:vAlign w:val="bottom"/>
            <w:gridSpan w:val="4"/>
          </w:tcPr>
          <w:p>
            <w:pPr>
              <w:spacing w:after="0" w:line="189" w:lineRule="exact"/>
              <w:rPr>
                <w:rFonts w:ascii="Arial" w:cs="Arial" w:eastAsia="Arial" w:hAnsi="Arial"/>
                <w:sz w:val="17"/>
                <w:szCs w:val="17"/>
                <w:color w:val="0000EE"/>
                <w:w w:val="93"/>
              </w:rPr>
            </w:pPr>
            <w:hyperlink w:anchor="page136">
              <w:r>
                <w:rPr>
                  <w:rFonts w:ascii="Arial" w:cs="Arial" w:eastAsia="Arial" w:hAnsi="Arial"/>
                  <w:sz w:val="17"/>
                  <w:szCs w:val="17"/>
                  <w:color w:val="0000EE"/>
                  <w:w w:val="93"/>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531"/>
        <w:spacing w:after="0" w:line="26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Neither we nor the underwriters have authorized anyone to provide you with information that is different from that contained in this prospectus. We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prospects may have changed since that date.</w:t>
      </w:r>
    </w:p>
    <w:p>
      <w:pPr>
        <w:spacing w:after="0" w:line="188"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Until , 2013 (25 days after the commencement of this offering), all dealers that buy, sell or trade the common stock, may be required to deliver a prospectus, regardless of whether they are participating in this offering. This is in addition to the dealers' obligation to deliver a prospectus when acting as underwriters and with respect to their unsold allotments or subscriptions.</w:t>
      </w:r>
    </w:p>
    <w:p>
      <w:pPr>
        <w:spacing w:after="0" w:line="179"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33"/>
        <w:spacing w:after="0" w:line="263" w:lineRule="auto"/>
        <w:rPr>
          <w:sz w:val="20"/>
          <w:szCs w:val="20"/>
          <w:color w:val="auto"/>
        </w:rPr>
      </w:pPr>
      <w:r>
        <w:rPr>
          <w:rFonts w:ascii="Arial" w:cs="Arial" w:eastAsia="Arial" w:hAnsi="Arial"/>
          <w:sz w:val="17"/>
          <w:szCs w:val="17"/>
          <w:i w:val="1"/>
          <w:iCs w:val="1"/>
          <w:color w:val="auto"/>
        </w:rPr>
        <w:t>The following summary highlights information contained elsewhere in this prospectus and does not contain all of the information that you should consider making your investment decision. Before investing in our common stock, you should carefully read this entire prospectus, including our consolidated financi statements and the related notes and the information set forth in the sections of this prospectus titled "Risk Factors" and "Management's Discussion and Analysis Financial Condition and Results of Operations." Some of the statements in this prospectus constitute forward-looking statements. See the section of this prospect titled "Special Note Regarding Forward-Looking Statements" for more information.</w:t>
      </w:r>
    </w:p>
    <w:p>
      <w:pPr>
        <w:spacing w:after="0" w:line="39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489"/>
        <w:spacing w:after="0" w:line="278" w:lineRule="auto"/>
        <w:rPr>
          <w:sz w:val="20"/>
          <w:szCs w:val="20"/>
          <w:color w:val="auto"/>
        </w:rPr>
      </w:pPr>
      <w:r>
        <w:rPr>
          <w:rFonts w:ascii="Arial" w:cs="Arial" w:eastAsia="Arial" w:hAnsi="Arial"/>
          <w:sz w:val="16"/>
          <w:szCs w:val="16"/>
          <w:color w:val="auto"/>
        </w:rPr>
        <w:t>Shutterstock operates an industry-leading global marketplace for commercial digital imagery. Commercial digital imagery consists of licensed photograph illustrations and video clips that companies use in their visual communications, such as websites, digital and print marketing materials, corporate communication books, publications and video content. Demand for commercial digital imagery comes primarily from businesses, marketing agencies and media organizations. W estimate that the market for pre-shot commercial digital imagery will grow from approximately $4 billion in 2011 to approximately $6 billion in 2016, based on study conducted on our behalf by L.E.K. Consulting LLC. There has been a significant increase in the demand for commercial digital imagery as rapid technologic advances have reduced the cost and effort required to create, license and use images. Our global online marketplace brings together users of commercial digit imagery with image creators from around the world. More than 750,000 active, paying users contributed to revenue in 2012. More than 40,000 approved contributo make their images and video clips available in our collection, which has grown to more than 28 million images and more than 1 million video clips. This makes o collection one of the largest of its kind, and, in the twelve months ended December 31, 2012, we delivered more than 76 million paid downloads (including bo commercial and editorial images) to our customers.</w:t>
      </w:r>
    </w:p>
    <w:p>
      <w:pPr>
        <w:spacing w:after="0" w:line="176" w:lineRule="exact"/>
        <w:rPr>
          <w:sz w:val="20"/>
          <w:szCs w:val="20"/>
          <w:color w:val="auto"/>
        </w:rPr>
      </w:pPr>
    </w:p>
    <w:p>
      <w:pPr>
        <w:jc w:val="both"/>
        <w:ind w:left="240" w:firstLine="345"/>
        <w:spacing w:after="0" w:line="283" w:lineRule="auto"/>
        <w:rPr>
          <w:sz w:val="20"/>
          <w:szCs w:val="20"/>
          <w:color w:val="auto"/>
        </w:rPr>
      </w:pPr>
      <w:r>
        <w:rPr>
          <w:rFonts w:ascii="Arial" w:cs="Arial" w:eastAsia="Arial" w:hAnsi="Arial"/>
          <w:sz w:val="16"/>
          <w:szCs w:val="16"/>
          <w:color w:val="auto"/>
        </w:rPr>
        <w:t>Our online marketplace provides a freely searchable collection of commercial digital imagery (i.e., stock photography, illustrations, vectors, video clips, templat and fonts) that our users can pay to license, download and incorporate into their work. We compensate contributors for each of their images or video clips that downloaded. This marketplace model allows us to offer users a disruptive, low-cost and easy-to-use alternative to the time-consuming and expensive tradition methods of obtaining commercial imagery. It enables millions of small and medium-sized businesses, or SMBs, to affordably access commercial digital imagery, a allows larger enterprises and media agencies to more easily and efficiently satisfy their increasing image needs.</w:t>
      </w:r>
    </w:p>
    <w:p>
      <w:pPr>
        <w:spacing w:after="0" w:line="174" w:lineRule="exact"/>
        <w:rPr>
          <w:sz w:val="20"/>
          <w:szCs w:val="20"/>
          <w:color w:val="auto"/>
        </w:rPr>
      </w:pPr>
    </w:p>
    <w:p>
      <w:pPr>
        <w:jc w:val="both"/>
        <w:ind w:left="240" w:firstLine="341"/>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imagery from contributor This increased selection of imagery has in turn helped to attract more paying users. The success of this network effect is facilitated by the trust that users place Shutterstock to maintain the integrity of our branded marketplace. Every contributor in our marketplace and every image we make available must pass our proprieta screening process and meet our standards of quality. In addition, and unlike the significant majority of free images available online, our rigorous vetting proce enables us to provide confidence and indemnification to our users that the content in our collection has been appropriately licensed for commercial or editorial use.</w:t>
      </w:r>
    </w:p>
    <w:p>
      <w:pPr>
        <w:spacing w:after="0" w:line="159" w:lineRule="exact"/>
        <w:rPr>
          <w:sz w:val="20"/>
          <w:szCs w:val="20"/>
          <w:color w:val="auto"/>
        </w:rPr>
      </w:pPr>
    </w:p>
    <w:p>
      <w:pPr>
        <w:jc w:val="both"/>
        <w:ind w:left="240" w:firstLine="395"/>
        <w:spacing w:after="0" w:line="311" w:lineRule="auto"/>
        <w:rPr>
          <w:sz w:val="20"/>
          <w:szCs w:val="20"/>
          <w:color w:val="auto"/>
        </w:rPr>
      </w:pPr>
      <w:r>
        <w:rPr>
          <w:rFonts w:ascii="Arial" w:cs="Arial" w:eastAsia="Arial" w:hAnsi="Arial"/>
          <w:sz w:val="15"/>
          <w:szCs w:val="15"/>
          <w:color w:val="auto"/>
        </w:rPr>
        <w:t>We make the licensing of images and video clips affordable, simple and easy in order to encourage a high volume of purchases and downloads. Our customer average cost per download was $2.23 in 2012. We are a pioneer of the subscription-based usage model in our industry, whereby subscribers can download and use large number of images in their creative process without concern for the incremental cost of each download. A significant majority of our downloads come fro subscription-based users, who contribute approximately half of our revenue. We also offer simple and easy-to-use On Demand purchase options for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40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54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60"/>
        <w:spacing w:after="0" w:line="294" w:lineRule="auto"/>
        <w:rPr>
          <w:sz w:val="20"/>
          <w:szCs w:val="20"/>
          <w:color w:val="auto"/>
        </w:rPr>
      </w:pPr>
      <w:r>
        <w:rPr>
          <w:rFonts w:ascii="Arial" w:cs="Arial" w:eastAsia="Arial" w:hAnsi="Arial"/>
          <w:sz w:val="16"/>
          <w:szCs w:val="16"/>
          <w:color w:val="auto"/>
        </w:rPr>
        <w:t>users who purchase imagery when and as needed. As a result of our simple and affordable licensing models, we believe that we achieved the highest volume commercial image downloads of any single brand in our industry in 2012. In addition to generating revenue, this high volume of download activity allows us continually improve the quality and accuracy of our search algorithms, as well as to encourage the creation of new content to meet our users' needs.</w:t>
      </w:r>
    </w:p>
    <w:p>
      <w:pPr>
        <w:spacing w:after="0" w:line="163" w:lineRule="exact"/>
        <w:rPr>
          <w:sz w:val="20"/>
          <w:szCs w:val="20"/>
          <w:color w:val="auto"/>
        </w:rPr>
      </w:pPr>
    </w:p>
    <w:p>
      <w:pPr>
        <w:jc w:val="both"/>
        <w:ind w:left="240" w:firstLine="462"/>
        <w:spacing w:after="0" w:line="262" w:lineRule="auto"/>
        <w:rPr>
          <w:sz w:val="20"/>
          <w:szCs w:val="20"/>
          <w:color w:val="auto"/>
        </w:rPr>
      </w:pPr>
      <w:r>
        <w:rPr>
          <w:rFonts w:ascii="Arial" w:cs="Arial" w:eastAsia="Arial" w:hAnsi="Arial"/>
          <w:sz w:val="17"/>
          <w:szCs w:val="17"/>
          <w:color w:val="auto"/>
        </w:rPr>
        <w:t>Our revenue is diversified and predictable. More than 750,000 customers from more than 150 countries contributed to our revenue in 2012, with our top 2 customers in the aggregate accounting for less than 3% of our revenue. We have historically benefitted from a high degree of revenue retention from both subscriptio based and On Demand customers. For example, in 2010, 2011 and 2012, we experienced year-to-year revenue retention of 96%, 102% and 100%, respectively. Th means that customers that contributed to our revenue in 2011 contributed, in the aggregate, 100% as much revenue in 2012 as they did in 2011. Customers typical pay us upfront and then use their downloads in a predictable pattern over time, which results in favorable cash flow characteristics and has historically adde predictability and stability to our financial performance.</w:t>
      </w:r>
    </w:p>
    <w:p>
      <w:pPr>
        <w:spacing w:after="0" w:line="188" w:lineRule="exact"/>
        <w:rPr>
          <w:sz w:val="20"/>
          <w:szCs w:val="20"/>
          <w:color w:val="auto"/>
        </w:rPr>
      </w:pPr>
    </w:p>
    <w:p>
      <w:pPr>
        <w:jc w:val="both"/>
        <w:ind w:left="240" w:firstLine="348"/>
        <w:spacing w:after="0" w:line="281" w:lineRule="auto"/>
        <w:rPr>
          <w:sz w:val="20"/>
          <w:szCs w:val="20"/>
          <w:color w:val="auto"/>
        </w:rPr>
      </w:pPr>
      <w:r>
        <w:rPr>
          <w:rFonts w:ascii="Arial" w:cs="Arial" w:eastAsia="Arial" w:hAnsi="Arial"/>
          <w:sz w:val="16"/>
          <w:szCs w:val="16"/>
          <w:color w:val="auto"/>
        </w:rPr>
        <w:t>We have achieved significant growth since our marketplace was launched in 2003. In 2011 and 2012, we generated revenue of $120.3 million and $169.6 millio respectively, representing year-over-year growth of 45.0% and 41.0%, respectively. In 2011 and 2012, we generated Adjusted EBITDA of $26.5 million an $34.9 million, respectively, Non-GAAP Net Income of $23.9 million and $28.0 million, respectively, and Free Cash Flow of $36.1 million and $41.5 millio respectively. See "Summary Consolidated Financial Data—Non-GAAP Financial Measures." In 2011 and 2012, our net income was $21.9 million and $47.5 millio respectively. In 2012, net income included a one-time tax benefit of $28.8 million related to our conversion to a Delaware C-corporation on October 5, 2012. We are global business; in 2012, 35% of our revenue came from North America, 37% came from Europe and 28% came from the rest of the world.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left="240" w:firstLine="420"/>
        <w:spacing w:after="0" w:line="283" w:lineRule="auto"/>
        <w:rPr>
          <w:sz w:val="20"/>
          <w:szCs w:val="20"/>
          <w:color w:val="auto"/>
        </w:rPr>
      </w:pPr>
      <w:r>
        <w:rPr>
          <w:rFonts w:ascii="Arial" w:cs="Arial" w:eastAsia="Arial" w:hAnsi="Arial"/>
          <w:sz w:val="16"/>
          <w:szCs w:val="16"/>
          <w:color w:val="auto"/>
        </w:rPr>
        <w:t>Images help businesses to communicate and engage with customers, market products and differentiate their brands. Companies invest in imagery for the sam reasons they invest in marketing, advertising and media production: to increase the impact, engagement and differentiation of their communications. From the smalle start-ups to the largest multinationals, companies pay to license photographs, video clips and illustrations for use in print and digital marketing materials, corpora communications, external and internal websites, social networking sites, mobile applications, games and videos. Imagery is also widely used in publishing book eBooks, magazines and news articles. The demand for paid imagery in a commercial context comes primarily from:</w:t>
      </w:r>
    </w:p>
    <w:p>
      <w:pPr>
        <w:spacing w:after="0" w:line="200"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60" w:lineRule="exact"/>
        <w:rPr>
          <w:rFonts w:ascii="Arial" w:cs="Arial" w:eastAsia="Arial" w:hAnsi="Arial"/>
          <w:sz w:val="15"/>
          <w:szCs w:val="15"/>
          <w:color w:val="auto"/>
        </w:rPr>
      </w:pPr>
    </w:p>
    <w:p>
      <w:pPr>
        <w:ind w:left="1280" w:right="20" w:hanging="524"/>
        <w:spacing w:after="0" w:line="282"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left="240" w:firstLine="485"/>
        <w:spacing w:after="0" w:line="265" w:lineRule="auto"/>
        <w:rPr>
          <w:sz w:val="20"/>
          <w:szCs w:val="20"/>
          <w:color w:val="auto"/>
        </w:rPr>
      </w:pPr>
      <w:r>
        <w:rPr>
          <w:rFonts w:ascii="Arial" w:cs="Arial" w:eastAsia="Arial" w:hAnsi="Arial"/>
          <w:sz w:val="17"/>
          <w:szCs w:val="17"/>
          <w:color w:val="auto"/>
        </w:rPr>
        <w:t>These professional users of imagery are very selective about where they source their images; images must be of high quality and must fulfill the licensin obligations necessary for use in a commercial context. These requirements were historically fulfilled by commissioning images for specific purposes, or licensing pr shot images from a catalog or database. This typically cost hundreds or thousands of dollars per image, which made licensing imagery affordable only for larg companies with significant marketing or creative budgets.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73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497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361"/>
        <w:spacing w:after="0" w:line="306" w:lineRule="auto"/>
        <w:rPr>
          <w:sz w:val="20"/>
          <w:szCs w:val="20"/>
          <w:color w:val="auto"/>
        </w:rPr>
      </w:pPr>
      <w:r>
        <w:rPr>
          <w:rFonts w:ascii="Arial" w:cs="Arial" w:eastAsia="Arial" w:hAnsi="Arial"/>
          <w:sz w:val="15"/>
          <w:szCs w:val="15"/>
          <w:color w:val="auto"/>
        </w:rPr>
        <w:t>Rapid technological changes have caused a significant shift in the economics of demand and supply for commercial digital imagery. The rise of digital marketi and increases in the type and frequency of visual communications employed by businesses has caused a dramatic increase in demand for licensed imagery. At the sam time, affordable, high-quality cameras and video cameras, as well as high performance photo and video-editing software, are enabling millions of people around t world to create commercial-quality digital imagery at a very low cost. Online marketplaces use the disruptive power of the internet to bring these highly fragment groups together so that businesses of all sizes can quickly search for, find, and download affordable visual content to enhance their communications.</w:t>
      </w:r>
    </w:p>
    <w:p>
      <w:pPr>
        <w:spacing w:after="0" w:line="159" w:lineRule="exact"/>
        <w:rPr>
          <w:sz w:val="20"/>
          <w:szCs w:val="20"/>
          <w:color w:val="auto"/>
        </w:rPr>
      </w:pPr>
    </w:p>
    <w:p>
      <w:pPr>
        <w:jc w:val="both"/>
        <w:ind w:left="240" w:firstLine="417"/>
        <w:spacing w:after="0" w:line="263" w:lineRule="auto"/>
        <w:rPr>
          <w:sz w:val="20"/>
          <w:szCs w:val="20"/>
          <w:color w:val="auto"/>
        </w:rPr>
      </w:pPr>
      <w:r>
        <w:rPr>
          <w:rFonts w:ascii="Arial" w:cs="Arial" w:eastAsia="Arial" w:hAnsi="Arial"/>
          <w:sz w:val="17"/>
          <w:szCs w:val="17"/>
          <w:color w:val="auto"/>
        </w:rPr>
        <w:t>We estimate that the market for pre-shot commercial imagery was approximately $4 billion in 2011 and that it will grow to approximately $6 billion by 201 based on a study conducted on our behalf in August 2012 by L.E.K. Consulting LLC, or L.E.K. Within this market, the "traditional stock photography" segmen which has historically served larger businesses, is expected to remain stable at approximately $2.3 billion between 2011 and 2016. The stock photography marketpla segment along with the market for all other commercial digital imagery (i.e., stock illustrations, vectors, video clips, templates and fonts) is expected to grow 15-20 annually during that same period to a total of more than $3.5 billion in 2016.</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jc w:val="both"/>
        <w:ind w:left="240" w:firstLine="543"/>
        <w:spacing w:after="0" w:line="265" w:lineRule="auto"/>
        <w:rPr>
          <w:sz w:val="20"/>
          <w:szCs w:val="20"/>
          <w:color w:val="auto"/>
        </w:rPr>
      </w:pPr>
      <w:r>
        <w:rPr>
          <w:rFonts w:ascii="Arial" w:cs="Arial" w:eastAsia="Arial" w:hAnsi="Arial"/>
          <w:sz w:val="17"/>
          <w:szCs w:val="17"/>
          <w:color w:val="auto"/>
        </w:rPr>
        <w:t>Even with the advent of websites capable of sourcing and providing commercial digital imagery, significant challenges remain for users of many onli marketplaces, including limited selection, difficulties in finding images quickly, high or complex pricing, poor image quality, and a lack of appropriate licensing an legal protection. At the same time, the creators of commercial digital imagery face obstacles to easily upload, market and distribute their images to a large audienc They also lack tools for discovering the kinds of content that customers demand.</w:t>
      </w:r>
    </w:p>
    <w:p>
      <w:pPr>
        <w:sectPr>
          <w:pgSz w:w="11900" w:h="16838" w:orient="portrait"/>
          <w:cols w:equalWidth="0" w:num="1">
            <w:col w:w="11520"/>
          </w:cols>
          <w:pgMar w:left="240" w:top="131" w:right="139" w:bottom="1440" w:gutter="0" w:footer="0" w:header="0"/>
        </w:sectPr>
      </w:pP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Key Benefits for Our Users</w:t>
      </w:r>
    </w:p>
    <w:p>
      <w:pPr>
        <w:spacing w:after="0" w:line="248" w:lineRule="exact"/>
        <w:rPr>
          <w:sz w:val="20"/>
          <w:szCs w:val="20"/>
          <w:color w:val="auto"/>
        </w:rPr>
      </w:pPr>
    </w:p>
    <w:p>
      <w:pPr>
        <w:ind w:left="400" w:hanging="168"/>
        <w:spacing w:after="0"/>
        <w:tabs>
          <w:tab w:leader="none" w:pos="400" w:val="left"/>
        </w:tabs>
        <w:numPr>
          <w:ilvl w:val="0"/>
          <w:numId w:val="3"/>
        </w:numPr>
        <w:rPr>
          <w:rFonts w:ascii="Arial" w:cs="Arial" w:eastAsia="Arial" w:hAnsi="Arial"/>
          <w:sz w:val="19"/>
          <w:szCs w:val="19"/>
          <w:color w:val="auto"/>
        </w:rPr>
      </w:pPr>
      <w:r>
        <w:rPr>
          <w:rFonts w:ascii="Arial" w:cs="Arial" w:eastAsia="Arial" w:hAnsi="Arial"/>
          <w:sz w:val="15"/>
          <w:szCs w:val="15"/>
          <w:i w:val="1"/>
          <w:iCs w:val="1"/>
          <w:color w:val="auto"/>
        </w:rPr>
        <w:t>Millions of high-quality images and video clips available for commercial use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00" w:hanging="168"/>
        <w:spacing w:after="0"/>
        <w:tabs>
          <w:tab w:leader="none" w:pos="40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Superior search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currently provide a licensable digital collection of more than 28 millio images and more than 1 million video clips, one of the largest collections of i kind. We source our content from over 40,000 approved contributors in mo than 100 countries.</w:t>
      </w:r>
    </w:p>
    <w:p>
      <w:pPr>
        <w:spacing w:after="0" w:line="18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consider our proprietary search interface and algorithms to be intuitive an efficient, allowing users with widely ranging search queries to quickly find t most suitable image for their needs. We believe that, with one of the highe volumes of downloads of commercial content in 2012, we have the data power the best search experience in our industry.</w:t>
      </w:r>
    </w:p>
    <w:p>
      <w:pPr>
        <w:spacing w:after="0" w:line="200" w:lineRule="exact"/>
        <w:rPr>
          <w:sz w:val="20"/>
          <w:szCs w:val="20"/>
          <w:color w:val="auto"/>
        </w:rPr>
      </w:pPr>
    </w:p>
    <w:p>
      <w:pPr>
        <w:sectPr>
          <w:pgSz w:w="11900" w:h="16838" w:orient="portrait"/>
          <w:cols w:equalWidth="0" w:num="2">
            <w:col w:w="5660" w:space="520"/>
            <w:col w:w="5340"/>
          </w:cols>
          <w:pgMar w:left="240" w:top="131" w:right="1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4307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430784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168"/>
        <w:spacing w:after="0"/>
        <w:tabs>
          <w:tab w:leader="none" w:pos="400" w:val="left"/>
        </w:tabs>
        <w:numPr>
          <w:ilvl w:val="0"/>
          <w:numId w:val="4"/>
        </w:numPr>
        <w:rPr>
          <w:rFonts w:ascii="Arial" w:cs="Arial" w:eastAsia="Arial" w:hAnsi="Arial"/>
          <w:sz w:val="21"/>
          <w:szCs w:val="21"/>
          <w:color w:val="auto"/>
        </w:rPr>
      </w:pPr>
      <w:r>
        <w:rPr>
          <w:rFonts w:ascii="Arial" w:cs="Arial" w:eastAsia="Arial" w:hAnsi="Arial"/>
          <w:sz w:val="17"/>
          <w:szCs w:val="17"/>
          <w:i w:val="1"/>
          <w:iCs w:val="1"/>
          <w:color w:val="auto"/>
        </w:rPr>
        <w:t>Low cost of content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9" w:lineRule="exact"/>
        <w:rPr>
          <w:rFonts w:ascii="Arial" w:cs="Arial" w:eastAsia="Arial" w:hAnsi="Arial"/>
          <w:sz w:val="21"/>
          <w:szCs w:val="21"/>
          <w:color w:val="auto"/>
        </w:rPr>
      </w:pPr>
    </w:p>
    <w:p>
      <w:pPr>
        <w:ind w:left="400" w:hanging="168"/>
        <w:spacing w:after="0"/>
        <w:tabs>
          <w:tab w:leader="none" w:pos="400" w:val="left"/>
        </w:tabs>
        <w:numPr>
          <w:ilvl w:val="0"/>
          <w:numId w:val="4"/>
        </w:numPr>
        <w:rPr>
          <w:rFonts w:ascii="Arial" w:cs="Arial" w:eastAsia="Arial" w:hAnsi="Arial"/>
          <w:sz w:val="19"/>
          <w:szCs w:val="19"/>
          <w:color w:val="auto"/>
        </w:rPr>
      </w:pPr>
      <w:r>
        <w:rPr>
          <w:rFonts w:ascii="Arial" w:cs="Arial" w:eastAsia="Arial" w:hAnsi="Arial"/>
          <w:sz w:val="15"/>
          <w:szCs w:val="15"/>
          <w:i w:val="1"/>
          <w:iCs w:val="1"/>
          <w:color w:val="auto"/>
        </w:rPr>
        <w:t>Creative freedom through simple pricing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left="400" w:hanging="168"/>
        <w:spacing w:after="0"/>
        <w:tabs>
          <w:tab w:leader="none" w:pos="400" w:val="left"/>
        </w:tabs>
        <w:numPr>
          <w:ilvl w:val="0"/>
          <w:numId w:val="4"/>
        </w:numPr>
        <w:rPr>
          <w:rFonts w:ascii="Arial" w:cs="Arial" w:eastAsia="Arial" w:hAnsi="Arial"/>
          <w:sz w:val="19"/>
          <w:szCs w:val="19"/>
          <w:color w:val="auto"/>
        </w:rPr>
      </w:pPr>
      <w:r>
        <w:rPr>
          <w:rFonts w:ascii="Arial" w:cs="Arial" w:eastAsia="Arial" w:hAnsi="Arial"/>
          <w:sz w:val="15"/>
          <w:szCs w:val="15"/>
          <w:i w:val="1"/>
          <w:iCs w:val="1"/>
          <w:color w:val="auto"/>
        </w:rPr>
        <w:t>100% vetted, commercial-quality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hanging="168"/>
        <w:spacing w:after="0"/>
        <w:tabs>
          <w:tab w:leader="none" w:pos="400" w:val="left"/>
        </w:tabs>
        <w:numPr>
          <w:ilvl w:val="0"/>
          <w:numId w:val="5"/>
        </w:numPr>
        <w:rPr>
          <w:rFonts w:ascii="Arial" w:cs="Arial" w:eastAsia="Arial" w:hAnsi="Arial"/>
          <w:sz w:val="21"/>
          <w:szCs w:val="21"/>
          <w:color w:val="auto"/>
        </w:rPr>
      </w:pPr>
      <w:r>
        <w:rPr>
          <w:rFonts w:ascii="Arial" w:cs="Arial" w:eastAsia="Arial" w:hAnsi="Arial"/>
          <w:sz w:val="17"/>
          <w:szCs w:val="17"/>
          <w:i w:val="1"/>
          <w:iCs w:val="1"/>
          <w:color w:val="auto"/>
        </w:rPr>
        <w:t>Appropriately licensed content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affordable pricing models enable users to download content for as little $0.28 per download. Across our pricing plans, customers paid an average $2.23 per download in 2012. We believe that our disruptive pricing mode increase the number of businesses that can participate in the market f commercial imagery and that they increase the number of downloads that w deliver.</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subscription-based pricing model makes the creative process easie Subscription users can download any image in our collection at any resoluti we offer for use in their creative process without worrying about increment cost. For users who need less content, we offer simple, affordable, On Deman pricing, which is presented as a flat rate across all content and sizes that w offer.</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are highly focused on maintaining the quality of our collection. Our conte has been vetted by a member of our review team for standards of quality an relevance. We also leverage proprietary review technology to pre-filter imag and video clips and enhance the productivity of our reviewers. Less than 20 of contributor applicants who applied in 2012 were approved as contributors shutterstock.com, and less than 65% of content uploaded by approv contributors in 2012 satisfied our rigorous acceptance requirements.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review process is designed to ensure that every image and video clip appropriately licensed for its intended use. The strength of our review proce enables us to offer $10,000 of indemnification protection to every customer cover legal costs or damages that may arise from their use of Shutterstoc content. In certain cases, we offer greater indemnification levels through custo contracts.</w:t>
      </w:r>
    </w:p>
    <w:p>
      <w:pPr>
        <w:spacing w:after="0" w:line="200" w:lineRule="exact"/>
        <w:rPr>
          <w:sz w:val="20"/>
          <w:szCs w:val="20"/>
          <w:color w:val="auto"/>
        </w:rPr>
      </w:pPr>
    </w:p>
    <w:p>
      <w:pPr>
        <w:sectPr>
          <w:pgSz w:w="11900" w:h="16838" w:orient="portrait"/>
          <w:cols w:equalWidth="0" w:num="2">
            <w:col w:w="5460" w:space="720"/>
            <w:col w:w="5340"/>
          </w:cols>
          <w:pgMar w:left="240" w:top="131" w:right="1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1" w:name="page12"/>
    <w:bookmarkEnd w:id="11"/>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6039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Key Benefits for Our Contributors</w:t>
      </w:r>
    </w:p>
    <w:p>
      <w:pPr>
        <w:spacing w:after="0" w:line="225" w:lineRule="exact"/>
        <w:rPr>
          <w:sz w:val="20"/>
          <w:szCs w:val="20"/>
          <w:color w:val="auto"/>
        </w:rPr>
      </w:pPr>
    </w:p>
    <w:p>
      <w:pPr>
        <w:ind w:left="400" w:hanging="168"/>
        <w:spacing w:after="0"/>
        <w:tabs>
          <w:tab w:leader="none" w:pos="40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Distribution to the largest, global audience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6" w:lineRule="exact"/>
        <w:rPr>
          <w:rFonts w:ascii="Arial" w:cs="Arial" w:eastAsia="Arial" w:hAnsi="Arial"/>
          <w:sz w:val="21"/>
          <w:szCs w:val="21"/>
          <w:color w:val="auto"/>
        </w:rPr>
      </w:pPr>
    </w:p>
    <w:p>
      <w:pPr>
        <w:ind w:left="400" w:hanging="168"/>
        <w:spacing w:after="0"/>
        <w:tabs>
          <w:tab w:leader="none" w:pos="40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Global ecommerce capabilities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0" w:lineRule="exact"/>
        <w:rPr>
          <w:rFonts w:ascii="Arial" w:cs="Arial" w:eastAsia="Arial" w:hAnsi="Arial"/>
          <w:sz w:val="21"/>
          <w:szCs w:val="21"/>
          <w:color w:val="auto"/>
        </w:rPr>
      </w:pPr>
    </w:p>
    <w:p>
      <w:pPr>
        <w:ind w:left="400" w:hanging="168"/>
        <w:spacing w:after="0"/>
        <w:tabs>
          <w:tab w:leader="none" w:pos="400" w:val="left"/>
        </w:tabs>
        <w:numPr>
          <w:ilvl w:val="0"/>
          <w:numId w:val="6"/>
        </w:numPr>
        <w:rPr>
          <w:rFonts w:ascii="Arial" w:cs="Arial" w:eastAsia="Arial" w:hAnsi="Arial"/>
          <w:sz w:val="19"/>
          <w:szCs w:val="19"/>
          <w:color w:val="auto"/>
        </w:rPr>
      </w:pPr>
      <w:r>
        <w:rPr>
          <w:rFonts w:ascii="Arial" w:cs="Arial" w:eastAsia="Arial" w:hAnsi="Arial"/>
          <w:sz w:val="15"/>
          <w:szCs w:val="15"/>
          <w:i w:val="1"/>
          <w:iCs w:val="1"/>
          <w:color w:val="auto"/>
        </w:rPr>
        <w:t>Efficient uploading, tagging and review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2012, shutterstock.com received an average of more than 10 million month unique visitors and more than 65 million monthly page views according comScore Media Metrix, and we delivered more than 76 million pa downloads. According to industry surveys, contributors who have imag available on our site generate more income through Shutterstock than throug any other sites with which they are registered.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global ecommerce platform allows us to process payments from across t world in 10 currencies, and our users can currently transact on our flagsh website in 20 languages.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on user feedback and competitive benchmarking, we believe that w have the most efficient upload, tagging and review process of all of the maj competitors in our industry.</w:t>
      </w:r>
    </w:p>
    <w:p>
      <w:pPr>
        <w:spacing w:after="0" w:line="148" w:lineRule="exact"/>
        <w:rPr>
          <w:sz w:val="20"/>
          <w:szCs w:val="20"/>
          <w:color w:val="auto"/>
        </w:rPr>
      </w:pPr>
    </w:p>
    <w:p>
      <w:pPr>
        <w:sectPr>
          <w:pgSz w:w="11900" w:h="16838" w:orient="portrait"/>
          <w:cols w:equalWidth="0" w:num="2">
            <w:col w:w="5460" w:space="720"/>
            <w:col w:w="5340"/>
          </w:cols>
          <w:pgMar w:left="240" w:top="131" w:right="139" w:bottom="1440" w:gutter="0" w:footer="0" w:header="0"/>
          <w:type w:val="continuous"/>
        </w:sectPr>
      </w:pPr>
    </w:p>
    <w:tbl>
      <w:tblPr>
        <w:tblLayout w:type="fixed"/>
        <w:tblInd w:w="24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Robust feedback, tools and information</w:t>
            </w:r>
          </w:p>
        </w:tc>
        <w:tc>
          <w:tcPr>
            <w:tcW w:w="6880" w:type="dxa"/>
            <w:vAlign w:val="bottom"/>
          </w:tcPr>
          <w:p>
            <w:pPr>
              <w:ind w:left="1540"/>
              <w:spacing w:after="0"/>
              <w:rPr>
                <w:sz w:val="20"/>
                <w:szCs w:val="20"/>
                <w:color w:val="auto"/>
              </w:rPr>
            </w:pPr>
            <w:r>
              <w:rPr>
                <w:rFonts w:ascii="Arial" w:cs="Arial" w:eastAsia="Arial" w:hAnsi="Arial"/>
                <w:sz w:val="17"/>
                <w:szCs w:val="17"/>
                <w:color w:val="auto"/>
                <w:w w:val="97"/>
              </w:rPr>
              <w:t>Our contributors can monitor download activity by image and geography,</w:t>
            </w:r>
          </w:p>
        </w:tc>
      </w:tr>
      <w:tr>
        <w:trPr>
          <w:trHeight w:val="210"/>
        </w:trPr>
        <w:tc>
          <w:tcPr>
            <w:tcW w:w="440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7"/>
                <w:szCs w:val="17"/>
                <w:color w:val="auto"/>
                <w:w w:val="93"/>
              </w:rPr>
              <w:t>well as by self-defined image themes. We also provide data on search trend</w:t>
            </w:r>
          </w:p>
        </w:tc>
      </w:tr>
      <w:tr>
        <w:trPr>
          <w:trHeight w:val="210"/>
        </w:trPr>
        <w:tc>
          <w:tcPr>
            <w:tcW w:w="440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7"/>
                <w:szCs w:val="17"/>
                <w:color w:val="auto"/>
                <w:w w:val="92"/>
              </w:rPr>
              <w:t>allowing content creators to see which images and subjects are popular on o</w:t>
            </w:r>
          </w:p>
        </w:tc>
      </w:tr>
      <w:tr>
        <w:trPr>
          <w:trHeight w:val="216"/>
        </w:trPr>
        <w:tc>
          <w:tcPr>
            <w:tcW w:w="440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7"/>
                <w:szCs w:val="17"/>
                <w:color w:val="auto"/>
              </w:rPr>
              <w:t>site, and to plan new content themes accordingly.</w:t>
            </w:r>
          </w:p>
        </w:tc>
      </w:tr>
      <w:tr>
        <w:trPr>
          <w:trHeight w:val="413"/>
        </w:trPr>
        <w:tc>
          <w:tcPr>
            <w:tcW w:w="4400" w:type="dxa"/>
            <w:vAlign w:val="bottom"/>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Specialized community</w:t>
            </w:r>
          </w:p>
        </w:tc>
        <w:tc>
          <w:tcPr>
            <w:tcW w:w="6880" w:type="dxa"/>
            <w:vAlign w:val="bottom"/>
          </w:tcPr>
          <w:p>
            <w:pPr>
              <w:ind w:left="1540"/>
              <w:spacing w:after="0"/>
              <w:rPr>
                <w:sz w:val="20"/>
                <w:szCs w:val="20"/>
                <w:color w:val="auto"/>
              </w:rPr>
            </w:pPr>
            <w:r>
              <w:rPr>
                <w:rFonts w:ascii="Arial" w:cs="Arial" w:eastAsia="Arial" w:hAnsi="Arial"/>
                <w:sz w:val="17"/>
                <w:szCs w:val="17"/>
                <w:color w:val="auto"/>
                <w:w w:val="93"/>
              </w:rPr>
              <w:t>We operate a forum for the photographers, videographers and illustrators th</w:t>
            </w:r>
          </w:p>
        </w:tc>
      </w:tr>
      <w:tr>
        <w:trPr>
          <w:trHeight w:val="210"/>
        </w:trPr>
        <w:tc>
          <w:tcPr>
            <w:tcW w:w="440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7"/>
                <w:szCs w:val="17"/>
                <w:color w:val="auto"/>
              </w:rPr>
              <w:t>make up our contributor community, allowing them to share tips with o</w:t>
            </w:r>
          </w:p>
        </w:tc>
      </w:tr>
      <w:tr>
        <w:trPr>
          <w:trHeight w:val="216"/>
        </w:trPr>
        <w:tc>
          <w:tcPr>
            <w:tcW w:w="440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7"/>
                <w:szCs w:val="17"/>
                <w:color w:val="auto"/>
              </w:rPr>
              <w:t>another and to showcase their work.</w:t>
            </w: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jc w:val="both"/>
        <w:ind w:left="240" w:right="20" w:firstLine="341"/>
        <w:spacing w:after="0" w:line="282" w:lineRule="auto"/>
        <w:rPr>
          <w:sz w:val="20"/>
          <w:szCs w:val="20"/>
          <w:color w:val="auto"/>
        </w:rPr>
      </w:pPr>
      <w:r>
        <w:rPr>
          <w:rFonts w:ascii="Arial" w:cs="Arial" w:eastAsia="Arial" w:hAnsi="Arial"/>
          <w:sz w:val="17"/>
          <w:szCs w:val="17"/>
          <w:color w:val="auto"/>
        </w:rPr>
        <w:t>In addition to the compelling value propositions that we offer to users and contributors, we believe that the following competitive advantages separate us from o competitors:</w:t>
      </w:r>
    </w:p>
    <w:p>
      <w:pPr>
        <w:spacing w:after="0" w:line="170" w:lineRule="exact"/>
        <w:rPr>
          <w:sz w:val="20"/>
          <w:szCs w:val="20"/>
          <w:color w:val="auto"/>
        </w:rPr>
      </w:pPr>
    </w:p>
    <w:p>
      <w:pPr>
        <w:jc w:val="both"/>
        <w:ind w:left="240" w:firstLine="363"/>
        <w:spacing w:after="0" w:line="263" w:lineRule="auto"/>
        <w:rPr>
          <w:sz w:val="20"/>
          <w:szCs w:val="20"/>
          <w:color w:val="auto"/>
        </w:rPr>
      </w:pPr>
      <w:r>
        <w:rPr>
          <w:rFonts w:ascii="Arial" w:cs="Arial" w:eastAsia="Arial" w:hAnsi="Arial"/>
          <w:sz w:val="17"/>
          <w:szCs w:val="17"/>
          <w:b w:val="1"/>
          <w:bCs w:val="1"/>
          <w:i w:val="1"/>
          <w:iCs w:val="1"/>
          <w:color w:val="auto"/>
        </w:rPr>
        <w:t xml:space="preserve">A Leading Global Marketplace with Strong Network Effects. </w:t>
      </w:r>
      <w:r>
        <w:rPr>
          <w:rFonts w:ascii="Arial" w:cs="Arial" w:eastAsia="Arial" w:hAnsi="Arial"/>
          <w:sz w:val="17"/>
          <w:szCs w:val="17"/>
          <w:color w:val="auto"/>
        </w:rPr>
        <w:t>Our content collection is currently one of the largest in the commercial digital imagery industr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over 28 million images and more than 1 million video clips, from more than 40,000 contributors. We believe that the growth of our content collection and t growth in our site traffic support one another through a strong network effect—a broader selection of images and video clips from our contributors attracts more ima and video users; this larger audience of paying users increases the amount spent in our marketplace and attracts more content submissions from a greater number contributors.</w:t>
      </w:r>
    </w:p>
    <w:p>
      <w:pPr>
        <w:spacing w:after="0" w:line="187" w:lineRule="exact"/>
        <w:rPr>
          <w:sz w:val="20"/>
          <w:szCs w:val="20"/>
          <w:color w:val="auto"/>
        </w:rPr>
      </w:pPr>
    </w:p>
    <w:p>
      <w:pPr>
        <w:jc w:val="both"/>
        <w:ind w:left="240" w:firstLine="393"/>
        <w:spacing w:after="0" w:line="265"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We believe that we have achieved one of the highest volumes of commercial image downloads of any company in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In 2012 alone, we delivered more than 76 million paid downloads. The number of contributor-generated image tags in our collection is currently more th 995 million. This user-generated data, coupled with our investments in technology and our many years of experience in developing search algorithms for our industr have enabled us to create what we believe is the best search experience available.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firstLine="446"/>
        <w:spacing w:after="0" w:line="265"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Our customers' average cost per download was $2.23 in 2012. Our subscription plans, which we pioneered in 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generate an important sense of creative freedom for our professional users. Additionally, we offer simple and cost-effective On Demand purchase options f less frequent users. The simplicity and affordability of these plans have allowed us to broaden our existing and potential user base, and deliver a high volume of pa downloads for our contributors.</w:t>
      </w:r>
    </w:p>
    <w:p>
      <w:pPr>
        <w:spacing w:after="0" w:line="185" w:lineRule="exact"/>
        <w:rPr>
          <w:sz w:val="20"/>
          <w:szCs w:val="20"/>
          <w:color w:val="auto"/>
        </w:rPr>
      </w:pPr>
    </w:p>
    <w:p>
      <w:pPr>
        <w:jc w:val="both"/>
        <w:ind w:left="240" w:firstLine="455"/>
        <w:spacing w:after="0" w:line="265"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appropriately licensed, high-quality commerci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and video. Our rigorous review process for new images ensures the integrity and quality of content in our collection. Each image and video clip is individual examined by our team of trained reviewers to meet our high standards of quality and commercial viability. This review process is designed to minimize the legal ri to our users from inappropriately licensed imagery.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left="240" w:firstLine="361"/>
        <w:spacing w:after="0" w:line="287" w:lineRule="auto"/>
        <w:rPr>
          <w:sz w:val="20"/>
          <w:szCs w:val="20"/>
          <w:color w:val="auto"/>
        </w:rPr>
      </w:pPr>
      <w:r>
        <w:rPr>
          <w:rFonts w:ascii="Arial" w:cs="Arial" w:eastAsia="Arial" w:hAnsi="Arial"/>
          <w:sz w:val="16"/>
          <w:szCs w:val="16"/>
          <w:b w:val="1"/>
          <w:bCs w:val="1"/>
          <w:i w:val="1"/>
          <w:iCs w:val="1"/>
          <w:color w:val="auto"/>
        </w:rPr>
        <w:t xml:space="preserve">Acquire More Users and Contributors. </w:t>
      </w:r>
      <w:r>
        <w:rPr>
          <w:rFonts w:ascii="Arial" w:cs="Arial" w:eastAsia="Arial" w:hAnsi="Arial"/>
          <w:sz w:val="16"/>
          <w:szCs w:val="16"/>
          <w:color w:val="auto"/>
        </w:rPr>
        <w:t>Our active user base of SMBs currently represents a very small fraction of the global total of SMBs. We view this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opportunity. A significant portion of our growth to date has been driven by word of mouth recommendations; we plan to continue to foster word of mou by continuing to grow our collection and deliver exceptional service. Additionally, we expect to increase our investments in online and offline marketing to help rai awareness in our core customer and contributor communities as well as in additional market segments and geographies.</w:t>
      </w:r>
    </w:p>
    <w:p>
      <w:pPr>
        <w:spacing w:after="0" w:line="169" w:lineRule="exact"/>
        <w:rPr>
          <w:sz w:val="20"/>
          <w:szCs w:val="20"/>
          <w:color w:val="auto"/>
        </w:rPr>
      </w:pPr>
    </w:p>
    <w:p>
      <w:pPr>
        <w:jc w:val="both"/>
        <w:ind w:left="240" w:firstLine="423"/>
        <w:spacing w:after="0" w:line="306"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With one of the largest collections of images in the industry, and one of the highest volumes of si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traffic and commercial image downloads, we believe that we have more information on the marketplace and user needs than any of our competitors. We intend to u this data to continue to improve the quality of our search algorithms and user experience. We also plan to enhance the tools we offer contributors to help them easi establish their portfolios on our site, track their performance and explore opportunities to create content that customers need. Furthermore, we intend to roll out ne product offerings and product extensions that we believe will create deeper relationships with our core communities and attract new users to our sites.</w:t>
      </w:r>
    </w:p>
    <w:p>
      <w:pPr>
        <w:spacing w:after="0" w:line="159" w:lineRule="exact"/>
        <w:rPr>
          <w:sz w:val="20"/>
          <w:szCs w:val="20"/>
          <w:color w:val="auto"/>
        </w:rPr>
      </w:pPr>
    </w:p>
    <w:p>
      <w:pPr>
        <w:ind w:left="240" w:firstLine="364"/>
        <w:spacing w:after="0" w:line="311" w:lineRule="auto"/>
        <w:rPr>
          <w:sz w:val="20"/>
          <w:szCs w:val="20"/>
          <w:color w:val="auto"/>
        </w:rPr>
      </w:pPr>
      <w:r>
        <w:rPr>
          <w:rFonts w:ascii="Arial" w:cs="Arial" w:eastAsia="Arial" w:hAnsi="Arial"/>
          <w:sz w:val="15"/>
          <w:szCs w:val="15"/>
          <w:b w:val="1"/>
          <w:bCs w:val="1"/>
          <w:i w:val="1"/>
          <w:iCs w:val="1"/>
          <w:color w:val="auto"/>
        </w:rPr>
        <w:t xml:space="preserve">Increase Localization. </w:t>
      </w:r>
      <w:r>
        <w:rPr>
          <w:rFonts w:ascii="Arial" w:cs="Arial" w:eastAsia="Arial" w:hAnsi="Arial"/>
          <w:sz w:val="15"/>
          <w:szCs w:val="15"/>
          <w:color w:val="auto"/>
        </w:rPr>
        <w:t>We are a global company, with users in more than 150 countries, contributors in more than 100 countries and a website that is availab</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20 languages. We plan to deepen our global penetration among users and contributors by improving the quality of the Shutterstock experience, regardless language or location. There is significant unmet demand for localized content, such as images with locally relevant themes, customs, objects and ethnicities. We pla to increase the geographical diversity of our contributor community so that we can provide the images demanded by our increasingly global user base.</w:t>
      </w:r>
    </w:p>
    <w:p>
      <w:pPr>
        <w:spacing w:after="0" w:line="155" w:lineRule="exact"/>
        <w:rPr>
          <w:sz w:val="20"/>
          <w:szCs w:val="20"/>
          <w:color w:val="auto"/>
        </w:rPr>
      </w:pPr>
    </w:p>
    <w:p>
      <w:pPr>
        <w:jc w:val="both"/>
        <w:ind w:left="240" w:right="20" w:firstLine="393"/>
        <w:spacing w:after="0" w:line="287"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small and medium-siz</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purchasing online. Currently, less than 15% of our revenue is generated through direct sales to large organizations. We believe that we have a strong val proposition for large media agencies and enterprises, which have historically purchased commercial imagery via sales-driven relationships. We are working to increa our revenue from these companies through a direct sales approach and by offering tailored purchase options.</w:t>
      </w:r>
    </w:p>
    <w:p>
      <w:pPr>
        <w:spacing w:after="0" w:line="169" w:lineRule="exact"/>
        <w:rPr>
          <w:sz w:val="20"/>
          <w:szCs w:val="20"/>
          <w:color w:val="auto"/>
        </w:rPr>
      </w:pPr>
    </w:p>
    <w:p>
      <w:pPr>
        <w:jc w:val="both"/>
        <w:ind w:left="240" w:right="40" w:firstLine="436"/>
        <w:spacing w:after="0" w:line="270"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Given the convergence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photography and video tools, we believe that our network effects in still image licensing will help propel our efforts in the video market. In addition to video, we s opportunities in other emerging digital content areas that may be relevant to our customers.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807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480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ind w:left="240" w:right="40" w:firstLine="428"/>
        <w:spacing w:after="0" w:line="28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 section of this prospectus titled "Risk Factors," and include but are not limited to:</w:t>
      </w:r>
    </w:p>
    <w:p>
      <w:pPr>
        <w:spacing w:after="0" w:line="196"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Information</w:t>
      </w:r>
    </w:p>
    <w:p>
      <w:pPr>
        <w:spacing w:after="0" w:line="229" w:lineRule="exact"/>
        <w:rPr>
          <w:sz w:val="20"/>
          <w:szCs w:val="20"/>
          <w:color w:val="auto"/>
        </w:rPr>
      </w:pPr>
    </w:p>
    <w:p>
      <w:pPr>
        <w:jc w:val="both"/>
        <w:ind w:left="240" w:firstLine="390"/>
        <w:spacing w:after="0"/>
        <w:rPr>
          <w:sz w:val="20"/>
          <w:szCs w:val="20"/>
          <w:color w:val="auto"/>
        </w:rPr>
      </w:pPr>
      <w:r>
        <w:rPr>
          <w:rFonts w:ascii="Arial" w:cs="Arial" w:eastAsia="Arial" w:hAnsi="Arial"/>
          <w:sz w:val="17"/>
          <w:szCs w:val="17"/>
          <w:color w:val="auto"/>
        </w:rPr>
        <w:t>Our principal office is located at 60 Broad Street,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10004, and our telephone number is (646) 419-4452. Our corporate websi address is www.shutterstock.com. We do not incorporate the information contained in, or that can be accessed through, our corporate website into this prospectus, an you should not consider it part of this prospectus. After launching our marketplace in 2003, we organized in the State of New York as Shutterstock, Inc. in Decemb 2004, and we became Shutterstock Images LLC in June 2007. On October 5, 2012, we reorganized from Shutterstock Images LLC, a New York limited liabili company, or the LLC, to Shutterstock, Inc., a Delaware corporation, referred to as the "Reorganization." In this prospectus, "we," "us," "our," "Company" an "Shutterstock" refer to Shutterstock, Inc. and its subsidiaries.</w:t>
      </w:r>
    </w:p>
    <w:p>
      <w:pPr>
        <w:spacing w:after="0" w:line="207" w:lineRule="exact"/>
        <w:rPr>
          <w:sz w:val="20"/>
          <w:szCs w:val="20"/>
          <w:color w:val="auto"/>
        </w:rPr>
      </w:pPr>
    </w:p>
    <w:p>
      <w:pPr>
        <w:jc w:val="both"/>
        <w:ind w:left="240" w:right="40" w:firstLine="417"/>
        <w:spacing w:after="0" w:line="270" w:lineRule="auto"/>
        <w:rPr>
          <w:sz w:val="20"/>
          <w:szCs w:val="20"/>
          <w:color w:val="auto"/>
        </w:rPr>
      </w:pPr>
      <w:r>
        <w:rPr>
          <w:rFonts w:ascii="Arial" w:cs="Arial" w:eastAsia="Arial" w:hAnsi="Arial"/>
          <w:sz w:val="17"/>
          <w:szCs w:val="17"/>
          <w:color w:val="auto"/>
        </w:rPr>
        <w:t>"Shutterstock", "Offset", "Skillfeed", "Bigstock" and "Big Stock Photo" are registered trademarks or logos appearing in this prospectus and are the property Shutterstock, Inc. or one of our subsidiaries. All other trademarks, service marks and trade names appearing in this prospectus are the property of their respecti owners.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896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689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40" w:type="dxa"/>
            <w:vAlign w:val="bottom"/>
          </w:tcPr>
          <w:p>
            <w:pPr>
              <w:ind w:left="1480"/>
              <w:spacing w:after="0"/>
              <w:rPr>
                <w:sz w:val="20"/>
                <w:szCs w:val="20"/>
                <w:color w:val="auto"/>
              </w:rPr>
            </w:pPr>
            <w:r>
              <w:rPr>
                <w:rFonts w:ascii="Arial" w:cs="Arial" w:eastAsia="Arial" w:hAnsi="Arial"/>
                <w:sz w:val="17"/>
                <w:szCs w:val="17"/>
                <w:b w:val="1"/>
                <w:bCs w:val="1"/>
                <w:color w:val="auto"/>
              </w:rPr>
              <w:t>THE OFFERING</w:t>
            </w:r>
          </w:p>
        </w:tc>
        <w:tc>
          <w:tcPr>
            <w:tcW w:w="4500" w:type="dxa"/>
            <w:vAlign w:val="bottom"/>
          </w:tcPr>
          <w:p>
            <w:pPr>
              <w:spacing w:after="0"/>
              <w:rPr>
                <w:sz w:val="19"/>
                <w:szCs w:val="19"/>
                <w:color w:val="auto"/>
              </w:rPr>
            </w:pPr>
          </w:p>
        </w:tc>
      </w:tr>
      <w:tr>
        <w:trPr>
          <w:trHeight w:val="419"/>
        </w:trPr>
        <w:tc>
          <w:tcPr>
            <w:tcW w:w="2100" w:type="dxa"/>
            <w:vAlign w:val="bottom"/>
          </w:tcPr>
          <w:p>
            <w:pPr>
              <w:spacing w:after="0"/>
              <w:rPr>
                <w:sz w:val="20"/>
                <w:szCs w:val="20"/>
                <w:color w:val="auto"/>
              </w:rPr>
            </w:pPr>
            <w:r>
              <w:rPr>
                <w:rFonts w:ascii="Arial" w:cs="Arial" w:eastAsia="Arial" w:hAnsi="Arial"/>
                <w:sz w:val="17"/>
                <w:szCs w:val="17"/>
                <w:color w:val="auto"/>
              </w:rPr>
              <w:t>Common stock offered:</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9"/>
        </w:trPr>
        <w:tc>
          <w:tcPr>
            <w:tcW w:w="2100" w:type="dxa"/>
            <w:vAlign w:val="bottom"/>
          </w:tcPr>
          <w:p>
            <w:pPr>
              <w:ind w:left="160"/>
              <w:spacing w:after="0"/>
              <w:rPr>
                <w:sz w:val="20"/>
                <w:szCs w:val="20"/>
                <w:color w:val="auto"/>
              </w:rPr>
            </w:pPr>
            <w:r>
              <w:rPr>
                <w:rFonts w:ascii="Arial" w:cs="Arial" w:eastAsia="Arial" w:hAnsi="Arial"/>
                <w:sz w:val="17"/>
                <w:szCs w:val="17"/>
                <w:color w:val="auto"/>
              </w:rPr>
              <w:t>By Shutterstock</w:t>
            </w:r>
          </w:p>
        </w:tc>
        <w:tc>
          <w:tcPr>
            <w:tcW w:w="6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shares</w:t>
            </w: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9"/>
        </w:trPr>
        <w:tc>
          <w:tcPr>
            <w:tcW w:w="2100" w:type="dxa"/>
            <w:vAlign w:val="bottom"/>
          </w:tcPr>
          <w:p>
            <w:pPr>
              <w:ind w:left="160"/>
              <w:spacing w:after="0"/>
              <w:rPr>
                <w:sz w:val="20"/>
                <w:szCs w:val="20"/>
                <w:color w:val="auto"/>
              </w:rPr>
            </w:pPr>
            <w:r>
              <w:rPr>
                <w:rFonts w:ascii="Arial" w:cs="Arial" w:eastAsia="Arial" w:hAnsi="Arial"/>
                <w:sz w:val="17"/>
                <w:szCs w:val="17"/>
                <w:color w:val="auto"/>
                <w:w w:val="95"/>
              </w:rPr>
              <w:t>By the selling stockholders</w:t>
            </w:r>
          </w:p>
        </w:tc>
        <w:tc>
          <w:tcPr>
            <w:tcW w:w="6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shares</w:t>
            </w: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9"/>
        </w:trPr>
        <w:tc>
          <w:tcPr>
            <w:tcW w:w="2100" w:type="dxa"/>
            <w:vAlign w:val="bottom"/>
          </w:tcPr>
          <w:p>
            <w:pPr>
              <w:ind w:left="340"/>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shares</w:t>
            </w: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3"/>
        </w:trPr>
        <w:tc>
          <w:tcPr>
            <w:tcW w:w="2100" w:type="dxa"/>
            <w:vAlign w:val="bottom"/>
          </w:tcPr>
          <w:p>
            <w:pPr>
              <w:spacing w:after="0"/>
              <w:rPr>
                <w:sz w:val="20"/>
                <w:szCs w:val="20"/>
                <w:color w:val="auto"/>
              </w:rPr>
            </w:pPr>
            <w:r>
              <w:rPr>
                <w:rFonts w:ascii="Arial" w:cs="Arial" w:eastAsia="Arial" w:hAnsi="Arial"/>
                <w:sz w:val="17"/>
                <w:szCs w:val="17"/>
                <w:color w:val="auto"/>
              </w:rPr>
              <w:t>Common stock to be</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10"/>
        </w:trPr>
        <w:tc>
          <w:tcPr>
            <w:tcW w:w="2100" w:type="dxa"/>
            <w:vAlign w:val="bottom"/>
          </w:tcPr>
          <w:p>
            <w:pPr>
              <w:ind w:left="160"/>
              <w:spacing w:after="0"/>
              <w:rPr>
                <w:sz w:val="20"/>
                <w:szCs w:val="20"/>
                <w:color w:val="auto"/>
              </w:rPr>
            </w:pPr>
            <w:r>
              <w:rPr>
                <w:rFonts w:ascii="Arial" w:cs="Arial" w:eastAsia="Arial" w:hAnsi="Arial"/>
                <w:sz w:val="17"/>
                <w:szCs w:val="17"/>
                <w:color w:val="auto"/>
              </w:rPr>
              <w:t>outstanding after this</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2100" w:type="dxa"/>
            <w:vAlign w:val="bottom"/>
          </w:tcPr>
          <w:p>
            <w:pPr>
              <w:ind w:left="160"/>
              <w:spacing w:after="0"/>
              <w:rPr>
                <w:sz w:val="20"/>
                <w:szCs w:val="20"/>
                <w:color w:val="auto"/>
              </w:rPr>
            </w:pPr>
            <w:r>
              <w:rPr>
                <w:rFonts w:ascii="Arial" w:cs="Arial" w:eastAsia="Arial" w:hAnsi="Arial"/>
                <w:sz w:val="17"/>
                <w:szCs w:val="17"/>
                <w:color w:val="auto"/>
              </w:rPr>
              <w:t>offering</w:t>
            </w:r>
          </w:p>
        </w:tc>
        <w:tc>
          <w:tcPr>
            <w:tcW w:w="6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shares (</w:t>
            </w:r>
          </w:p>
        </w:tc>
        <w:tc>
          <w:tcPr>
            <w:tcW w:w="7740" w:type="dxa"/>
            <w:vAlign w:val="bottom"/>
            <w:gridSpan w:val="2"/>
          </w:tcPr>
          <w:p>
            <w:pPr>
              <w:ind w:left="280"/>
              <w:spacing w:after="0"/>
              <w:rPr>
                <w:sz w:val="20"/>
                <w:szCs w:val="20"/>
                <w:color w:val="auto"/>
              </w:rPr>
            </w:pPr>
            <w:r>
              <w:rPr>
                <w:rFonts w:ascii="Arial" w:cs="Arial" w:eastAsia="Arial" w:hAnsi="Arial"/>
                <w:sz w:val="17"/>
                <w:szCs w:val="17"/>
                <w:color w:val="auto"/>
              </w:rPr>
              <w:t>shares if the underwriters' option to purchase additional shares is exercised in full)</w:t>
            </w:r>
          </w:p>
        </w:tc>
      </w:tr>
      <w:tr>
        <w:trPr>
          <w:trHeight w:val="413"/>
        </w:trPr>
        <w:tc>
          <w:tcPr>
            <w:tcW w:w="2100" w:type="dxa"/>
            <w:vAlign w:val="bottom"/>
          </w:tcPr>
          <w:p>
            <w:pPr>
              <w:spacing w:after="0"/>
              <w:rPr>
                <w:sz w:val="20"/>
                <w:szCs w:val="20"/>
                <w:color w:val="auto"/>
              </w:rPr>
            </w:pPr>
            <w:r>
              <w:rPr>
                <w:rFonts w:ascii="Arial" w:cs="Arial" w:eastAsia="Arial" w:hAnsi="Arial"/>
                <w:sz w:val="17"/>
                <w:szCs w:val="17"/>
                <w:color w:val="auto"/>
              </w:rPr>
              <w:t>Underwriters' option to</w:t>
            </w:r>
          </w:p>
        </w:tc>
        <w:tc>
          <w:tcPr>
            <w:tcW w:w="4680" w:type="dxa"/>
            <w:vAlign w:val="bottom"/>
            <w:gridSpan w:val="3"/>
          </w:tcPr>
          <w:p>
            <w:pPr>
              <w:ind w:left="80"/>
              <w:spacing w:after="0"/>
              <w:rPr>
                <w:sz w:val="20"/>
                <w:szCs w:val="20"/>
                <w:color w:val="auto"/>
              </w:rPr>
            </w:pPr>
            <w:r>
              <w:rPr>
                <w:rFonts w:ascii="Arial" w:cs="Arial" w:eastAsia="Arial" w:hAnsi="Arial"/>
                <w:sz w:val="17"/>
                <w:szCs w:val="17"/>
                <w:color w:val="auto"/>
              </w:rPr>
              <w:t>The underwriters have an option to purchase a maximum of</w:t>
            </w:r>
          </w:p>
        </w:tc>
        <w:tc>
          <w:tcPr>
            <w:tcW w:w="4500" w:type="dxa"/>
            <w:vAlign w:val="bottom"/>
          </w:tcPr>
          <w:p>
            <w:pPr>
              <w:ind w:left="380"/>
              <w:spacing w:after="0"/>
              <w:rPr>
                <w:sz w:val="20"/>
                <w:szCs w:val="20"/>
                <w:color w:val="auto"/>
              </w:rPr>
            </w:pPr>
            <w:r>
              <w:rPr>
                <w:rFonts w:ascii="Arial" w:cs="Arial" w:eastAsia="Arial" w:hAnsi="Arial"/>
                <w:sz w:val="17"/>
                <w:szCs w:val="17"/>
                <w:color w:val="auto"/>
                <w:w w:val="94"/>
              </w:rPr>
              <w:t>additional shares of common stock from us and a maximu</w:t>
            </w:r>
          </w:p>
        </w:tc>
      </w:tr>
      <w:tr>
        <w:trPr>
          <w:trHeight w:val="210"/>
        </w:trPr>
        <w:tc>
          <w:tcPr>
            <w:tcW w:w="2100" w:type="dxa"/>
            <w:vAlign w:val="bottom"/>
          </w:tcPr>
          <w:p>
            <w:pPr>
              <w:ind w:left="160"/>
              <w:spacing w:after="0"/>
              <w:rPr>
                <w:sz w:val="20"/>
                <w:szCs w:val="20"/>
                <w:color w:val="auto"/>
              </w:rPr>
            </w:pPr>
            <w:r>
              <w:rPr>
                <w:rFonts w:ascii="Arial" w:cs="Arial" w:eastAsia="Arial" w:hAnsi="Arial"/>
                <w:sz w:val="17"/>
                <w:szCs w:val="17"/>
                <w:color w:val="auto"/>
                <w:w w:val="94"/>
              </w:rPr>
              <w:t>purchase additional shares</w:t>
            </w:r>
          </w:p>
        </w:tc>
        <w:tc>
          <w:tcPr>
            <w:tcW w:w="640" w:type="dxa"/>
            <w:vAlign w:val="bottom"/>
          </w:tcPr>
          <w:p>
            <w:pPr>
              <w:ind w:left="80"/>
              <w:spacing w:after="0"/>
              <w:rPr>
                <w:sz w:val="20"/>
                <w:szCs w:val="20"/>
                <w:color w:val="auto"/>
              </w:rPr>
            </w:pPr>
            <w:r>
              <w:rPr>
                <w:rFonts w:ascii="Arial" w:cs="Arial" w:eastAsia="Arial" w:hAnsi="Arial"/>
                <w:sz w:val="17"/>
                <w:szCs w:val="17"/>
                <w:color w:val="auto"/>
              </w:rPr>
              <w:t>of</w:t>
            </w:r>
          </w:p>
        </w:tc>
        <w:tc>
          <w:tcPr>
            <w:tcW w:w="8540" w:type="dxa"/>
            <w:vAlign w:val="bottom"/>
            <w:gridSpan w:val="3"/>
          </w:tcPr>
          <w:p>
            <w:pPr>
              <w:ind w:left="200"/>
              <w:spacing w:after="0"/>
              <w:rPr>
                <w:sz w:val="20"/>
                <w:szCs w:val="20"/>
                <w:color w:val="auto"/>
              </w:rPr>
            </w:pPr>
            <w:r>
              <w:rPr>
                <w:rFonts w:ascii="Arial" w:cs="Arial" w:eastAsia="Arial" w:hAnsi="Arial"/>
                <w:sz w:val="17"/>
                <w:szCs w:val="17"/>
                <w:color w:val="auto"/>
                <w:w w:val="92"/>
              </w:rPr>
              <w:t>additional shares of common stock from the selling stockholders at the price to public less the underwriting discounts an</w:t>
            </w:r>
          </w:p>
        </w:tc>
      </w:tr>
      <w:tr>
        <w:trPr>
          <w:trHeight w:val="216"/>
        </w:trPr>
        <w:tc>
          <w:tcPr>
            <w:tcW w:w="2100" w:type="dxa"/>
            <w:vAlign w:val="bottom"/>
          </w:tcPr>
          <w:p>
            <w:pPr>
              <w:spacing w:after="0"/>
              <w:rPr>
                <w:sz w:val="18"/>
                <w:szCs w:val="18"/>
                <w:color w:val="auto"/>
              </w:rPr>
            </w:pPr>
          </w:p>
        </w:tc>
        <w:tc>
          <w:tcPr>
            <w:tcW w:w="9180" w:type="dxa"/>
            <w:vAlign w:val="bottom"/>
            <w:gridSpan w:val="4"/>
          </w:tcPr>
          <w:p>
            <w:pPr>
              <w:ind w:left="80"/>
              <w:spacing w:after="0"/>
              <w:rPr>
                <w:sz w:val="20"/>
                <w:szCs w:val="20"/>
                <w:color w:val="auto"/>
              </w:rPr>
            </w:pPr>
            <w:r>
              <w:rPr>
                <w:rFonts w:ascii="Arial" w:cs="Arial" w:eastAsia="Arial" w:hAnsi="Arial"/>
                <w:sz w:val="17"/>
                <w:szCs w:val="17"/>
                <w:color w:val="auto"/>
              </w:rPr>
              <w:t>commissions. The underwriters could exercise this option at any time within 30 days from the date of the prospectus.</w:t>
            </w:r>
          </w:p>
        </w:tc>
      </w:tr>
      <w:tr>
        <w:trPr>
          <w:trHeight w:val="413"/>
        </w:trPr>
        <w:tc>
          <w:tcPr>
            <w:tcW w:w="2100" w:type="dxa"/>
            <w:vAlign w:val="bottom"/>
          </w:tcPr>
          <w:p>
            <w:pPr>
              <w:spacing w:after="0"/>
              <w:rPr>
                <w:sz w:val="20"/>
                <w:szCs w:val="20"/>
                <w:color w:val="auto"/>
              </w:rPr>
            </w:pPr>
            <w:r>
              <w:rPr>
                <w:rFonts w:ascii="Arial" w:cs="Arial" w:eastAsia="Arial" w:hAnsi="Arial"/>
                <w:sz w:val="17"/>
                <w:szCs w:val="17"/>
                <w:color w:val="auto"/>
              </w:rPr>
              <w:t>Use of proceeds</w:t>
            </w: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5"/>
              </w:rPr>
              <w:t>The principal purposes of this offering are to facilitate an orderly distribution of shares for the selling stockholders, to increase o</w:t>
            </w:r>
          </w:p>
        </w:tc>
      </w:tr>
      <w:tr>
        <w:trPr>
          <w:trHeight w:val="210"/>
        </w:trPr>
        <w:tc>
          <w:tcPr>
            <w:tcW w:w="2100" w:type="dxa"/>
            <w:vAlign w:val="bottom"/>
          </w:tcPr>
          <w:p>
            <w:pPr>
              <w:spacing w:after="0"/>
              <w:rPr>
                <w:sz w:val="18"/>
                <w:szCs w:val="18"/>
                <w:color w:val="auto"/>
              </w:rPr>
            </w:pP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4"/>
              </w:rPr>
              <w:t>public float, and to increase our capitalization and financial flexibility. We intend to use the net proceeds from this offering primari</w:t>
            </w:r>
          </w:p>
        </w:tc>
      </w:tr>
      <w:tr>
        <w:trPr>
          <w:trHeight w:val="210"/>
        </w:trPr>
        <w:tc>
          <w:tcPr>
            <w:tcW w:w="2100" w:type="dxa"/>
            <w:vAlign w:val="bottom"/>
          </w:tcPr>
          <w:p>
            <w:pPr>
              <w:spacing w:after="0"/>
              <w:rPr>
                <w:sz w:val="18"/>
                <w:szCs w:val="18"/>
                <w:color w:val="auto"/>
              </w:rPr>
            </w:pP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3"/>
              </w:rPr>
              <w:t>for general corporate purposes, including working capital and capital expenditures. We may also use a portion of the net proceeds</w:t>
            </w:r>
          </w:p>
        </w:tc>
      </w:tr>
      <w:tr>
        <w:trPr>
          <w:trHeight w:val="210"/>
        </w:trPr>
        <w:tc>
          <w:tcPr>
            <w:tcW w:w="2100" w:type="dxa"/>
            <w:vAlign w:val="bottom"/>
          </w:tcPr>
          <w:p>
            <w:pPr>
              <w:spacing w:after="0"/>
              <w:rPr>
                <w:sz w:val="18"/>
                <w:szCs w:val="18"/>
                <w:color w:val="auto"/>
              </w:rPr>
            </w:pP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7"/>
              </w:rPr>
              <w:t>acquire or invest in complementary companies, products or technologies, although we currently do not have any acquisitions</w:t>
            </w:r>
          </w:p>
        </w:tc>
      </w:tr>
      <w:tr>
        <w:trPr>
          <w:trHeight w:val="210"/>
        </w:trPr>
        <w:tc>
          <w:tcPr>
            <w:tcW w:w="2100" w:type="dxa"/>
            <w:vAlign w:val="bottom"/>
          </w:tcPr>
          <w:p>
            <w:pPr>
              <w:spacing w:after="0"/>
              <w:rPr>
                <w:sz w:val="18"/>
                <w:szCs w:val="18"/>
                <w:color w:val="auto"/>
              </w:rPr>
            </w:pP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4"/>
              </w:rPr>
              <w:t>investments planned. We will not receive any of the proceeds from the sale of shares to be offered by the selling stockholders. S</w:t>
            </w:r>
          </w:p>
        </w:tc>
      </w:tr>
      <w:tr>
        <w:trPr>
          <w:trHeight w:val="216"/>
        </w:trPr>
        <w:tc>
          <w:tcPr>
            <w:tcW w:w="2100" w:type="dxa"/>
            <w:vAlign w:val="bottom"/>
          </w:tcPr>
          <w:p>
            <w:pPr>
              <w:spacing w:after="0"/>
              <w:rPr>
                <w:sz w:val="18"/>
                <w:szCs w:val="18"/>
                <w:color w:val="auto"/>
              </w:rPr>
            </w:pPr>
          </w:p>
        </w:tc>
        <w:tc>
          <w:tcPr>
            <w:tcW w:w="4680" w:type="dxa"/>
            <w:vAlign w:val="bottom"/>
            <w:gridSpan w:val="3"/>
          </w:tcPr>
          <w:p>
            <w:pPr>
              <w:ind w:left="80"/>
              <w:spacing w:after="0"/>
              <w:rPr>
                <w:sz w:val="20"/>
                <w:szCs w:val="20"/>
                <w:color w:val="auto"/>
              </w:rPr>
            </w:pPr>
            <w:r>
              <w:rPr>
                <w:rFonts w:ascii="Arial" w:cs="Arial" w:eastAsia="Arial" w:hAnsi="Arial"/>
                <w:sz w:val="17"/>
                <w:szCs w:val="17"/>
                <w:color w:val="auto"/>
              </w:rPr>
              <w:t>"Use of Proceeds" for additional information.</w:t>
            </w:r>
          </w:p>
        </w:tc>
        <w:tc>
          <w:tcPr>
            <w:tcW w:w="4500" w:type="dxa"/>
            <w:vAlign w:val="bottom"/>
          </w:tcPr>
          <w:p>
            <w:pPr>
              <w:spacing w:after="0"/>
              <w:rPr>
                <w:sz w:val="18"/>
                <w:szCs w:val="18"/>
                <w:color w:val="auto"/>
              </w:rPr>
            </w:pPr>
          </w:p>
        </w:tc>
      </w:tr>
      <w:tr>
        <w:trPr>
          <w:trHeight w:val="413"/>
        </w:trPr>
        <w:tc>
          <w:tcPr>
            <w:tcW w:w="2100" w:type="dxa"/>
            <w:vAlign w:val="bottom"/>
          </w:tcPr>
          <w:p>
            <w:pPr>
              <w:spacing w:after="0"/>
              <w:rPr>
                <w:sz w:val="20"/>
                <w:szCs w:val="20"/>
                <w:color w:val="auto"/>
              </w:rPr>
            </w:pPr>
            <w:r>
              <w:rPr>
                <w:rFonts w:ascii="Arial" w:cs="Arial" w:eastAsia="Arial" w:hAnsi="Arial"/>
                <w:sz w:val="17"/>
                <w:szCs w:val="17"/>
                <w:color w:val="auto"/>
              </w:rPr>
              <w:t>Risk factors</w:t>
            </w:r>
          </w:p>
        </w:tc>
        <w:tc>
          <w:tcPr>
            <w:tcW w:w="9180" w:type="dxa"/>
            <w:vAlign w:val="bottom"/>
            <w:gridSpan w:val="4"/>
          </w:tcPr>
          <w:p>
            <w:pPr>
              <w:ind w:left="80"/>
              <w:spacing w:after="0"/>
              <w:rPr>
                <w:sz w:val="20"/>
                <w:szCs w:val="20"/>
                <w:color w:val="auto"/>
              </w:rPr>
            </w:pPr>
            <w:r>
              <w:rPr>
                <w:rFonts w:ascii="Arial" w:cs="Arial" w:eastAsia="Arial" w:hAnsi="Arial"/>
                <w:sz w:val="17"/>
                <w:szCs w:val="17"/>
                <w:color w:val="auto"/>
                <w:w w:val="93"/>
              </w:rPr>
              <w:t>See "Risk Factors" and other information included in this prospectus for a discussion of factors you should carefully consider befo</w:t>
            </w:r>
          </w:p>
        </w:tc>
      </w:tr>
      <w:tr>
        <w:trPr>
          <w:trHeight w:val="216"/>
        </w:trPr>
        <w:tc>
          <w:tcPr>
            <w:tcW w:w="2100" w:type="dxa"/>
            <w:vAlign w:val="bottom"/>
          </w:tcPr>
          <w:p>
            <w:pPr>
              <w:spacing w:after="0"/>
              <w:rPr>
                <w:sz w:val="18"/>
                <w:szCs w:val="18"/>
                <w:color w:val="auto"/>
              </w:rPr>
            </w:pPr>
          </w:p>
        </w:tc>
        <w:tc>
          <w:tcPr>
            <w:tcW w:w="4680" w:type="dxa"/>
            <w:vAlign w:val="bottom"/>
            <w:gridSpan w:val="3"/>
          </w:tcPr>
          <w:p>
            <w:pPr>
              <w:ind w:left="80"/>
              <w:spacing w:after="0"/>
              <w:rPr>
                <w:sz w:val="20"/>
                <w:szCs w:val="20"/>
                <w:color w:val="auto"/>
              </w:rPr>
            </w:pPr>
            <w:r>
              <w:rPr>
                <w:rFonts w:ascii="Arial" w:cs="Arial" w:eastAsia="Arial" w:hAnsi="Arial"/>
                <w:sz w:val="17"/>
                <w:szCs w:val="17"/>
                <w:color w:val="auto"/>
              </w:rPr>
              <w:t>deciding to invest in our common stock.</w:t>
            </w:r>
          </w:p>
        </w:tc>
        <w:tc>
          <w:tcPr>
            <w:tcW w:w="4500" w:type="dxa"/>
            <w:vAlign w:val="bottom"/>
          </w:tcPr>
          <w:p>
            <w:pPr>
              <w:spacing w:after="0"/>
              <w:rPr>
                <w:sz w:val="18"/>
                <w:szCs w:val="18"/>
                <w:color w:val="auto"/>
              </w:rPr>
            </w:pPr>
          </w:p>
        </w:tc>
      </w:tr>
      <w:tr>
        <w:trPr>
          <w:trHeight w:val="419"/>
        </w:trPr>
        <w:tc>
          <w:tcPr>
            <w:tcW w:w="2100" w:type="dxa"/>
            <w:vAlign w:val="bottom"/>
          </w:tcPr>
          <w:p>
            <w:pPr>
              <w:spacing w:after="0"/>
              <w:rPr>
                <w:sz w:val="20"/>
                <w:szCs w:val="20"/>
                <w:color w:val="auto"/>
              </w:rPr>
            </w:pPr>
            <w:r>
              <w:rPr>
                <w:rFonts w:ascii="Arial" w:cs="Arial" w:eastAsia="Arial" w:hAnsi="Arial"/>
                <w:sz w:val="17"/>
                <w:szCs w:val="17"/>
                <w:color w:val="auto"/>
              </w:rPr>
              <w:t>NYSE symbol</w:t>
            </w:r>
          </w:p>
        </w:tc>
        <w:tc>
          <w:tcPr>
            <w:tcW w:w="640" w:type="dxa"/>
            <w:vAlign w:val="bottom"/>
          </w:tcPr>
          <w:p>
            <w:pPr>
              <w:ind w:left="80"/>
              <w:spacing w:after="0"/>
              <w:rPr>
                <w:sz w:val="20"/>
                <w:szCs w:val="20"/>
                <w:color w:val="auto"/>
              </w:rPr>
            </w:pPr>
            <w:r>
              <w:rPr>
                <w:rFonts w:ascii="Arial" w:cs="Arial" w:eastAsia="Arial" w:hAnsi="Arial"/>
                <w:sz w:val="17"/>
                <w:szCs w:val="17"/>
                <w:color w:val="auto"/>
                <w:w w:val="95"/>
              </w:rPr>
              <w:t>"SSTK"</w:t>
            </w:r>
          </w:p>
        </w:tc>
        <w:tc>
          <w:tcPr>
            <w:tcW w:w="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pacing w:after="0" w:line="20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number of shares of our common stock to be outstanding following this offering is based on 33,692,311 shares of our common stock outstanding as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June 30, 2013, and excludes:</w:t>
      </w:r>
    </w:p>
    <w:p>
      <w:pPr>
        <w:spacing w:after="0" w:line="244" w:lineRule="exact"/>
        <w:rPr>
          <w:sz w:val="20"/>
          <w:szCs w:val="20"/>
          <w:color w:val="auto"/>
        </w:rPr>
      </w:pPr>
    </w:p>
    <w:p>
      <w:pPr>
        <w:ind w:left="1280" w:right="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560,372 shares of our common stock issuable upon the exercise of options outstanding as of June 30, 2013 at a weighted average exercise price $15.43 per share;</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5,910,074 shares of our common stock reserved for future grant or issuance under our 2012 Omnibus Equity Incentive Plan;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2,926,283 shares of our common stock reserved for future issuance under our 2012 Employee Stock Purchase Plan.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Except as otherwise indicated, information in this prospectus reflects or assumes the following:</w:t>
      </w:r>
    </w:p>
    <w:p>
      <w:pPr>
        <w:spacing w:after="0" w:line="250"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options outstanding as of June 30, 2013; and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ind w:left="760"/>
              <w:spacing w:after="0"/>
              <w:rPr>
                <w:sz w:val="20"/>
                <w:szCs w:val="20"/>
                <w:color w:val="auto"/>
              </w:rPr>
            </w:pPr>
            <w:r>
              <w:rPr>
                <w:rFonts w:ascii="Arial" w:cs="Arial" w:eastAsia="Arial" w:hAnsi="Arial"/>
                <w:sz w:val="17"/>
                <w:szCs w:val="17"/>
                <w:color w:val="auto"/>
              </w:rPr>
              <w:t>•</w:t>
            </w: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no exercise by the underwriters of their option to purchase up to an additional</w:t>
            </w:r>
          </w:p>
        </w:tc>
        <w:tc>
          <w:tcPr>
            <w:tcW w:w="4320" w:type="dxa"/>
            <w:vAlign w:val="bottom"/>
            <w:gridSpan w:val="2"/>
          </w:tcPr>
          <w:p>
            <w:pPr>
              <w:ind w:left="500"/>
              <w:spacing w:after="0"/>
              <w:rPr>
                <w:sz w:val="20"/>
                <w:szCs w:val="20"/>
                <w:color w:val="auto"/>
              </w:rPr>
            </w:pPr>
            <w:r>
              <w:rPr>
                <w:rFonts w:ascii="Arial" w:cs="Arial" w:eastAsia="Arial" w:hAnsi="Arial"/>
                <w:sz w:val="17"/>
                <w:szCs w:val="17"/>
                <w:color w:val="auto"/>
                <w:w w:val="88"/>
              </w:rPr>
              <w:t>shares of common stock from us and to purchase up to a</w:t>
            </w:r>
          </w:p>
        </w:tc>
      </w:tr>
      <w:tr>
        <w:trPr>
          <w:trHeight w:val="216"/>
        </w:trPr>
        <w:tc>
          <w:tcPr>
            <w:tcW w:w="104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7"/>
                <w:szCs w:val="17"/>
                <w:color w:val="auto"/>
              </w:rPr>
              <w:t>additional</w:t>
            </w:r>
          </w:p>
        </w:tc>
        <w:tc>
          <w:tcPr>
            <w:tcW w:w="4720" w:type="dxa"/>
            <w:vAlign w:val="bottom"/>
          </w:tcPr>
          <w:p>
            <w:pPr>
              <w:jc w:val="right"/>
              <w:ind w:right="415"/>
              <w:spacing w:after="0"/>
              <w:rPr>
                <w:sz w:val="20"/>
                <w:szCs w:val="20"/>
                <w:color w:val="auto"/>
              </w:rPr>
            </w:pPr>
            <w:r>
              <w:rPr>
                <w:rFonts w:ascii="Arial" w:cs="Arial" w:eastAsia="Arial" w:hAnsi="Arial"/>
                <w:sz w:val="17"/>
                <w:szCs w:val="17"/>
                <w:color w:val="auto"/>
              </w:rPr>
              <w:t>shares of common stock from the selling stockholders.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8"/>
        </w:trPr>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20" w:type="dxa"/>
            <w:vAlign w:val="bottom"/>
          </w:tcPr>
          <w:p>
            <w:pPr>
              <w:jc w:val="right"/>
              <w:ind w:right="1355"/>
              <w:spacing w:after="0"/>
              <w:rPr>
                <w:sz w:val="20"/>
                <w:szCs w:val="20"/>
                <w:color w:val="auto"/>
              </w:rPr>
            </w:pPr>
            <w:r>
              <w:rPr>
                <w:rFonts w:ascii="Arial" w:cs="Arial" w:eastAsia="Arial" w:hAnsi="Arial"/>
                <w:sz w:val="17"/>
                <w:szCs w:val="17"/>
                <w:color w:val="auto"/>
              </w:rPr>
              <w:t>8</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0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181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618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8" w:lineRule="exact"/>
        <w:rPr>
          <w:sz w:val="20"/>
          <w:szCs w:val="20"/>
          <w:color w:val="auto"/>
        </w:rPr>
      </w:pPr>
    </w:p>
    <w:p>
      <w:pPr>
        <w:jc w:val="both"/>
        <w:ind w:left="240" w:firstLine="487"/>
        <w:spacing w:after="0" w:line="280" w:lineRule="auto"/>
        <w:rPr>
          <w:sz w:val="20"/>
          <w:szCs w:val="20"/>
          <w:color w:val="auto"/>
        </w:rPr>
      </w:pPr>
      <w:r>
        <w:rPr>
          <w:rFonts w:ascii="Arial" w:cs="Arial" w:eastAsia="Arial" w:hAnsi="Arial"/>
          <w:sz w:val="16"/>
          <w:szCs w:val="16"/>
          <w:color w:val="auto"/>
        </w:rPr>
        <w:t>The following tables summarize our consolidated financial and other data for the periods ended and as of the dates indicated. We derived the consolidate statements of operations data for each of the years ended December 31, 2010, 2011 and 2012 and the consolidated balance sheet data as of December 31, 2012 fro our audited consolidated financial statements and related notes included elsewhere in this prospectus. We derived the consolidated statements of operations data f each of the six months ended June 30, 2012 and 2013 and the consolidated balance sheet data as of June 30, 2013 from our unaudited consolidated financial statemen and related notes included elsewhere in this prospectus. We have prepared the unaudited financial information on the same basis as the audited consolidated financi statements and have included, in our opinion, all adjustments, consisting only of normal recurring adjustments, that we consider necessary for a fair presentation of t financial information set forth in those statements.</w:t>
      </w:r>
    </w:p>
    <w:p>
      <w:pPr>
        <w:spacing w:after="0" w:line="175" w:lineRule="exact"/>
        <w:rPr>
          <w:sz w:val="20"/>
          <w:szCs w:val="20"/>
          <w:color w:val="auto"/>
        </w:rPr>
      </w:pPr>
    </w:p>
    <w:p>
      <w:pPr>
        <w:jc w:val="both"/>
        <w:ind w:left="240" w:firstLine="427"/>
        <w:spacing w:after="0" w:line="265" w:lineRule="auto"/>
        <w:rPr>
          <w:sz w:val="20"/>
          <w:szCs w:val="20"/>
          <w:color w:val="auto"/>
        </w:rPr>
      </w:pPr>
      <w:r>
        <w:rPr>
          <w:rFonts w:ascii="Arial" w:cs="Arial" w:eastAsia="Arial" w:hAnsi="Arial"/>
          <w:sz w:val="17"/>
          <w:szCs w:val="17"/>
          <w:color w:val="auto"/>
        </w:rPr>
        <w:t>Our historic results are not necessarily indicative of the results that may be expected in the future, and our interim results are not necessarily indicative of t results to be expected for the full fiscal year. You should read this data together with our consolidated financial statements and related notes, "Capitalization "Selected Consolidated Financial Data," and "Management's Discussion and Analysis of Financial Condition and Results of Operations" included elsewhere in th prospectus.</w:t>
      </w:r>
    </w:p>
    <w:p>
      <w:pPr>
        <w:spacing w:after="0" w:line="234"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7"/>
          </w:tcPr>
          <w:p>
            <w:pPr>
              <w:jc w:val="right"/>
              <w:ind w:right="55"/>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2010</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w w:val="92"/>
              </w:rPr>
              <w:t>(in thousands,</w:t>
            </w:r>
          </w:p>
        </w:tc>
        <w:tc>
          <w:tcPr>
            <w:tcW w:w="2440" w:type="dxa"/>
            <w:vAlign w:val="bottom"/>
            <w:gridSpan w:val="7"/>
          </w:tcPr>
          <w:p>
            <w:pPr>
              <w:jc w:val="right"/>
              <w:ind w:right="340"/>
              <w:spacing w:after="0" w:line="124" w:lineRule="exact"/>
              <w:rPr>
                <w:sz w:val="20"/>
                <w:szCs w:val="20"/>
                <w:color w:val="auto"/>
              </w:rPr>
            </w:pPr>
            <w:r>
              <w:rPr>
                <w:rFonts w:ascii="Arial" w:cs="Arial" w:eastAsia="Arial" w:hAnsi="Arial"/>
                <w:sz w:val="13"/>
                <w:szCs w:val="13"/>
                <w:b w:val="1"/>
                <w:bCs w:val="1"/>
                <w:color w:val="auto"/>
                <w:w w:val="90"/>
              </w:rPr>
              <w:t>except share and per share amounts)</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Data: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82,973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120,271</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169,616</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78,199</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107,926</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32,353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45,504</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64,676</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29,825</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41,589</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31,929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45,107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23,333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25,292</w:t>
            </w:r>
          </w:p>
        </w:tc>
        <w:tc>
          <w:tcPr>
            <w:tcW w:w="0" w:type="dxa"/>
            <w:vAlign w:val="bottom"/>
          </w:tcPr>
          <w:p>
            <w:pPr>
              <w:spacing w:after="0"/>
              <w:rPr>
                <w:sz w:val="1"/>
                <w:szCs w:val="1"/>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4,591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9,777</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16,330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6,860</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9,615</w:t>
            </w:r>
          </w:p>
        </w:tc>
        <w:tc>
          <w:tcPr>
            <w:tcW w:w="0" w:type="dxa"/>
            <w:vAlign w:val="bottom"/>
          </w:tcPr>
          <w:p>
            <w:pPr>
              <w:spacing w:after="0"/>
              <w:rPr>
                <w:sz w:val="1"/>
                <w:szCs w:val="1"/>
                <w:color w:val="auto"/>
              </w:rPr>
            </w:pPr>
          </w:p>
        </w:tc>
      </w:tr>
      <w:tr>
        <w:trPr>
          <w:trHeight w:val="249"/>
        </w:trPr>
        <w:tc>
          <w:tcPr>
            <w:tcW w:w="3420" w:type="dxa"/>
            <w:vAlign w:val="bottom"/>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10,171</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21,651</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8,177</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10,514</w:t>
            </w:r>
          </w:p>
        </w:tc>
        <w:tc>
          <w:tcPr>
            <w:tcW w:w="0" w:type="dxa"/>
            <w:vAlign w:val="bottom"/>
          </w:tcPr>
          <w:p>
            <w:pPr>
              <w:spacing w:after="0"/>
              <w:rPr>
                <w:sz w:val="1"/>
                <w:szCs w:val="1"/>
                <w:color w:val="auto"/>
              </w:rPr>
            </w:pPr>
          </w:p>
        </w:tc>
      </w:tr>
      <w:tr>
        <w:trPr>
          <w:trHeight w:val="26"/>
        </w:trPr>
        <w:tc>
          <w:tcPr>
            <w:tcW w:w="34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147,764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68,195</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19,795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22,890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21,852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10,004</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20,916</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19,814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22,900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10,009</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20,924</w:t>
            </w:r>
          </w:p>
        </w:tc>
        <w:tc>
          <w:tcPr>
            <w:tcW w:w="0" w:type="dxa"/>
            <w:vAlign w:val="bottom"/>
          </w:tcPr>
          <w:p>
            <w:pPr>
              <w:spacing w:after="0"/>
              <w:rPr>
                <w:sz w:val="1"/>
                <w:szCs w:val="1"/>
                <w:color w:val="auto"/>
              </w:rPr>
            </w:pPr>
          </w:p>
        </w:tc>
      </w:tr>
      <w:tr>
        <w:trPr>
          <w:trHeight w:val="275"/>
        </w:trPr>
        <w:tc>
          <w:tcPr>
            <w:tcW w:w="3420" w:type="dxa"/>
            <w:vAlign w:val="bottom"/>
          </w:tcPr>
          <w:p>
            <w:pPr>
              <w:ind w:left="20"/>
              <w:spacing w:after="0" w:line="276" w:lineRule="exact"/>
              <w:rPr>
                <w:sz w:val="20"/>
                <w:szCs w:val="20"/>
                <w:color w:val="auto"/>
              </w:rPr>
            </w:pPr>
            <w:r>
              <w:rPr>
                <w:rFonts w:ascii="Arial" w:cs="Arial" w:eastAsia="Arial" w:hAnsi="Arial"/>
                <w:sz w:val="17"/>
                <w:szCs w:val="17"/>
                <w:color w:val="auto"/>
              </w:rPr>
              <w:t>Provision (benefit) for income taxes</w:t>
            </w:r>
            <w:r>
              <w:rPr>
                <w:rFonts w:ascii="Arial" w:cs="Arial" w:eastAsia="Arial" w:hAnsi="Arial"/>
                <w:sz w:val="28"/>
                <w:szCs w:val="28"/>
                <w:color w:val="auto"/>
                <w:vertAlign w:val="superscript"/>
              </w:rPr>
              <w:t>(2)</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1,036</w:t>
            </w:r>
          </w:p>
        </w:tc>
        <w:tc>
          <w:tcPr>
            <w:tcW w:w="2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(25,738)</w:t>
            </w:r>
          </w:p>
        </w:tc>
        <w:tc>
          <w:tcPr>
            <w:tcW w:w="2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227</w:t>
            </w:r>
          </w:p>
        </w:tc>
        <w:tc>
          <w:tcPr>
            <w:tcW w:w="3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8,496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21,864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47,543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9,782</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12,428</w:t>
            </w:r>
          </w:p>
        </w:tc>
        <w:tc>
          <w:tcPr>
            <w:tcW w:w="0" w:type="dxa"/>
            <w:vAlign w:val="bottom"/>
          </w:tcPr>
          <w:p>
            <w:pPr>
              <w:spacing w:after="0"/>
              <w:rPr>
                <w:sz w:val="1"/>
                <w:szCs w:val="1"/>
                <w:color w:val="auto"/>
              </w:rPr>
            </w:pPr>
          </w:p>
        </w:tc>
      </w:tr>
      <w:tr>
        <w:trPr>
          <w:trHeight w:val="26"/>
        </w:trPr>
        <w:tc>
          <w:tcPr>
            <w:tcW w:w="3420" w:type="dxa"/>
            <w:vAlign w:val="bottom"/>
            <w:vMerge w:val="restart"/>
          </w:tcPr>
          <w:p>
            <w:pPr>
              <w:ind w:left="20"/>
              <w:spacing w:after="0"/>
              <w:rPr>
                <w:sz w:val="20"/>
                <w:szCs w:val="20"/>
                <w:color w:val="auto"/>
              </w:rPr>
            </w:pPr>
            <w:r>
              <w:rPr>
                <w:rFonts w:ascii="Arial" w:cs="Arial" w:eastAsia="Arial" w:hAnsi="Arial"/>
                <w:sz w:val="17"/>
                <w:szCs w:val="17"/>
                <w:color w:val="auto"/>
              </w:rPr>
              <w:t>Less: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interest distributed</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7,144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7"/>
                <w:szCs w:val="17"/>
                <w:color w:val="auto"/>
              </w:rPr>
              <w:t>Preferred interest accretion</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4,058</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Undistributed (loss) earnings to participating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stockholder / members</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(3,659)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(2,692)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3420" w:type="dxa"/>
            <w:vAlign w:val="bottom"/>
            <w:vMerge w:val="restart"/>
          </w:tcPr>
          <w:p>
            <w:pPr>
              <w:ind w:left="20"/>
              <w:spacing w:after="0"/>
              <w:rPr>
                <w:sz w:val="20"/>
                <w:szCs w:val="20"/>
                <w:color w:val="auto"/>
              </w:rPr>
            </w:pPr>
            <w:r>
              <w:rPr>
                <w:rFonts w:ascii="Arial" w:cs="Arial" w:eastAsia="Arial" w:hAnsi="Arial"/>
                <w:sz w:val="17"/>
                <w:szCs w:val="17"/>
                <w:color w:val="auto"/>
              </w:rPr>
              <w:t>Net income available to common</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7"/>
                <w:szCs w:val="17"/>
                <w:color w:val="auto"/>
              </w:rPr>
              <w:t>stockholders / members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9,054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13,354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42,629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7,336</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12,387</w:t>
            </w:r>
          </w:p>
        </w:tc>
        <w:tc>
          <w:tcPr>
            <w:tcW w:w="0" w:type="dxa"/>
            <w:vAlign w:val="bottom"/>
          </w:tcPr>
          <w:p>
            <w:pPr>
              <w:spacing w:after="0"/>
              <w:rPr>
                <w:sz w:val="1"/>
                <w:szCs w:val="1"/>
                <w:color w:val="auto"/>
              </w:rPr>
            </w:pPr>
          </w:p>
        </w:tc>
      </w:tr>
      <w:tr>
        <w:trPr>
          <w:trHeight w:val="29"/>
        </w:trPr>
        <w:tc>
          <w:tcPr>
            <w:tcW w:w="3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65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466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8"/>
              </w:rPr>
              <w:t>Six Months Ended June 30,</w:t>
            </w: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w w:val="92"/>
              </w:rPr>
              <w:t>(in thousands,</w:t>
            </w:r>
          </w:p>
        </w:tc>
        <w:tc>
          <w:tcPr>
            <w:tcW w:w="2440" w:type="dxa"/>
            <w:vAlign w:val="bottom"/>
            <w:gridSpan w:val="7"/>
          </w:tcPr>
          <w:p>
            <w:pPr>
              <w:jc w:val="right"/>
              <w:ind w:right="340"/>
              <w:spacing w:after="0" w:line="124" w:lineRule="exact"/>
              <w:rPr>
                <w:sz w:val="20"/>
                <w:szCs w:val="20"/>
                <w:color w:val="auto"/>
              </w:rPr>
            </w:pPr>
            <w:r>
              <w:rPr>
                <w:rFonts w:ascii="Arial" w:cs="Arial" w:eastAsia="Arial" w:hAnsi="Arial"/>
                <w:sz w:val="13"/>
                <w:szCs w:val="13"/>
                <w:b w:val="1"/>
                <w:bCs w:val="1"/>
                <w:color w:val="auto"/>
                <w:w w:val="90"/>
              </w:rPr>
              <w:t>except share and per share amounts)</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01"/>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Net income (loss) per basic share available to</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stockholders / members: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gridSpan w:val="2"/>
          </w:tcPr>
          <w:p>
            <w:pPr>
              <w:ind w:left="360"/>
              <w:spacing w:after="0"/>
              <w:rPr>
                <w:sz w:val="20"/>
                <w:szCs w:val="20"/>
                <w:color w:val="auto"/>
              </w:rPr>
            </w:pPr>
            <w:r>
              <w:rPr>
                <w:rFonts w:ascii="Arial" w:cs="Arial" w:eastAsia="Arial" w:hAnsi="Arial"/>
                <w:sz w:val="17"/>
                <w:szCs w:val="17"/>
                <w:color w:val="auto"/>
              </w:rPr>
              <w:t>Distributed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0.94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1.03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Undistributed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(0.39)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6"/>
        </w:trPr>
        <w:tc>
          <w:tcPr>
            <w:tcW w:w="3420" w:type="dxa"/>
            <w:vAlign w:val="bottom"/>
            <w:gridSpan w:val="2"/>
            <w:vMerge w:val="restart"/>
          </w:tcPr>
          <w:p>
            <w:pPr>
              <w:ind w:left="360"/>
              <w:spacing w:after="0"/>
              <w:rPr>
                <w:sz w:val="20"/>
                <w:szCs w:val="20"/>
                <w:color w:val="auto"/>
              </w:rPr>
            </w:pPr>
            <w:r>
              <w:rPr>
                <w:rFonts w:ascii="Arial" w:cs="Arial" w:eastAsia="Arial" w:hAnsi="Arial"/>
                <w:sz w:val="17"/>
                <w:szCs w:val="17"/>
                <w:color w:val="auto"/>
              </w:rPr>
              <w:t>Net income per share (basic)</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42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w w:val="95"/>
              </w:rPr>
              <w:t>Net income (loss) per diluted share available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stockholders / members: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gridSpan w:val="2"/>
          </w:tcPr>
          <w:p>
            <w:pPr>
              <w:ind w:left="360"/>
              <w:spacing w:after="0"/>
              <w:rPr>
                <w:sz w:val="20"/>
                <w:szCs w:val="20"/>
                <w:color w:val="auto"/>
              </w:rPr>
            </w:pPr>
            <w:r>
              <w:rPr>
                <w:rFonts w:ascii="Arial" w:cs="Arial" w:eastAsia="Arial" w:hAnsi="Arial"/>
                <w:sz w:val="17"/>
                <w:szCs w:val="17"/>
                <w:color w:val="auto"/>
              </w:rPr>
              <w:t>Distributed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0.94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1.03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Undistributed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(0.39)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6"/>
        </w:trPr>
        <w:tc>
          <w:tcPr>
            <w:tcW w:w="3420" w:type="dxa"/>
            <w:vAlign w:val="bottom"/>
            <w:gridSpan w:val="2"/>
            <w:vMerge w:val="restart"/>
          </w:tcPr>
          <w:p>
            <w:pPr>
              <w:ind w:left="360"/>
              <w:spacing w:after="0"/>
              <w:rPr>
                <w:sz w:val="20"/>
                <w:szCs w:val="20"/>
                <w:color w:val="auto"/>
              </w:rPr>
            </w:pPr>
            <w:r>
              <w:rPr>
                <w:rFonts w:ascii="Arial" w:cs="Arial" w:eastAsia="Arial" w:hAnsi="Arial"/>
                <w:sz w:val="17"/>
                <w:szCs w:val="17"/>
                <w:color w:val="auto"/>
              </w:rPr>
              <w:t>Net income per share (diluted)</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shares outstanding:</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gridSpan w:val="2"/>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20,770,041</w:t>
            </w:r>
          </w:p>
        </w:tc>
        <w:tc>
          <w:tcPr>
            <w:tcW w:w="140" w:type="dxa"/>
            <w:vAlign w:val="bottom"/>
          </w:tcPr>
          <w:p>
            <w:pPr>
              <w:spacing w:after="0"/>
              <w:rPr>
                <w:sz w:val="18"/>
                <w:szCs w:val="18"/>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w w:val="96"/>
              </w:rPr>
              <w:t>20,849,242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23,785,299</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20,849,242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33,435,439</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20,770,041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96"/>
              </w:rPr>
              <w:t>20,849,242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23,833,223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20,849,242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33,903,898</w:t>
            </w:r>
          </w:p>
        </w:tc>
        <w:tc>
          <w:tcPr>
            <w:tcW w:w="0" w:type="dxa"/>
            <w:vAlign w:val="bottom"/>
          </w:tcPr>
          <w:p>
            <w:pPr>
              <w:spacing w:after="0"/>
              <w:rPr>
                <w:sz w:val="1"/>
                <w:szCs w:val="1"/>
                <w:color w:val="auto"/>
              </w:rPr>
            </w:pPr>
          </w:p>
        </w:tc>
      </w:tr>
      <w:tr>
        <w:trPr>
          <w:trHeight w:val="105"/>
        </w:trPr>
        <w:tc>
          <w:tcPr>
            <w:tcW w:w="68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900" w:hanging="526"/>
        <w:spacing w:after="0" w:line="256" w:lineRule="auto"/>
        <w:tabs>
          <w:tab w:leader="none" w:pos="1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following table summarizes non-cash equity-based compensation expense included in the Company's statement of operations. Prior to the Reorganization on October 5, 2012, the was no non-cash equity-based compensation expense related to the stock options as a result of a change-of-control condition:</w:t>
      </w:r>
    </w:p>
    <w:p>
      <w:pPr>
        <w:spacing w:after="0" w:line="175" w:lineRule="exact"/>
        <w:rPr>
          <w:sz w:val="20"/>
          <w:szCs w:val="20"/>
          <w:color w:val="auto"/>
        </w:rPr>
      </w:pPr>
    </w:p>
    <w:tbl>
      <w:tblPr>
        <w:tblLayout w:type="fixed"/>
        <w:tblInd w:w="1940" w:type="dxa"/>
        <w:tblCellMar>
          <w:top w:w="0" w:type="dxa"/>
          <w:left w:w="0" w:type="dxa"/>
          <w:bottom w:w="0" w:type="dxa"/>
          <w:right w:w="0" w:type="dxa"/>
        </w:tblCellMar>
      </w:tblP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8"/>
          </w:tcPr>
          <w:p>
            <w:pPr>
              <w:jc w:val="right"/>
              <w:ind w:right="294"/>
              <w:spacing w:after="0"/>
              <w:rPr>
                <w:sz w:val="20"/>
                <w:szCs w:val="20"/>
                <w:color w:val="auto"/>
              </w:rPr>
            </w:pPr>
            <w:r>
              <w:rPr>
                <w:rFonts w:ascii="Arial" w:cs="Arial" w:eastAsia="Arial" w:hAnsi="Arial"/>
                <w:sz w:val="13"/>
                <w:szCs w:val="13"/>
                <w:b w:val="1"/>
                <w:bCs w:val="1"/>
                <w:color w:val="auto"/>
                <w:w w:val="96"/>
              </w:rPr>
              <w:t>Year Ended December 31,</w:t>
            </w:r>
          </w:p>
        </w:tc>
        <w:tc>
          <w:tcPr>
            <w:tcW w:w="16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38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9"/>
              </w:rPr>
              <w:t>2010</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
              <w:spacing w:after="0" w:line="124"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3"/>
          </w:tcPr>
          <w:p>
            <w:pPr>
              <w:jc w:val="right"/>
              <w:ind w:right="514"/>
              <w:spacing w:after="0" w:line="124" w:lineRule="exact"/>
              <w:rPr>
                <w:sz w:val="20"/>
                <w:szCs w:val="20"/>
                <w:color w:val="auto"/>
              </w:rPr>
            </w:pPr>
            <w:r>
              <w:rPr>
                <w:rFonts w:ascii="Arial" w:cs="Arial" w:eastAsia="Arial" w:hAnsi="Arial"/>
                <w:sz w:val="13"/>
                <w:szCs w:val="13"/>
                <w:b w:val="1"/>
                <w:bCs w:val="1"/>
                <w:color w:val="auto"/>
                <w:w w:val="77"/>
              </w:rPr>
              <w:t>thousands)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38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74"/>
              <w:spacing w:after="0" w:line="144" w:lineRule="exact"/>
              <w:rPr>
                <w:sz w:val="20"/>
                <w:szCs w:val="20"/>
                <w:color w:val="auto"/>
              </w:rPr>
            </w:pPr>
            <w:r>
              <w:rPr>
                <w:rFonts w:ascii="Arial" w:cs="Arial" w:eastAsia="Arial" w:hAnsi="Arial"/>
                <w:sz w:val="13"/>
                <w:szCs w:val="13"/>
                <w:color w:val="auto"/>
              </w:rPr>
              <w:t>219</w:t>
            </w:r>
          </w:p>
        </w:tc>
        <w:tc>
          <w:tcPr>
            <w:tcW w:w="160" w:type="dxa"/>
            <w:vAlign w:val="bottom"/>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165</w:t>
            </w:r>
          </w:p>
        </w:tc>
      </w:tr>
      <w:tr>
        <w:trPr>
          <w:trHeight w:val="144"/>
        </w:trPr>
        <w:tc>
          <w:tcPr>
            <w:tcW w:w="3800" w:type="dxa"/>
            <w:vAlign w:val="bottom"/>
          </w:tcPr>
          <w:p>
            <w:pPr>
              <w:spacing w:after="0" w:line="144" w:lineRule="exact"/>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4"/>
              <w:spacing w:after="0" w:line="144" w:lineRule="exact"/>
              <w:rPr>
                <w:sz w:val="20"/>
                <w:szCs w:val="20"/>
                <w:color w:val="auto"/>
              </w:rPr>
            </w:pPr>
            <w:r>
              <w:rPr>
                <w:rFonts w:ascii="Arial" w:cs="Arial" w:eastAsia="Arial" w:hAnsi="Arial"/>
                <w:sz w:val="13"/>
                <w:szCs w:val="13"/>
                <w:color w:val="auto"/>
              </w:rPr>
              <w:t>783</w:t>
            </w: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507</w:t>
            </w:r>
          </w:p>
        </w:tc>
      </w:tr>
      <w:tr>
        <w:trPr>
          <w:trHeight w:val="144"/>
        </w:trPr>
        <w:tc>
          <w:tcPr>
            <w:tcW w:w="38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Product development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4"/>
              <w:spacing w:after="0" w:line="144" w:lineRule="exact"/>
              <w:rPr>
                <w:sz w:val="20"/>
                <w:szCs w:val="20"/>
                <w:color w:val="auto"/>
              </w:rPr>
            </w:pPr>
            <w:r>
              <w:rPr>
                <w:rFonts w:ascii="Arial" w:cs="Arial" w:eastAsia="Arial" w:hAnsi="Arial"/>
                <w:sz w:val="13"/>
                <w:szCs w:val="13"/>
                <w:color w:val="auto"/>
              </w:rPr>
              <w:t>1,696</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584</w:t>
            </w:r>
          </w:p>
        </w:tc>
      </w:tr>
      <w:tr>
        <w:trPr>
          <w:trHeight w:val="168"/>
        </w:trPr>
        <w:tc>
          <w:tcPr>
            <w:tcW w:w="38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2,122</w:t>
            </w:r>
          </w:p>
        </w:tc>
        <w:tc>
          <w:tcPr>
            <w:tcW w:w="120" w:type="dxa"/>
            <w:vAlign w:val="bottom"/>
          </w:tcPr>
          <w:p>
            <w:pPr>
              <w:spacing w:after="0"/>
              <w:rPr>
                <w:sz w:val="14"/>
                <w:szCs w:val="14"/>
                <w:color w:val="auto"/>
              </w:rPr>
            </w:pPr>
          </w:p>
        </w:tc>
        <w:tc>
          <w:tcPr>
            <w:tcW w:w="600" w:type="dxa"/>
            <w:vAlign w:val="bottom"/>
            <w:gridSpan w:val="2"/>
          </w:tcPr>
          <w:p>
            <w:pPr>
              <w:jc w:val="right"/>
              <w:ind w:right="74"/>
              <w:spacing w:after="0"/>
              <w:rPr>
                <w:sz w:val="20"/>
                <w:szCs w:val="20"/>
                <w:color w:val="auto"/>
              </w:rPr>
            </w:pPr>
            <w:r>
              <w:rPr>
                <w:rFonts w:ascii="Arial" w:cs="Arial" w:eastAsia="Arial" w:hAnsi="Arial"/>
                <w:sz w:val="13"/>
                <w:szCs w:val="13"/>
                <w:color w:val="auto"/>
              </w:rPr>
              <w:t>7,687</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2,157</w:t>
            </w:r>
          </w:p>
        </w:tc>
        <w:tc>
          <w:tcPr>
            <w:tcW w:w="2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1,314</w:t>
            </w:r>
          </w:p>
        </w:tc>
      </w:tr>
      <w:tr>
        <w:trPr>
          <w:trHeight w:val="20"/>
        </w:trPr>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0"/>
        </w:trPr>
        <w:tc>
          <w:tcPr>
            <w:tcW w:w="380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2,122</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74"/>
              <w:spacing w:after="0" w:line="140" w:lineRule="exact"/>
              <w:rPr>
                <w:sz w:val="20"/>
                <w:szCs w:val="20"/>
                <w:color w:val="auto"/>
              </w:rPr>
            </w:pPr>
            <w:r>
              <w:rPr>
                <w:rFonts w:ascii="Arial" w:cs="Arial" w:eastAsia="Arial" w:hAnsi="Arial"/>
                <w:sz w:val="13"/>
                <w:szCs w:val="13"/>
                <w:color w:val="auto"/>
              </w:rPr>
              <w:t>10,385</w:t>
            </w:r>
          </w:p>
        </w:tc>
        <w:tc>
          <w:tcPr>
            <w:tcW w:w="160" w:type="dxa"/>
            <w:vAlign w:val="bottom"/>
            <w:shd w:val="clear" w:color="auto" w:fill="CCEEFF"/>
          </w:tcPr>
          <w:p>
            <w:pPr>
              <w:jc w:val="right"/>
              <w:ind w:right="14"/>
              <w:spacing w:after="0" w:line="140"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2,157</w:t>
            </w:r>
          </w:p>
        </w:tc>
        <w:tc>
          <w:tcPr>
            <w:tcW w:w="260" w:type="dxa"/>
            <w:vAlign w:val="bottom"/>
            <w:shd w:val="clear" w:color="auto" w:fill="CCEEFF"/>
          </w:tcPr>
          <w:p>
            <w:pPr>
              <w:jc w:val="right"/>
              <w:ind w:right="114"/>
              <w:spacing w:after="0" w:line="140"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2,570</w:t>
            </w:r>
          </w:p>
        </w:tc>
      </w:tr>
      <w:tr>
        <w:trPr>
          <w:trHeight w:val="26"/>
        </w:trPr>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88" w:lineRule="exact"/>
        <w:rPr>
          <w:sz w:val="20"/>
          <w:szCs w:val="20"/>
          <w:color w:val="auto"/>
        </w:rPr>
      </w:pPr>
    </w:p>
    <w:p>
      <w:pPr>
        <w:jc w:val="both"/>
        <w:ind w:left="1900" w:right="20" w:hanging="526"/>
        <w:spacing w:after="0" w:line="243" w:lineRule="auto"/>
        <w:tabs>
          <w:tab w:leader="none" w:pos="1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Prior to October 5, 2012, we operated as a New York limited liability company for federal and state income tax purposes, taxed as a partnership, and therefore were not subject to fede and state income taxes. In connection with the Reorganization, we recorded a one-time non-cash tax benefit of $28.8 million. Following the Reorganization, we became subject income taxes.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64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586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right"/>
              <w:ind w:right="378"/>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21,783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26,532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34,877</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13,321</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25,211</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Non-GAAP net income (in thousands)</w:t>
            </w:r>
            <w:r>
              <w:rPr>
                <w:rFonts w:ascii="Arial" w:cs="Arial" w:eastAsia="Arial" w:hAnsi="Arial"/>
                <w:sz w:val="28"/>
                <w:szCs w:val="2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20,044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23,913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27,921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11,890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13,969</w:t>
            </w:r>
          </w:p>
        </w:tc>
        <w:tc>
          <w:tcPr>
            <w:tcW w:w="160" w:type="dxa"/>
            <w:vAlign w:val="bottom"/>
            <w:shd w:val="clear" w:color="auto" w:fill="CCEEFF"/>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27,591</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36,095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41,773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16,307</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14,820</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Paid downloads (in millions) (during period)</w:t>
            </w:r>
            <w:r>
              <w:rPr>
                <w:rFonts w:ascii="Arial" w:cs="Arial" w:eastAsia="Arial" w:hAnsi="Arial"/>
                <w:sz w:val="28"/>
                <w:szCs w:val="28"/>
                <w:color w:val="auto"/>
                <w:vertAlign w:val="superscript"/>
              </w:rPr>
              <w:t>(4)</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60" w:type="dxa"/>
            <w:vAlign w:val="bottom"/>
            <w:shd w:val="clear" w:color="auto" w:fill="CCEEFF"/>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1.88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2.05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2.23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2.18</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Images in our collection (in millions) (end of period)</w:t>
            </w:r>
            <w:r>
              <w:rPr>
                <w:rFonts w:ascii="Arial" w:cs="Arial" w:eastAsia="Arial" w:hAnsi="Arial"/>
                <w:sz w:val="28"/>
                <w:szCs w:val="28"/>
                <w:color w:val="auto"/>
                <w:vertAlign w:val="superscript"/>
              </w:rPr>
              <w:t>(6)</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60" w:type="dxa"/>
            <w:vAlign w:val="bottom"/>
            <w:shd w:val="clear" w:color="auto" w:fill="CCEEFF"/>
          </w:tcPr>
          <w:p>
            <w:pPr>
              <w:spacing w:after="0"/>
              <w:rPr>
                <w:sz w:val="21"/>
                <w:szCs w:val="2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900" w:right="20" w:hanging="526"/>
        <w:spacing w:after="0" w:line="297" w:lineRule="auto"/>
        <w:tabs>
          <w:tab w:leader="none" w:pos="1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 "—Non-GAAP Financial Measures" below as to how we define and calculate Adjusted EBITDA and for a reconciliation between Adjusted EBITDA and net income, the m directly comparable financial measure presented on a U.S. generally accepted accounting principles, or GAAP, basis and a discussion about the limitations of Adjusted EBITDA.</w:t>
      </w:r>
    </w:p>
    <w:p>
      <w:pPr>
        <w:spacing w:after="0" w:line="77" w:lineRule="exact"/>
        <w:rPr>
          <w:rFonts w:ascii="Arial" w:cs="Arial" w:eastAsia="Arial" w:hAnsi="Arial"/>
          <w:sz w:val="12"/>
          <w:szCs w:val="12"/>
          <w:color w:val="auto"/>
        </w:rPr>
      </w:pPr>
    </w:p>
    <w:p>
      <w:pPr>
        <w:ind w:left="1900" w:hanging="526"/>
        <w:spacing w:after="0" w:line="256" w:lineRule="auto"/>
        <w:tabs>
          <w:tab w:leader="none" w:pos="1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Non-GAAP Net Income and for a reconciliation between Non-GAAP Net Income and net income, t most directly comparable GAAP financial measure and a discussion about the limitations of Non-GAAP Net Income.</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900" w:right="20" w:hanging="526"/>
        <w:spacing w:after="0" w:line="256" w:lineRule="auto"/>
        <w:tabs>
          <w:tab w:leader="none" w:pos="1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Paid downloads is the number of paid image and video clip downloads that our customers make during a given period. See "Management's Discussion and Analysis of Financ Condition and Results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jc w:val="both"/>
        <w:ind w:left="1900" w:hanging="526"/>
        <w:spacing w:after="0" w:line="346" w:lineRule="auto"/>
        <w:tabs>
          <w:tab w:leader="none" w:pos="19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Revenue per download is the amount of revenue recognized in a given period divided by the number of paid downloads in that period. See "Management's Discussion and Analysis Financial Condition and Results of Operations—Key Operating Metrics—Revenue per Download" for more information as to how we define and calculate paid revenue per download.</w:t>
      </w:r>
    </w:p>
    <w:p>
      <w:pPr>
        <w:spacing w:after="0" w:line="54" w:lineRule="exact"/>
        <w:rPr>
          <w:rFonts w:ascii="Arial" w:cs="Arial" w:eastAsia="Arial" w:hAnsi="Arial"/>
          <w:sz w:val="11"/>
          <w:szCs w:val="11"/>
          <w:color w:val="auto"/>
        </w:rPr>
      </w:pPr>
    </w:p>
    <w:p>
      <w:pPr>
        <w:jc w:val="both"/>
        <w:ind w:left="1900" w:hanging="526"/>
        <w:spacing w:after="0" w:line="243" w:lineRule="auto"/>
        <w:tabs>
          <w:tab w:leader="none" w:pos="1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Images in our collection is the total number of photographs, vectors and illustrations available on shutterstock.com to customers at the end of the period. See "Management's Discussi and Analysis of Financial Condition and Results of Operations—Key Operating Metrics—Images in our Collection" for more information as to how we define and calculate paid imag in our collection.</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5"/>
          </w:tcPr>
          <w:p>
            <w:pPr>
              <w:jc w:val="center"/>
              <w:ind w:right="1320"/>
              <w:spacing w:after="0"/>
              <w:rPr>
                <w:sz w:val="20"/>
                <w:szCs w:val="20"/>
                <w:color w:val="auto"/>
              </w:rPr>
            </w:pPr>
            <w:r>
              <w:rPr>
                <w:rFonts w:ascii="Arial" w:cs="Arial" w:eastAsia="Arial" w:hAnsi="Arial"/>
                <w:sz w:val="13"/>
                <w:szCs w:val="13"/>
                <w:b w:val="1"/>
                <w:bCs w:val="1"/>
                <w:color w:val="auto"/>
                <w:w w:val="89"/>
              </w:rPr>
              <w:t>As of June 30, 2013</w:t>
            </w:r>
          </w:p>
        </w:tc>
      </w:tr>
      <w:tr>
        <w:trPr>
          <w:trHeight w:val="164"/>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ind w:left="100"/>
              <w:spacing w:after="0" w:line="164"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8"/>
                <w:szCs w:val="18"/>
                <w:b w:val="1"/>
                <w:bCs w:val="1"/>
                <w:color w:val="auto"/>
                <w:vertAlign w:val="superscript"/>
              </w:rPr>
              <w:t>(1)</w:t>
            </w:r>
          </w:p>
        </w:tc>
        <w:tc>
          <w:tcPr>
            <w:tcW w:w="1180" w:type="dxa"/>
            <w:vAlign w:val="bottom"/>
            <w:gridSpan w:val="2"/>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1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180" w:type="dxa"/>
            <w:vAlign w:val="bottom"/>
            <w:gridSpan w:val="2"/>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93"/>
              </w:rPr>
              <w:t>(unaudited)</w:t>
            </w:r>
          </w:p>
        </w:tc>
      </w:tr>
      <w:tr>
        <w:trPr>
          <w:trHeight w:val="210"/>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4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112,803</w:t>
            </w:r>
          </w:p>
        </w:tc>
        <w:tc>
          <w:tcPr>
            <w:tcW w:w="1160" w:type="dxa"/>
            <w:vAlign w:val="bottom"/>
            <w:gridSpan w:val="2"/>
          </w:tcPr>
          <w:p>
            <w:pPr>
              <w:jc w:val="center"/>
              <w:ind w:right="69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4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auto"/>
                <w:w w:val="96"/>
              </w:rPr>
              <w:t>Property and equipment, net</w:t>
            </w:r>
          </w:p>
        </w:tc>
        <w:tc>
          <w:tcPr>
            <w:tcW w:w="4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6,778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4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172,548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auto"/>
              </w:rPr>
              <w:t>Deferred revenue</w:t>
            </w:r>
          </w:p>
        </w:tc>
        <w:tc>
          <w:tcPr>
            <w:tcW w:w="4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46,736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auto"/>
              </w:rPr>
              <w:t>Total stockholders' equity</w:t>
            </w:r>
          </w:p>
        </w:tc>
        <w:tc>
          <w:tcPr>
            <w:tcW w:w="4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95,602</w:t>
            </w:r>
          </w:p>
        </w:tc>
        <w:tc>
          <w:tcPr>
            <w:tcW w:w="1160" w:type="dxa"/>
            <w:vAlign w:val="bottom"/>
            <w:gridSpan w:val="2"/>
          </w:tcPr>
          <w:p>
            <w:pPr>
              <w:jc w:val="center"/>
              <w:ind w:right="69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99"/>
        </w:trPr>
        <w:tc>
          <w:tcPr>
            <w:tcW w:w="3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560" w:type="dxa"/>
            <w:vAlign w:val="bottom"/>
            <w:gridSpan w:val="2"/>
          </w:tcPr>
          <w:p>
            <w:pPr>
              <w:spacing w:after="0"/>
              <w:rPr>
                <w:sz w:val="8"/>
                <w:szCs w:val="8"/>
                <w:color w:val="auto"/>
              </w:rPr>
            </w:pPr>
          </w:p>
        </w:tc>
        <w:tc>
          <w:tcPr>
            <w:tcW w:w="3640" w:type="dxa"/>
            <w:vAlign w:val="bottom"/>
            <w:gridSpan w:val="7"/>
          </w:tcPr>
          <w:p>
            <w:pPr>
              <w:spacing w:after="0"/>
              <w:rPr>
                <w:sz w:val="8"/>
                <w:szCs w:val="8"/>
                <w:color w:val="auto"/>
              </w:rPr>
            </w:pPr>
          </w:p>
        </w:tc>
      </w:tr>
      <w:tr>
        <w:trPr>
          <w:trHeight w:val="325"/>
        </w:trPr>
        <w:tc>
          <w:tcPr>
            <w:tcW w:w="360" w:type="dxa"/>
            <w:vAlign w:val="bottom"/>
            <w:gridSpan w:val="2"/>
          </w:tcPr>
          <w:p>
            <w:pPr>
              <w:ind w:left="20"/>
              <w:spacing w:after="0"/>
              <w:rPr>
                <w:sz w:val="20"/>
                <w:szCs w:val="20"/>
                <w:color w:val="auto"/>
              </w:rPr>
            </w:pPr>
            <w:r>
              <w:rPr>
                <w:rFonts w:ascii="Arial" w:cs="Arial" w:eastAsia="Arial" w:hAnsi="Arial"/>
                <w:sz w:val="13"/>
                <w:szCs w:val="13"/>
                <w:color w:val="auto"/>
              </w:rPr>
              <w:t>(1)</w:t>
            </w:r>
          </w:p>
        </w:tc>
        <w:tc>
          <w:tcPr>
            <w:tcW w:w="6160" w:type="dxa"/>
            <w:vAlign w:val="bottom"/>
            <w:gridSpan w:val="3"/>
          </w:tcPr>
          <w:p>
            <w:pPr>
              <w:ind w:left="180"/>
              <w:spacing w:after="0"/>
              <w:rPr>
                <w:sz w:val="20"/>
                <w:szCs w:val="20"/>
                <w:color w:val="auto"/>
              </w:rPr>
            </w:pPr>
            <w:r>
              <w:rPr>
                <w:rFonts w:ascii="Arial" w:cs="Arial" w:eastAsia="Arial" w:hAnsi="Arial"/>
                <w:sz w:val="13"/>
                <w:szCs w:val="13"/>
                <w:color w:val="auto"/>
                <w:w w:val="96"/>
              </w:rPr>
              <w:t>The as adjusted column in the balance sheet data table above gives effect to the sale and issuance by us of</w:t>
            </w:r>
          </w:p>
        </w:tc>
        <w:tc>
          <w:tcPr>
            <w:tcW w:w="3640" w:type="dxa"/>
            <w:vAlign w:val="bottom"/>
            <w:gridSpan w:val="7"/>
          </w:tcPr>
          <w:p>
            <w:pPr>
              <w:jc w:val="right"/>
              <w:spacing w:after="0"/>
              <w:rPr>
                <w:sz w:val="20"/>
                <w:szCs w:val="20"/>
                <w:color w:val="auto"/>
              </w:rPr>
            </w:pPr>
            <w:r>
              <w:rPr>
                <w:rFonts w:ascii="Arial" w:cs="Arial" w:eastAsia="Arial" w:hAnsi="Arial"/>
                <w:sz w:val="13"/>
                <w:szCs w:val="13"/>
                <w:color w:val="auto"/>
              </w:rPr>
              <w:t>shares of common stock in this offering based upon an assum</w:t>
            </w: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ind w:left="180"/>
              <w:spacing w:after="0"/>
              <w:rPr>
                <w:sz w:val="20"/>
                <w:szCs w:val="20"/>
                <w:color w:val="auto"/>
              </w:rPr>
            </w:pPr>
            <w:r>
              <w:rPr>
                <w:rFonts w:ascii="Arial" w:cs="Arial" w:eastAsia="Arial" w:hAnsi="Arial"/>
                <w:sz w:val="13"/>
                <w:szCs w:val="13"/>
                <w:color w:val="auto"/>
              </w:rPr>
              <w:t>public offering price of $</w:t>
            </w:r>
          </w:p>
        </w:tc>
        <w:tc>
          <w:tcPr>
            <w:tcW w:w="5720" w:type="dxa"/>
            <w:vAlign w:val="bottom"/>
            <w:gridSpan w:val="4"/>
          </w:tcPr>
          <w:p>
            <w:pPr>
              <w:jc w:val="right"/>
              <w:spacing w:after="0"/>
              <w:rPr>
                <w:sz w:val="20"/>
                <w:szCs w:val="20"/>
                <w:color w:val="auto"/>
              </w:rPr>
            </w:pPr>
            <w:r>
              <w:rPr>
                <w:rFonts w:ascii="Arial" w:cs="Arial" w:eastAsia="Arial" w:hAnsi="Arial"/>
                <w:sz w:val="13"/>
                <w:szCs w:val="13"/>
                <w:color w:val="auto"/>
                <w:w w:val="93"/>
              </w:rPr>
              <w:t>per share, which is the last reported sale price of our common stock on the New York Stock Exchange on</w:t>
            </w:r>
          </w:p>
        </w:tc>
        <w:tc>
          <w:tcPr>
            <w:tcW w:w="160" w:type="dxa"/>
            <w:vAlign w:val="bottom"/>
          </w:tcPr>
          <w:p>
            <w:pPr>
              <w:spacing w:after="0"/>
              <w:rPr>
                <w:sz w:val="13"/>
                <w:szCs w:val="13"/>
                <w:color w:val="auto"/>
              </w:rPr>
            </w:pPr>
          </w:p>
        </w:tc>
        <w:tc>
          <w:tcPr>
            <w:tcW w:w="2180" w:type="dxa"/>
            <w:vAlign w:val="bottom"/>
            <w:gridSpan w:val="3"/>
          </w:tcPr>
          <w:p>
            <w:pPr>
              <w:jc w:val="right"/>
              <w:spacing w:after="0"/>
              <w:rPr>
                <w:sz w:val="20"/>
                <w:szCs w:val="20"/>
                <w:color w:val="auto"/>
              </w:rPr>
            </w:pPr>
            <w:r>
              <w:rPr>
                <w:rFonts w:ascii="Arial" w:cs="Arial" w:eastAsia="Arial" w:hAnsi="Arial"/>
                <w:sz w:val="13"/>
                <w:szCs w:val="13"/>
                <w:color w:val="auto"/>
              </w:rPr>
              <w:t>, 2013, after deducting estimat</w:t>
            </w:r>
          </w:p>
        </w:tc>
      </w:tr>
    </w:tbl>
    <w:p>
      <w:pPr>
        <w:ind w:left="1900"/>
        <w:spacing w:after="0"/>
        <w:rPr>
          <w:sz w:val="20"/>
          <w:szCs w:val="20"/>
          <w:color w:val="auto"/>
        </w:rPr>
      </w:pPr>
      <w:r>
        <w:rPr>
          <w:rFonts w:ascii="Arial" w:cs="Arial" w:eastAsia="Arial" w:hAnsi="Arial"/>
          <w:sz w:val="13"/>
          <w:szCs w:val="13"/>
          <w:color w:val="auto"/>
        </w:rPr>
        <w:t>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56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595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left="240" w:firstLine="485"/>
        <w:spacing w:after="0" w:line="263"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 financial measure. We define Adjusted EBITDA as net income adjusted for other (income) expense, income taxes, depreciation and amortization, and non-cash equit based compensation. We believe Adjusted EBITDA is an important measure of operating performance because it allows management, investors and others to evalua and compare our core operating results from period to period by removing the impact of our asset base (depreciation and amortization), non-cash equity-base compensation, interest and taxes.</w:t>
      </w:r>
    </w:p>
    <w:p>
      <w:pPr>
        <w:spacing w:after="0" w:line="187" w:lineRule="exact"/>
        <w:rPr>
          <w:sz w:val="20"/>
          <w:szCs w:val="20"/>
          <w:color w:val="auto"/>
        </w:rPr>
      </w:pPr>
    </w:p>
    <w:p>
      <w:pPr>
        <w:jc w:val="both"/>
        <w:ind w:left="240" w:firstLine="434"/>
        <w:spacing w:after="0" w:line="263" w:lineRule="auto"/>
        <w:rPr>
          <w:sz w:val="20"/>
          <w:szCs w:val="20"/>
          <w:color w:val="auto"/>
        </w:rPr>
      </w:pPr>
      <w:r>
        <w:rPr>
          <w:rFonts w:ascii="Arial" w:cs="Arial" w:eastAsia="Arial" w:hAnsi="Arial"/>
          <w:sz w:val="17"/>
          <w:szCs w:val="17"/>
          <w:color w:val="auto"/>
        </w:rPr>
        <w:t>Our use of Adjusted EBITDA has limitations as an analytical tool, and you should not consider this measure in isolation or as a substitute for analysis of o results as reported under U.S. generally accepted accounting principles, or GAAP, as the excluded items may have significant effects on our operating results an financial condition. When evaluating our performance, you should consider Adjusted EBITDA alongside other financial performance measures, including various ca flow metrics, net income and our other GAAP results. Additionally, our Adjusted EBITDA measure may differ from other companies' Adjusted EBITDA as it is non-GAAP disclosure.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Adjusted EBITDA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9"/>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48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21,864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12,428</w:t>
            </w:r>
          </w:p>
        </w:tc>
        <w:tc>
          <w:tcPr>
            <w:tcW w:w="160" w:type="dxa"/>
            <w:vAlign w:val="bottom"/>
            <w:shd w:val="clear" w:color="auto" w:fill="CCEEFF"/>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7"/>
                <w:szCs w:val="17"/>
                <w:color w:val="auto"/>
              </w:rPr>
              <w:t>Non-GAAP adjustments: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w:t>
            </w:r>
          </w:p>
        </w:tc>
        <w:tc>
          <w:tcPr>
            <w:tcW w:w="160" w:type="dxa"/>
            <w:vAlign w:val="bottom"/>
            <w:shd w:val="clear" w:color="auto" w:fill="CCEEFF"/>
          </w:tcPr>
          <w:p>
            <w:pPr>
              <w:spacing w:after="0"/>
              <w:rPr>
                <w:sz w:val="18"/>
                <w:szCs w:val="18"/>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2,570</w:t>
            </w:r>
          </w:p>
        </w:tc>
        <w:tc>
          <w:tcPr>
            <w:tcW w:w="160" w:type="dxa"/>
            <w:vAlign w:val="bottom"/>
          </w:tcPr>
          <w:p>
            <w:pPr>
              <w:spacing w:after="0"/>
              <w:rPr>
                <w:sz w:val="18"/>
                <w:szCs w:val="18"/>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216"/>
        </w:trPr>
        <w:tc>
          <w:tcPr>
            <w:tcW w:w="4860" w:type="dxa"/>
            <w:vAlign w:val="bottom"/>
          </w:tcPr>
          <w:p>
            <w:pPr>
              <w:ind w:left="18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(25,738)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8,496</w:t>
            </w:r>
          </w:p>
        </w:tc>
        <w:tc>
          <w:tcPr>
            <w:tcW w:w="16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21,783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26,532</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13,321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25,211</w:t>
            </w:r>
          </w:p>
        </w:tc>
        <w:tc>
          <w:tcPr>
            <w:tcW w:w="160" w:type="dxa"/>
            <w:vAlign w:val="bottom"/>
            <w:shd w:val="clear" w:color="auto" w:fill="CCEEFF"/>
          </w:tcPr>
          <w:p>
            <w:pPr>
              <w:spacing w:after="0"/>
              <w:rPr>
                <w:sz w:val="17"/>
                <w:szCs w:val="17"/>
                <w:color w:val="auto"/>
              </w:rPr>
            </w:pPr>
          </w:p>
        </w:tc>
      </w:tr>
      <w:tr>
        <w:trPr>
          <w:trHeight w:val="26"/>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Non-GAAP Net Income</w:t>
      </w:r>
    </w:p>
    <w:p>
      <w:pPr>
        <w:spacing w:after="0" w:line="224" w:lineRule="exact"/>
        <w:rPr>
          <w:sz w:val="20"/>
          <w:szCs w:val="20"/>
          <w:color w:val="auto"/>
        </w:rPr>
      </w:pPr>
    </w:p>
    <w:p>
      <w:pPr>
        <w:jc w:val="both"/>
        <w:ind w:left="240" w:firstLine="398"/>
        <w:spacing w:after="0" w:line="278"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non-GAAP net income, a non-GAA financial measure. We define non-GAAP net income as net income excluding the one-time tax benefit due to the Reorganization and the after-tax impact of non-ca equity-based compensation. We believe non-GAAP net income is an important measure of operating performance because it allows management, investors and othe to evaluate and compare our operating results from period to period by removing the impact of our one-time tax benefit due to the Reorganization in October 201 non-cash equity-based compensation, and the tax benefit for the deductible non-cash equity-based compensation. Our use of non-GAAP net income has limitations an analytical tool, and you should not consider this measure in isolation or as a substitute for analysis of our results as reported under GAAP as the excluded items m have significant effects on our operating results and financial condition. When evaluating our performance, you should consider non-GAAP net income alongsi other financial performance measures, including various cash flow metrics, net income and our other GAAP results. Additionally, our non-GAAP net income measu may differ from other companies' non-GAAP net income as it is a non-GAAP disclosure.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7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4565" cy="467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Non-GAAP net income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9"/>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21,864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7"/>
                <w:szCs w:val="17"/>
                <w:color w:val="auto"/>
              </w:rPr>
              <w:t>Non-GAAP adjustments: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One-time tax benefit due to the Reorganization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(28,811)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Non-cash equity-based compensation tax benefit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340"/>
              <w:spacing w:after="0"/>
              <w:rPr>
                <w:sz w:val="20"/>
                <w:szCs w:val="20"/>
                <w:color w:val="auto"/>
              </w:rPr>
            </w:pPr>
            <w:r>
              <w:rPr>
                <w:rFonts w:ascii="Arial" w:cs="Arial" w:eastAsia="Arial" w:hAnsi="Arial"/>
                <w:sz w:val="17"/>
                <w:szCs w:val="17"/>
                <w:color w:val="auto"/>
              </w:rPr>
              <w:t>Non-GAAP net income</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20,044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27,921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11,890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13,969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left="240" w:firstLine="359"/>
        <w:spacing w:after="0" w:line="26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Free Cash Flow, a non-GAAP financi measure. We define Free Cash Flow as our cash provided by (used in) operating activities, adjusted for capital expenditures and other income (expense). We belie that Free Cash Flow is an important measure of liquidity because it allows management, investors and others to evaluate the cash that we generate after the financi of projects required to maintain or expand our asset base. When evaluating our performance, you should consider Free Cash Flow alongside other financi performance measures, including various cash flow metrics, net income and our other GAAP results. Additionally, our Free Cash Flow measure may differ from oth companies' Free Cash Flow as it is a non-GAAP disclosure.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28,726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39,547</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45,534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(2,986)</w:t>
            </w:r>
          </w:p>
        </w:tc>
        <w:tc>
          <w:tcPr>
            <w:tcW w:w="0" w:type="dxa"/>
            <w:vAlign w:val="bottom"/>
          </w:tcPr>
          <w:p>
            <w:pPr>
              <w:spacing w:after="0"/>
              <w:rPr>
                <w:sz w:val="1"/>
                <w:szCs w:val="1"/>
                <w:color w:val="auto"/>
              </w:rPr>
            </w:pPr>
          </w:p>
        </w:tc>
      </w:tr>
      <w:tr>
        <w:trPr>
          <w:trHeight w:val="26"/>
        </w:trPr>
        <w:tc>
          <w:tcPr>
            <w:tcW w:w="4940" w:type="dxa"/>
            <w:vAlign w:val="bottom"/>
            <w:vMerge w:val="restart"/>
          </w:tcPr>
          <w:p>
            <w:pPr>
              <w:ind w:left="340"/>
              <w:spacing w:after="0"/>
              <w:rPr>
                <w:sz w:val="20"/>
                <w:szCs w:val="20"/>
                <w:color w:val="auto"/>
              </w:rPr>
            </w:pPr>
            <w:r>
              <w:rPr>
                <w:rFonts w:ascii="Arial" w:cs="Arial" w:eastAsia="Arial" w:hAnsi="Arial"/>
                <w:sz w:val="17"/>
                <w:szCs w:val="17"/>
                <w:color w:val="auto"/>
              </w:rPr>
              <w:t>Free cash flow</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41,773</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16,307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7"/>
          <w:szCs w:val="17"/>
          <w:i w:val="1"/>
          <w:iCs w:val="1"/>
          <w:color w:val="auto"/>
        </w:rPr>
        <w:t>This offering and an investment in our common stock involves a high degree of risk. You should carefully consider the risks and uncertainties described below, together with the financial and other information contained in this prospectus, before deciding whether to invest in shares of our common stock. If any of the following risks actually occur, our business, financial condition, operating results, cash flow and prospects could be materially adversely affected. This could cause the trading price of our common stock to decline, and you may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The success of our business depends on our ability to continue to attract and retain customers and contributors to our online marketplace for commercial digital imagery.</w:t>
      </w:r>
    </w:p>
    <w:p>
      <w:pPr>
        <w:spacing w:after="0" w:line="170"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The success of our business and our future growth depends significantly on our ability to continue to attract new customers and contributors, as well as continue to retain existing customers and contributors, to our online marketplace for commercial digital imagery. To maintain and increase our revenue, we must regularly add new customers and retain our existing customers. An increase in paying customers has generally attracted more images and video clips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collection and the functionality and features of our marketplace. Our marketing efforts may be unsuccessful, our collection may fail to grow as anticipated and new technologies may render the systems and features of our marketplace obsolete, any of which would adversely affect our results of operations and future growth prospects.</w:t>
      </w:r>
    </w:p>
    <w:p>
      <w:pPr>
        <w:spacing w:after="0" w:line="175" w:lineRule="exact"/>
        <w:rPr>
          <w:sz w:val="20"/>
          <w:szCs w:val="20"/>
          <w:color w:val="auto"/>
        </w:rPr>
      </w:pPr>
    </w:p>
    <w:p>
      <w:pPr>
        <w:jc w:val="both"/>
        <w:spacing w:after="0" w:line="352" w:lineRule="auto"/>
        <w:rPr>
          <w:sz w:val="20"/>
          <w:szCs w:val="20"/>
          <w:color w:val="auto"/>
        </w:rPr>
      </w:pPr>
      <w:r>
        <w:rPr>
          <w:rFonts w:ascii="Arial" w:cs="Arial" w:eastAsia="Arial" w:hAnsi="Arial"/>
          <w:sz w:val="15"/>
          <w:szCs w:val="15"/>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23"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5"/>
          <w:szCs w:val="15"/>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collection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 To the extent that revenue from our On Demand purchases continues to increase as a percentage of our total revenue, we will become more dependent upon such purchase options.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firstLine="517"/>
        <w:spacing w:after="0" w:line="315" w:lineRule="auto"/>
        <w:rPr>
          <w:sz w:val="20"/>
          <w:szCs w:val="20"/>
          <w:color w:val="auto"/>
        </w:rPr>
      </w:pPr>
      <w:r>
        <w:rPr>
          <w:rFonts w:ascii="Arial" w:cs="Arial" w:eastAsia="Arial" w:hAnsi="Arial"/>
          <w:sz w:val="16"/>
          <w:szCs w:val="16"/>
          <w:color w:val="auto"/>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several years. Some or all of these assumptions may be incorrect. The market for online commercial digital imagery may not develop as we expect or as third party analysts have forecasted or we may fail to address the needs of this market.</w:t>
      </w:r>
    </w:p>
    <w:p>
      <w:pPr>
        <w:spacing w:after="0" w:line="170" w:lineRule="exact"/>
        <w:rPr>
          <w:sz w:val="20"/>
          <w:szCs w:val="20"/>
          <w:color w:val="auto"/>
        </w:rPr>
      </w:pPr>
    </w:p>
    <w:p>
      <w:pPr>
        <w:ind w:firstLine="449"/>
        <w:spacing w:after="0" w:line="282"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3"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new customers and retain existing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offer customers the kinds of images they are seeking;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commercial digital imagery marketplace;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protect against the misuse of our imagery;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raise awareness of our online community and brand name;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expand our business;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 a scalable, high-performance technology infrastructure that can efficiently and reliably handle increased customer and contributor usage globally, as well as the deployment of new features and services;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avoid interruptions or disruptions in our services.</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highly competitive. Competition presents an ongoing threat to the success of our business.</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92"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and marketing efforts, including local languages, currencies, and payment methods. In addition, demand 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w:t>
      </w:r>
    </w:p>
    <w:p>
      <w:pPr>
        <w:spacing w:after="0" w:line="145" w:lineRule="exact"/>
        <w:rPr>
          <w:sz w:val="20"/>
          <w:szCs w:val="20"/>
          <w:color w:val="auto"/>
        </w:rPr>
      </w:pPr>
    </w:p>
    <w:p>
      <w:pPr>
        <w:jc w:val="both"/>
        <w:ind w:firstLine="400"/>
        <w:spacing w:after="0" w:line="261" w:lineRule="auto"/>
        <w:rPr>
          <w:sz w:val="20"/>
          <w:szCs w:val="20"/>
          <w:color w:val="auto"/>
        </w:rPr>
      </w:pPr>
      <w:r>
        <w:rPr>
          <w:rFonts w:ascii="Arial" w:cs="Arial" w:eastAsia="Arial" w:hAnsi="Arial"/>
          <w:sz w:val="17"/>
          <w:szCs w:val="17"/>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collection.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competitors could enter our market and we may be unsuccessful in competing with these new entrants.</w:t>
      </w:r>
    </w:p>
    <w:p>
      <w:pPr>
        <w:spacing w:after="0" w:line="22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auto"/>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the misuse of our imagery and we may be subject to infringement claims.</w:t>
      </w:r>
    </w:p>
    <w:p>
      <w:pPr>
        <w:spacing w:after="0" w:line="224"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We rely on intellectual property laws and contractual restrictions to protect our rights and the imagery in our collection.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69"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collection,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2009, we have received approximately 35 customer claims for indemnification. Following investigation of such claims, fewer than one-third resulted in our making a cash payment to settle such claims. Aggregate amounts paid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to settle customer indemnification claims have not been material. Although we have insurance to 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79"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jc w:val="both"/>
        <w:ind w:firstLine="508"/>
        <w:spacing w:after="0" w:line="300" w:lineRule="auto"/>
        <w:rPr>
          <w:sz w:val="20"/>
          <w:szCs w:val="20"/>
          <w:color w:val="auto"/>
        </w:rPr>
      </w:pPr>
      <w:r>
        <w:rPr>
          <w:rFonts w:ascii="Arial" w:cs="Arial" w:eastAsia="Arial" w:hAnsi="Arial"/>
          <w:sz w:val="15"/>
          <w:szCs w:val="15"/>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63" w:lineRule="exact"/>
        <w:rPr>
          <w:sz w:val="20"/>
          <w:szCs w:val="20"/>
          <w:color w:val="auto"/>
        </w:rPr>
      </w:pPr>
    </w:p>
    <w:p>
      <w:pPr>
        <w:jc w:val="both"/>
        <w:ind w:firstLine="521"/>
        <w:spacing w:after="0" w:line="260" w:lineRule="auto"/>
        <w:rPr>
          <w:sz w:val="20"/>
          <w:szCs w:val="20"/>
          <w:color w:val="auto"/>
        </w:rPr>
      </w:pPr>
      <w:r>
        <w:rPr>
          <w:rFonts w:ascii="Arial" w:cs="Arial" w:eastAsia="Arial" w:hAnsi="Arial"/>
          <w:sz w:val="17"/>
          <w:szCs w:val="17"/>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we increase market awareness of our company and our services, our revenue may not continue to grow.</w:t>
      </w:r>
    </w:p>
    <w:p>
      <w:pPr>
        <w:spacing w:after="0" w:line="224" w:lineRule="exact"/>
        <w:rPr>
          <w:sz w:val="20"/>
          <w:szCs w:val="20"/>
          <w:color w:val="auto"/>
        </w:rPr>
      </w:pPr>
    </w:p>
    <w:p>
      <w:pPr>
        <w:jc w:val="both"/>
        <w:ind w:firstLine="409"/>
        <w:spacing w:after="0" w:line="263" w:lineRule="auto"/>
        <w:rPr>
          <w:sz w:val="20"/>
          <w:szCs w:val="20"/>
          <w:color w:val="auto"/>
        </w:rPr>
      </w:pPr>
      <w:r>
        <w:rPr>
          <w:rFonts w:ascii="Arial" w:cs="Arial" w:eastAsia="Arial" w:hAnsi="Arial"/>
          <w:sz w:val="17"/>
          <w:szCs w:val="17"/>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322" w:lineRule="auto"/>
        <w:rPr>
          <w:sz w:val="20"/>
          <w:szCs w:val="20"/>
          <w:color w:val="auto"/>
        </w:rPr>
      </w:pPr>
      <w:r>
        <w:rPr>
          <w:rFonts w:ascii="Arial" w:cs="Arial" w:eastAsia="Arial" w:hAnsi="Arial"/>
          <w:sz w:val="15"/>
          <w:szCs w:val="15"/>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236" w:lineRule="exact"/>
        <w:rPr>
          <w:sz w:val="20"/>
          <w:szCs w:val="20"/>
          <w:color w:val="auto"/>
        </w:rPr>
      </w:pPr>
    </w:p>
    <w:p>
      <w:pPr>
        <w:jc w:val="both"/>
        <w:ind w:firstLine="516"/>
        <w:spacing w:after="0" w:line="261" w:lineRule="auto"/>
        <w:rPr>
          <w:sz w:val="20"/>
          <w:szCs w:val="20"/>
          <w:color w:val="auto"/>
        </w:rPr>
      </w:pPr>
      <w:r>
        <w:rPr>
          <w:rFonts w:ascii="Arial" w:cs="Arial" w:eastAsia="Arial" w:hAnsi="Arial"/>
          <w:sz w:val="17"/>
          <w:szCs w:val="17"/>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0" w:lineRule="exact"/>
        <w:rPr>
          <w:sz w:val="20"/>
          <w:szCs w:val="20"/>
          <w:color w:val="auto"/>
        </w:rPr>
      </w:pPr>
    </w:p>
    <w:p>
      <w:pPr>
        <w:jc w:val="both"/>
        <w:spacing w:after="0" w:line="394" w:lineRule="auto"/>
        <w:rPr>
          <w:sz w:val="20"/>
          <w:szCs w:val="20"/>
          <w:color w:val="auto"/>
        </w:rPr>
      </w:pPr>
      <w:r>
        <w:rPr>
          <w:rFonts w:ascii="Arial" w:cs="Arial" w:eastAsia="Arial" w:hAnsi="Arial"/>
          <w:sz w:val="14"/>
          <w:szCs w:val="14"/>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01"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One of our strategic goals is to increase the percentage of our revenue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46"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5"/>
          <w:szCs w:val="15"/>
          <w:color w:val="auto"/>
        </w:rPr>
        <w:t>Continuing to expand our business to attract customers and contributors in countries other than the United States is a critical element of our business strategy. In 2012, approximately 65%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collection and user experience for foreign markets. Our ability to expand our business and to attract talented employees, and customers and contributors in an increasing number of international markets requires considerable management attention and resources and is subject to the particular challenges of supporting a rapidly growing business in an environment of multiple languages,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cultures,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83"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modifying our technology and marketing our offerings for customers and contributors beyond the 20 languages we currently offer;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localizing our content to foreign customers' preferences and customs;</w:t>
      </w:r>
    </w:p>
    <w:p>
      <w:pPr>
        <w:spacing w:after="0" w:line="237"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foreign laws and regulations, including disclosure requirements, privacy laws, rights of publicity, technology laws and laws relating to content;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protecting and enforcing our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recruiting and retaining talented and capable management and employees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adverse foreign tax consequences;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strains on our financial and other systems to properly administer VAT, withholdings and other taxes;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currency exchange fluctuations;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remedying the material weakness in our internal control over financial reporting relating to tax compliance;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costs associated with doing business internationally.</w:t>
      </w:r>
    </w:p>
    <w:p>
      <w:pPr>
        <w:spacing w:after="0" w:line="224"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auto"/>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As a result of the Reorganization, we are subject to entity-level taxation, which will result in significantly greater income tax expense than we have incurred historically.</w:t>
      </w:r>
    </w:p>
    <w:p>
      <w:pPr>
        <w:spacing w:after="0" w:line="170"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Prior to the Reorganization on October 5, 2012, we operated as a New York limited liability company. As a limited liability company, we recognized no federal and state income taxes, as the members of the LLC, and not the entity itself, were subject to income tax on their allocated share of our earnings. On October 5, 2012, we reorganized as a Delaware corporation. Consequently, we are currently subject to entity-level taxation even though historically Shutterstock Images LLC did not pay U.S. federal or state income taxes. As a result, our corporate income tax rate has increased significantly now that we are subject to federal, state and additional city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236"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4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8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46"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6"/>
          <w:szCs w:val="16"/>
          <w:color w:val="auto"/>
        </w:rPr>
        <w:t>We began to remediate this material weakness during fiscal years 2012 and 2013 by increasing the level of tax expertise within our finance department, by hiring an external accounting firm with the appropriate knowledge and ability to supplement internal resources in the review process and to fulfill our obligations to comply with the accounting and reporting requirements applicable to public companies, and by updating our systems to collect the necessary data and taxes to comply with our required tax compliance processes. The actions that we are taking are subject to ongoing senior management review, as well as audit committee oversight. We were unable to fully remediate this material weakness during fiscal year 2012 and, therefore, the material weakness was not remediated as of December 31, 2012.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jc w:val="both"/>
        <w:ind w:firstLine="487"/>
        <w:spacing w:after="0" w:line="315" w:lineRule="auto"/>
        <w:rPr>
          <w:sz w:val="20"/>
          <w:szCs w:val="20"/>
          <w:color w:val="auto"/>
        </w:rPr>
      </w:pPr>
      <w:r>
        <w:rPr>
          <w:rFonts w:ascii="Arial" w:cs="Arial" w:eastAsia="Arial" w:hAnsi="Arial"/>
          <w:sz w:val="16"/>
          <w:szCs w:val="16"/>
          <w:color w:val="auto"/>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result in substantial tax liabilities related to past sales, create increased administrative burdens or costs, discourage customers from purchasing images from us, or otherwise substantially harm our business and results of operations. See also "—We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 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collection,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intellectual property could substantially harm our business and operating results.</w:t>
      </w:r>
    </w:p>
    <w:p>
      <w:pPr>
        <w:spacing w:after="0" w:line="224"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75" w:lineRule="exact"/>
        <w:rPr>
          <w:sz w:val="20"/>
          <w:szCs w:val="20"/>
          <w:color w:val="auto"/>
        </w:rPr>
      </w:pPr>
    </w:p>
    <w:p>
      <w:pPr>
        <w:jc w:val="both"/>
        <w:ind w:firstLine="385"/>
        <w:spacing w:after="0" w:line="262" w:lineRule="auto"/>
        <w:rPr>
          <w:sz w:val="20"/>
          <w:szCs w:val="20"/>
          <w:color w:val="auto"/>
        </w:rPr>
      </w:pPr>
      <w:r>
        <w:rPr>
          <w:rFonts w:ascii="Arial" w:cs="Arial" w:eastAsia="Arial" w:hAnsi="Arial"/>
          <w:sz w:val="17"/>
          <w:szCs w:val="17"/>
          <w:color w:val="auto"/>
        </w:rPr>
        <w:t>We have registered Shutterstock, Offset, Skillfeed, Bigstock and Big Stock Photo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88"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76" w:lineRule="exact"/>
        <w:rPr>
          <w:sz w:val="20"/>
          <w:szCs w:val="20"/>
          <w:color w:val="auto"/>
        </w:rPr>
      </w:pPr>
    </w:p>
    <w:p>
      <w:pPr>
        <w:jc w:val="both"/>
        <w:ind w:firstLine="409"/>
        <w:spacing w:after="0" w:line="280" w:lineRule="auto"/>
        <w:rPr>
          <w:sz w:val="20"/>
          <w:szCs w:val="20"/>
          <w:color w:val="auto"/>
        </w:rPr>
      </w:pPr>
      <w:r>
        <w:rPr>
          <w:rFonts w:ascii="Arial" w:cs="Arial" w:eastAsia="Arial" w:hAnsi="Arial"/>
          <w:sz w:val="16"/>
          <w:szCs w:val="16"/>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75" w:lineRule="exact"/>
        <w:rPr>
          <w:sz w:val="20"/>
          <w:szCs w:val="20"/>
          <w:color w:val="auto"/>
        </w:rPr>
      </w:pPr>
    </w:p>
    <w:p>
      <w:pPr>
        <w:jc w:val="both"/>
        <w:ind w:firstLine="471"/>
        <w:spacing w:after="0" w:line="261"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 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70" w:lineRule="exact"/>
        <w:rPr>
          <w:sz w:val="20"/>
          <w:szCs w:val="20"/>
          <w:color w:val="auto"/>
        </w:rPr>
      </w:pPr>
    </w:p>
    <w:p>
      <w:pPr>
        <w:jc w:val="both"/>
        <w:ind w:firstLine="474"/>
        <w:spacing w:after="0" w:line="278"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fluctuate, which could cause our results to fall short of expectations and our stock price to decline.</w:t>
      </w:r>
    </w:p>
    <w:p>
      <w:pPr>
        <w:spacing w:after="0" w:line="224"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192"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retain our current customers and to attract new customers and contributors;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provide new and relevant imagery to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increased competition on our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pricing policies or the pricing policies of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associated with defending any litigation or other claims, including those related to our indemnification of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pursue, and the timing of, entry into new geographies or markets and, if pursued, our management of this expansion;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general economic conditions on our revenue and expenses;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government regulation affecting our business;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related to potential acquisitions of technology or businesses.</w:t>
      </w:r>
    </w:p>
    <w:p>
      <w:pPr>
        <w:spacing w:after="0" w:line="224" w:lineRule="exact"/>
        <w:rPr>
          <w:sz w:val="20"/>
          <w:szCs w:val="20"/>
          <w:color w:val="auto"/>
        </w:rPr>
      </w:pPr>
    </w:p>
    <w:p>
      <w:pPr>
        <w:ind w:firstLine="401"/>
        <w:spacing w:after="0" w:line="282" w:lineRule="auto"/>
        <w:rPr>
          <w:sz w:val="20"/>
          <w:szCs w:val="20"/>
          <w:color w:val="auto"/>
        </w:rPr>
      </w:pPr>
      <w:r>
        <w:rPr>
          <w:rFonts w:ascii="Arial" w:cs="Arial" w:eastAsia="Arial" w:hAnsi="Arial"/>
          <w:sz w:val="17"/>
          <w:szCs w:val="17"/>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5"/>
          <w:szCs w:val="15"/>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71"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79" w:lineRule="exact"/>
        <w:rPr>
          <w:sz w:val="20"/>
          <w:szCs w:val="20"/>
          <w:color w:val="auto"/>
        </w:rPr>
      </w:pPr>
    </w:p>
    <w:p>
      <w:pPr>
        <w:jc w:val="both"/>
        <w:ind w:firstLine="367"/>
        <w:spacing w:after="0" w:line="303" w:lineRule="auto"/>
        <w:rPr>
          <w:sz w:val="20"/>
          <w:szCs w:val="20"/>
          <w:color w:val="auto"/>
        </w:rPr>
      </w:pPr>
      <w:r>
        <w:rPr>
          <w:rFonts w:ascii="Arial" w:cs="Arial" w:eastAsia="Arial" w:hAnsi="Arial"/>
          <w:sz w:val="15"/>
          <w:szCs w:val="15"/>
          <w:color w:val="auto"/>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 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of the internet, both in the United States and abroad, is evolving and unfavorable changes could have a negative impact on our business.</w:t>
      </w:r>
    </w:p>
    <w:p>
      <w:pPr>
        <w:spacing w:after="0" w:line="259"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6"/>
          <w:szCs w:val="16"/>
          <w:color w:val="auto"/>
        </w:rPr>
        <w:t>The adoption, modification or interpretation of laws or regulations relating to the internet, ecommerce or other areas of our business could adversely affect the manner in which we conduct our business or the overall popularity or growth in use of the internet. Such laws and regulations may cover a vast array of activities, for example, automatic contract or subscription renewal, credit card fraud and processing, sales, advertising and other procedures, taxation, tariffs, privacy, data management and protection, pricing, content, copyrights, distribution, electronic contracts, consumer protection,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outsourcing, broadband residential internet access and the characteristics and quality of products or services, and intellectual property ownership and infringement. In certain countries, such as those in Europe, such laws may be more restrictive than in the United States. It is not clear how existing laws governing issues such as property ownership, sales and other taxes, and privacy apply to the internet and ecommerce as the vast majority of these laws were adopted prior to the advent of the internet and do not contemplate or address the unique issues raised by the internet or ecommerce. Those laws that relate to the internet are at various stages of being interpreted by the courts and agencies, and thus, the scope and reach of their applicability can be uncertain. For example, the Children's Online Privacy Protection Act in the U.S. regulates the ability of online services to collect or use certain information from children under the age of 13.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subscribers or otherwise alter our business model, or cause us to divert resources and funds to address government or private investigatory or adversarial proceedings. Any of these outcomes could have a material adverse effect on our business, financial condition or results of operations.</w:t>
      </w:r>
    </w:p>
    <w:p>
      <w:pPr>
        <w:spacing w:after="0" w:line="176" w:lineRule="exact"/>
        <w:rPr>
          <w:sz w:val="20"/>
          <w:szCs w:val="20"/>
          <w:color w:val="auto"/>
        </w:rPr>
      </w:pPr>
    </w:p>
    <w:p>
      <w:pPr>
        <w:jc w:val="both"/>
        <w:ind w:firstLine="508"/>
        <w:spacing w:after="0" w:line="294" w:lineRule="auto"/>
        <w:rPr>
          <w:sz w:val="20"/>
          <w:szCs w:val="20"/>
          <w:color w:val="auto"/>
        </w:rPr>
      </w:pPr>
      <w:r>
        <w:rPr>
          <w:rFonts w:ascii="Arial" w:cs="Arial" w:eastAsia="Arial" w:hAnsi="Arial"/>
          <w:sz w:val="16"/>
          <w:szCs w:val="16"/>
          <w:color w:val="auto"/>
        </w:rPr>
        <w:t>We currently provide content licensing to customers in more than 150 countries. The privacy, data protection, censorship and liability standards and other potentially applicable rules or regulations, and intellectual property laws of those foreign countries, may be different than those in the United States. To the extent that any local laws or regulations apply to our company or operations and we are deemed to not be in compliance with them, our business may be harmed.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operations into additional content categories may subject us to additional business, legal, financial and competitive risks.</w:t>
      </w:r>
    </w:p>
    <w:p>
      <w:pPr>
        <w:spacing w:after="0" w:line="22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worldwide economic conditions, including effects on advertising and marketing budgets, may adversely affect our business and operating results.</w:t>
      </w:r>
    </w:p>
    <w:p>
      <w:pPr>
        <w:spacing w:after="0" w:line="259" w:lineRule="exact"/>
        <w:rPr>
          <w:sz w:val="20"/>
          <w:szCs w:val="20"/>
          <w:color w:val="auto"/>
        </w:rPr>
      </w:pPr>
    </w:p>
    <w:p>
      <w:pPr>
        <w:jc w:val="both"/>
        <w:ind w:firstLine="427"/>
        <w:spacing w:after="0" w:line="311" w:lineRule="auto"/>
        <w:rPr>
          <w:sz w:val="20"/>
          <w:szCs w:val="20"/>
          <w:color w:val="auto"/>
        </w:rPr>
      </w:pPr>
      <w:r>
        <w:rPr>
          <w:rFonts w:ascii="Arial" w:cs="Arial" w:eastAsia="Arial" w:hAnsi="Arial"/>
          <w:sz w:val="15"/>
          <w:szCs w:val="15"/>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79" w:lineRule="exact"/>
        <w:rPr>
          <w:sz w:val="20"/>
          <w:szCs w:val="20"/>
          <w:color w:val="auto"/>
        </w:rPr>
      </w:pPr>
    </w:p>
    <w:p>
      <w:pPr>
        <w:jc w:val="both"/>
        <w:ind w:firstLine="470"/>
        <w:spacing w:after="0" w:line="315" w:lineRule="auto"/>
        <w:rPr>
          <w:sz w:val="20"/>
          <w:szCs w:val="20"/>
          <w:color w:val="auto"/>
        </w:rPr>
      </w:pPr>
      <w:r>
        <w:rPr>
          <w:rFonts w:ascii="Arial" w:cs="Arial" w:eastAsia="Arial" w:hAnsi="Arial"/>
          <w:sz w:val="16"/>
          <w:szCs w:val="16"/>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leave our employ, would adversely impair our ability to implement our business strategy and could have a material adverse effect on our business and results of operations. Several members of our senior management team joined us since 2010. We believe the successful integration of our management team is critical to managing our operations effectively and to supporting our growth.</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23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integrate past or potential future acquisitions, our business could be adversely impacted.</w:t>
      </w:r>
    </w:p>
    <w:p>
      <w:pPr>
        <w:spacing w:after="0" w:line="2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87" w:lineRule="exact"/>
        <w:rPr>
          <w:sz w:val="20"/>
          <w:szCs w:val="20"/>
          <w:color w:val="auto"/>
        </w:rPr>
      </w:pPr>
    </w:p>
    <w:p>
      <w:pPr>
        <w:jc w:val="both"/>
        <w:ind w:firstLine="558"/>
        <w:spacing w:after="0" w:line="262" w:lineRule="auto"/>
        <w:rPr>
          <w:sz w:val="20"/>
          <w:szCs w:val="20"/>
          <w:color w:val="auto"/>
        </w:rPr>
      </w:pPr>
      <w:r>
        <w:rPr>
          <w:rFonts w:ascii="Arial" w:cs="Arial" w:eastAsia="Arial" w:hAnsi="Arial"/>
          <w:sz w:val="17"/>
          <w:szCs w:val="17"/>
          <w:color w:val="auto"/>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and may be unable to do so on acceptable terms or at all.</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6"/>
          <w:szCs w:val="16"/>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75"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adversely affect our results.</w:t>
      </w:r>
    </w:p>
    <w:p>
      <w:pPr>
        <w:spacing w:after="0" w:line="22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7"/>
          <w:szCs w:val="17"/>
          <w:color w:val="auto"/>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transactions will result in decreased revenue, operating expenses and net income. As exchange rates vary, sales and other operating results, when translated, may differ materially from expectations.</w:t>
      </w:r>
    </w:p>
    <w:p>
      <w:pPr>
        <w:spacing w:after="0" w:line="188"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We have foreign currency risks related to foreign-currency denominated revenue. All amounts owed and paid to our foreign contributors are denominated and paid in U.S. Dollars. In general, transactions in foreign currencies are paid net of foreign-currency exchange rate charges. Accordingly, changes in exchange rates, and in particular a strengthening of the U.S. Dollar, will negatively affect our revenue and other operating results as expressed in U.S. Dollars.</w:t>
      </w:r>
    </w:p>
    <w:p>
      <w:pPr>
        <w:spacing w:after="0" w:line="163"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2010, 2011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jc w:val="both"/>
        <w:ind w:firstLine="419"/>
        <w:spacing w:after="0" w:line="262" w:lineRule="auto"/>
        <w:rPr>
          <w:sz w:val="20"/>
          <w:szCs w:val="20"/>
          <w:color w:val="auto"/>
        </w:rPr>
      </w:pPr>
      <w:r>
        <w:rPr>
          <w:rFonts w:ascii="Arial" w:cs="Arial" w:eastAsia="Arial" w:hAnsi="Arial"/>
          <w:sz w:val="17"/>
          <w:szCs w:val="17"/>
          <w:color w:val="auto"/>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 customers who historically have used traditional means of commerce to purchase goods and services. If these target customers prove to be less active than our earlier customers our business could be adversely impacted.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non-payment of amounts due to us from certain of our larger customers may negatively impact our financial condition.</w:t>
      </w:r>
    </w:p>
    <w:p>
      <w:pPr>
        <w:spacing w:after="0" w:line="224" w:lineRule="exact"/>
        <w:rPr>
          <w:sz w:val="20"/>
          <w:szCs w:val="20"/>
          <w:color w:val="auto"/>
        </w:rPr>
      </w:pPr>
    </w:p>
    <w:p>
      <w:pPr>
        <w:jc w:val="both"/>
        <w:ind w:firstLine="469"/>
        <w:spacing w:after="0" w:line="306" w:lineRule="auto"/>
        <w:rPr>
          <w:sz w:val="20"/>
          <w:szCs w:val="20"/>
          <w:color w:val="auto"/>
        </w:rPr>
      </w:pPr>
      <w:r>
        <w:rPr>
          <w:rFonts w:ascii="Arial" w:cs="Arial" w:eastAsia="Arial" w:hAnsi="Arial"/>
          <w:sz w:val="15"/>
          <w:szCs w:val="15"/>
          <w:color w:val="auto"/>
        </w:rPr>
        <w:t>Our revenue generated through direct sales to large organizations has grown and currently represents less than 15% of our total revenue. A portion of these customers typically purchase our products on credit and therefore we assume a credit risk for non-payment in the ordinary course of business. Although we evaluate the credit worthiness of new customers and perform ongoing financial condition evaluations of our existing customers, there can be no assurance that our allowances for uncollected accounts receivable balances will be sufficient. As of June 30, 2013, our allowance for doubtful accounts was $384,000. As our direct sales continue to grow, we expect to increase our allowance for doubtful accounts primarily as the result of increased sales to customers who pay on credit.</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jc w:val="both"/>
        <w:ind w:firstLine="488"/>
        <w:spacing w:after="0" w:line="301" w:lineRule="auto"/>
        <w:rPr>
          <w:sz w:val="20"/>
          <w:szCs w:val="20"/>
          <w:color w:val="auto"/>
        </w:rPr>
      </w:pPr>
      <w:r>
        <w:rPr>
          <w:rFonts w:ascii="Arial" w:cs="Arial" w:eastAsia="Arial" w:hAnsi="Arial"/>
          <w:sz w:val="15"/>
          <w:szCs w:val="15"/>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jc w:val="both"/>
        <w:ind w:firstLine="372"/>
        <w:spacing w:after="0" w:line="278" w:lineRule="auto"/>
        <w:rPr>
          <w:sz w:val="20"/>
          <w:szCs w:val="20"/>
          <w:color w:val="auto"/>
        </w:rPr>
      </w:pPr>
      <w:r>
        <w:rPr>
          <w:rFonts w:ascii="Arial" w:cs="Arial" w:eastAsia="Arial" w:hAnsi="Arial"/>
          <w:sz w:val="16"/>
          <w:szCs w:val="16"/>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will likely continue to be volatile, and you could lose all or part of your investment.</w:t>
      </w:r>
    </w:p>
    <w:p>
      <w:pPr>
        <w:spacing w:after="0" w:line="224"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trading price of our common stock has fluctuated and may continue to fluctuate substantially. Since shares of our common stock were sold in our initial public offering in October 2012 at a price of $17.00 per share, the reported high and low sales prices of our common stock have ranged from $21.00 to $60.95 through August 22, 2013. These fluctuations could cause you to lose all or part of your investment in our common stock since you may be unable to sell your shares at or above the price you paid in this offering.</w:t>
      </w:r>
    </w:p>
    <w:p>
      <w:pPr>
        <w:spacing w:after="0" w:line="185"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192"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projected operational and financial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use by investors or analysts of third-party data regarding our business that may not reflect our actual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4" w:lineRule="exact"/>
        <w:rPr>
          <w:sz w:val="20"/>
          <w:szCs w:val="20"/>
          <w:color w:val="auto"/>
        </w:rPr>
      </w:pPr>
    </w:p>
    <w:p>
      <w:pPr>
        <w:jc w:val="both"/>
        <w:ind w:firstLine="491"/>
        <w:spacing w:after="0" w:line="301" w:lineRule="auto"/>
        <w:rPr>
          <w:sz w:val="20"/>
          <w:szCs w:val="20"/>
          <w:color w:val="auto"/>
        </w:rPr>
      </w:pPr>
      <w:r>
        <w:rPr>
          <w:rFonts w:ascii="Arial" w:cs="Arial" w:eastAsia="Arial" w:hAnsi="Arial"/>
          <w:sz w:val="15"/>
          <w:szCs w:val="15"/>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public offering price, you may not realize any return on your investment in us and may lose some or all of your investment.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our share price to decline.</w:t>
      </w:r>
    </w:p>
    <w:p>
      <w:pPr>
        <w:spacing w:after="0" w:line="224"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6"/>
          <w:szCs w:val="16"/>
          <w:color w:val="auto"/>
        </w:rPr>
        <w:t>Sales of a substantial number of shares of our common stock in the public market following this offering, or the perception that such sales could occur, could adversely affect the market price of our common stock and may make it more difficult for you to sell your common stock at a time and price that you deem</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appropriate. Based on the number of shares outstanding as of June 30, 2013, we will have shares of our common stock outstanding upon the closing of this offering (or shares of our common stock if the underwriters exercise their option to purchase additional shares in full).</w:t>
      </w:r>
    </w:p>
    <w:p>
      <w:pPr>
        <w:spacing w:after="0" w:line="175" w:lineRule="exact"/>
        <w:rPr>
          <w:sz w:val="20"/>
          <w:szCs w:val="20"/>
          <w:color w:val="auto"/>
        </w:rPr>
      </w:pPr>
    </w:p>
    <w:p>
      <w:pPr>
        <w:ind w:left="380"/>
        <w:spacing w:after="0"/>
        <w:tabs>
          <w:tab w:leader="none" w:pos="9220" w:val="left"/>
        </w:tabs>
        <w:rPr>
          <w:sz w:val="20"/>
          <w:szCs w:val="20"/>
          <w:color w:val="auto"/>
        </w:rPr>
      </w:pPr>
      <w:r>
        <w:rPr>
          <w:rFonts w:ascii="Arial" w:cs="Arial" w:eastAsia="Arial" w:hAnsi="Arial"/>
          <w:sz w:val="17"/>
          <w:szCs w:val="17"/>
          <w:color w:val="auto"/>
        </w:rPr>
        <w:t>Of these outstanding shares, all of the 5,175,000 shares of common stock sold in our initial public offering and all of the</w:t>
      </w:r>
      <w:r>
        <w:rPr>
          <w:sz w:val="20"/>
          <w:szCs w:val="20"/>
          <w:color w:val="auto"/>
        </w:rPr>
        <w:tab/>
      </w:r>
      <w:r>
        <w:rPr>
          <w:rFonts w:ascii="Arial" w:cs="Arial" w:eastAsia="Arial" w:hAnsi="Arial"/>
          <w:sz w:val="15"/>
          <w:szCs w:val="15"/>
          <w:color w:val="auto"/>
        </w:rPr>
        <w:t>shares of common stock sold in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this offering are or will be freely tradable in the United States without restrictions or further registration under the Securities Act of 1933, as amended, or the Securities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20" w:type="dxa"/>
            <w:vAlign w:val="bottom"/>
          </w:tcPr>
          <w:p>
            <w:pPr>
              <w:spacing w:after="0"/>
              <w:rPr>
                <w:sz w:val="20"/>
                <w:szCs w:val="20"/>
                <w:color w:val="auto"/>
              </w:rPr>
            </w:pPr>
            <w:r>
              <w:rPr>
                <w:rFonts w:ascii="Arial" w:cs="Arial" w:eastAsia="Arial" w:hAnsi="Arial"/>
                <w:sz w:val="17"/>
                <w:szCs w:val="17"/>
                <w:color w:val="auto"/>
                <w:w w:val="97"/>
              </w:rPr>
              <w:t>Act, except for any shares purchased by our "affiliates" as defined in Rule 144 under the Securities Act. The holders of</w:t>
            </w:r>
          </w:p>
        </w:tc>
        <w:tc>
          <w:tcPr>
            <w:tcW w:w="2700" w:type="dxa"/>
            <w:vAlign w:val="bottom"/>
          </w:tcPr>
          <w:p>
            <w:pPr>
              <w:ind w:left="160"/>
              <w:spacing w:after="0"/>
              <w:rPr>
                <w:sz w:val="20"/>
                <w:szCs w:val="20"/>
                <w:color w:val="auto"/>
              </w:rPr>
            </w:pPr>
            <w:r>
              <w:rPr>
                <w:rFonts w:ascii="Arial" w:cs="Arial" w:eastAsia="Arial" w:hAnsi="Arial"/>
                <w:sz w:val="17"/>
                <w:szCs w:val="17"/>
                <w:color w:val="auto"/>
                <w:w w:val="91"/>
              </w:rPr>
              <w:t>shares of outstanding common stock</w:t>
            </w:r>
          </w:p>
        </w:tc>
      </w:tr>
      <w:tr>
        <w:trPr>
          <w:trHeight w:val="216"/>
        </w:trPr>
        <w:tc>
          <w:tcPr>
            <w:tcW w:w="8720" w:type="dxa"/>
            <w:vAlign w:val="bottom"/>
          </w:tcPr>
          <w:p>
            <w:pPr>
              <w:spacing w:after="0"/>
              <w:rPr>
                <w:sz w:val="20"/>
                <w:szCs w:val="20"/>
                <w:color w:val="auto"/>
              </w:rPr>
            </w:pPr>
            <w:r>
              <w:rPr>
                <w:rFonts w:ascii="Arial" w:cs="Arial" w:eastAsia="Arial" w:hAnsi="Arial"/>
                <w:sz w:val="17"/>
                <w:szCs w:val="17"/>
                <w:color w:val="auto"/>
                <w:w w:val="92"/>
              </w:rPr>
              <w:t>have agreed with the underwriters, subject to certain extensions, not to dispose of or hedge any of their common stock during</w:t>
            </w:r>
          </w:p>
        </w:tc>
        <w:tc>
          <w:tcPr>
            <w:tcW w:w="2700" w:type="dxa"/>
            <w:vAlign w:val="bottom"/>
          </w:tcPr>
          <w:p>
            <w:pPr>
              <w:spacing w:after="0"/>
              <w:rPr>
                <w:sz w:val="18"/>
                <w:szCs w:val="18"/>
                <w:color w:val="auto"/>
              </w:rPr>
            </w:pPr>
          </w:p>
        </w:tc>
      </w:tr>
      <w:tr>
        <w:trPr>
          <w:trHeight w:val="419"/>
        </w:trPr>
        <w:tc>
          <w:tcPr>
            <w:tcW w:w="8720" w:type="dxa"/>
            <w:vAlign w:val="bottom"/>
          </w:tcPr>
          <w:p>
            <w:pPr>
              <w:jc w:val="right"/>
              <w:ind w:right="2835"/>
              <w:spacing w:after="0"/>
              <w:rPr>
                <w:sz w:val="20"/>
                <w:szCs w:val="20"/>
                <w:color w:val="auto"/>
              </w:rPr>
            </w:pPr>
            <w:r>
              <w:rPr>
                <w:rFonts w:ascii="Arial" w:cs="Arial" w:eastAsia="Arial" w:hAnsi="Arial"/>
                <w:sz w:val="17"/>
                <w:szCs w:val="17"/>
                <w:color w:val="auto"/>
              </w:rPr>
              <w:t>29</w:t>
            </w:r>
          </w:p>
        </w:tc>
        <w:tc>
          <w:tcPr>
            <w:tcW w:w="2700" w:type="dxa"/>
            <w:vAlign w:val="bottom"/>
          </w:tcPr>
          <w:p>
            <w:pPr>
              <w:spacing w:after="0"/>
              <w:rPr>
                <w:sz w:val="24"/>
                <w:szCs w:val="24"/>
                <w:color w:val="auto"/>
              </w:rPr>
            </w:pPr>
          </w:p>
        </w:tc>
      </w:tr>
      <w:tr>
        <w:trPr>
          <w:trHeight w:val="222"/>
        </w:trPr>
        <w:tc>
          <w:tcPr>
            <w:tcW w:w="87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90-day period beginning on the date of this prospectus, except with the prior written consent of Morgan Stanley &amp; Co. LLC and Deutsche Bank Securities Inc. Morgan Stanley &amp; Co. LLC and Deutsche Bank Securities Inc. may, at their discretion, release all or some portion of the shares subject to lock-up agreements prior to expiration of the lock-up period. After the expiration of the 90-day lock-up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87"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17"/>
          <w:szCs w:val="17"/>
          <w:color w:val="auto"/>
        </w:rPr>
        <w:t>Upon completion of this offering, stockholders owning an aggregate of shares are entitled, under a registration rights agreement, to require us to register shares of our common stock owned by them for public sale in the United States. In addition, we filed registration statements on Form S-8 under the Securities Act to register the 8,750,000 shares that have been issued or are reserved for future issuance under our under our 2012 Omnibus Equity Incentive Plan and our 2012 Employee Stock Purchase Plan. Subject to the satisfaction of applicable exercise periods and, in certain cases, lock-up agreements with the representatives of the underwriters referred to above, the shares of common stock issued upon exercise of outstanding options and the shares of common stock issued pursuant to our 2012 Employee Stock Purchase Plan will be available for immediate resale in the United States in the open market, unless they are held by "affiliates," as that term is defined in Rule 144 of the Securities Act.</w:t>
      </w:r>
    </w:p>
    <w:p>
      <w:pPr>
        <w:spacing w:after="0" w:line="190"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Sales of our common stock as restrictions end or pursuant to registration rights may make it more difficult for us to sell equity securities in the future at a time and at a price that we deem appropriate. We may also issue our shares of common stock or securities convertible into our common stock from time to time in connection with a financing, acquisition, investment or otherwise. Any such sales or issuances could result in substantial dilution to our existing stockholders and cause the trading price of our common stock to decline.</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Jonathan Oringer, our founder, and other significant investors will control approximately % of our outstanding shares of common stock after this offering, and this concentration of ownership may have an effect on transactions that are otherwise favorable to our stockholders.</w:t>
      </w:r>
    </w:p>
    <w:p>
      <w:pPr>
        <w:spacing w:after="0" w:line="17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6"/>
          <w:szCs w:val="16"/>
          <w:color w:val="auto"/>
        </w:rPr>
        <w:t>Upon completion of this offering, Jonathan Oringer, our founder and largest stockholder, will beneficially own approximately % of our outstanding shares of common stock, or approximately % if the underwriters exercise their option to purchase additional shares in full. In addition, certain funds affiliated with Insight Venture Partners, or Insight, will beneficially own approximately % of our outstanding shares of common stock, or approximately % if the underwriters</w:t>
      </w:r>
    </w:p>
    <w:p>
      <w:pPr>
        <w:spacing w:after="0" w:line="1"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exercise their option to purchase additional shares in full. As a result, Mr. Oringer and Insight collectively control the outcome of matters submitted to our stockholders for approval, including the election of directors. This concentration of ownership may also delay, deter or prevent a change in control, and may make some transactions more difficult or impossible to complete without the support of these stockholders, regardless of the impact of such transaction on our other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and will continue to incur increased costs and our management will face increased demands as a result of operating as a public company.</w:t>
      </w:r>
    </w:p>
    <w:p>
      <w:pPr>
        <w:spacing w:after="0" w:line="247" w:lineRule="exact"/>
        <w:rPr>
          <w:sz w:val="20"/>
          <w:szCs w:val="20"/>
          <w:color w:val="auto"/>
        </w:rPr>
      </w:pPr>
    </w:p>
    <w:p>
      <w:pPr>
        <w:jc w:val="both"/>
        <w:ind w:firstLine="531"/>
        <w:spacing w:after="0" w:line="265" w:lineRule="auto"/>
        <w:rPr>
          <w:sz w:val="20"/>
          <w:szCs w:val="20"/>
          <w:color w:val="auto"/>
        </w:rPr>
      </w:pPr>
      <w:r>
        <w:rPr>
          <w:rFonts w:ascii="Arial" w:cs="Arial" w:eastAsia="Arial" w:hAnsi="Arial"/>
          <w:sz w:val="17"/>
          <w:szCs w:val="17"/>
          <w:color w:val="auto"/>
        </w:rPr>
        <w:t>We have incurred and will continue to incur significant legal, accounting and other expenses as a result of becoming a public company. In addition, our administrative staff has performed and will continue to be required to perform additional tasks. For example, as a public company, we will need to adopt additional internal controls and disclosure controls and procedures and bear all of the internal and external costs of preparing and distributing periodic public reports in compliance with our obligations under applicable securities laws and New York Stock Exchange rules.</w:t>
      </w:r>
    </w:p>
    <w:p>
      <w:pPr>
        <w:spacing w:after="0" w:line="185"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including the Sarbanes-Oxley Act, the Dodd-Frank Act and related regulations implemented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have incurred and will continue to incur substantially higher costs to obtain directors' and officers' insurance as a result of becoming a public company.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79"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5"/>
          <w:szCs w:val="15"/>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9"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We are and we will remain an "emerging growth company" until the earliest to occur of (i) the last day of the fiscal year during which our total annual revenue equals or exceeds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9" w:lineRule="exact"/>
        <w:rPr>
          <w:sz w:val="20"/>
          <w:szCs w:val="20"/>
          <w:color w:val="auto"/>
        </w:rPr>
      </w:pPr>
    </w:p>
    <w:p>
      <w:pPr>
        <w:jc w:val="both"/>
        <w:ind w:firstLine="371"/>
        <w:spacing w:after="0" w:line="299" w:lineRule="auto"/>
        <w:rPr>
          <w:sz w:val="20"/>
          <w:szCs w:val="20"/>
          <w:color w:val="auto"/>
        </w:rPr>
      </w:pPr>
      <w:r>
        <w:rPr>
          <w:rFonts w:ascii="Arial" w:cs="Arial" w:eastAsia="Arial" w:hAnsi="Arial"/>
          <w:sz w:val="15"/>
          <w:szCs w:val="15"/>
          <w:color w:val="auto"/>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 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discover a material weakness, the disclosure of that fact, even if quickly remedied, could reduce the market's confidence in our financial statements and harm our stock price.</w:t>
      </w:r>
    </w:p>
    <w:p>
      <w:pPr>
        <w:spacing w:after="0" w:line="164"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7"/>
          <w:szCs w:val="17"/>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183"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 the liability of, and provide indemnification to, our directors and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advance notice of stockholder proposals and the nomination of candidates for election to our board of directors;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directors only be removed from office for cause; and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ind w:firstLine="375"/>
        <w:spacing w:after="0" w:line="282"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outstanding common stock from engaging in certain business combinations without the prior approval of our board of directors or the holders of substantially all of our outstanding common stock.</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170"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Our management will have broad discretion over the use of the net proceeds from this offering and you will be relying on their judgment in applying these proceeds. Our management might not apply our net proceeds in ways that ultimately increase the value of your investment. We expect to use the net proceeds from this offering for general corporate purposes, including working capital and capital expenditures,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any dividends in the foreseeable future.</w:t>
      </w:r>
    </w:p>
    <w:p>
      <w:pPr>
        <w:spacing w:after="0" w:line="224" w:lineRule="exact"/>
        <w:rPr>
          <w:sz w:val="20"/>
          <w:szCs w:val="20"/>
          <w:color w:val="auto"/>
        </w:rPr>
      </w:pPr>
    </w:p>
    <w:p>
      <w:pPr>
        <w:jc w:val="both"/>
        <w:ind w:firstLine="356"/>
        <w:spacing w:after="0" w:line="270" w:lineRule="auto"/>
        <w:rPr>
          <w:sz w:val="20"/>
          <w:szCs w:val="20"/>
          <w:color w:val="auto"/>
        </w:rPr>
      </w:pPr>
      <w:r>
        <w:rPr>
          <w:rFonts w:ascii="Arial" w:cs="Arial" w:eastAsia="Arial" w:hAnsi="Arial"/>
          <w:sz w:val="17"/>
          <w:szCs w:val="17"/>
          <w:color w:val="auto"/>
        </w:rPr>
        <w:t>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jc w:val="both"/>
        <w:ind w:firstLine="378"/>
        <w:spacing w:after="0" w:line="281" w:lineRule="auto"/>
        <w:rPr>
          <w:sz w:val="20"/>
          <w:szCs w:val="20"/>
          <w:color w:val="auto"/>
        </w:rPr>
      </w:pPr>
      <w:r>
        <w:rPr>
          <w:rFonts w:ascii="Arial" w:cs="Arial" w:eastAsia="Arial" w:hAnsi="Arial"/>
          <w:sz w:val="16"/>
          <w:szCs w:val="16"/>
          <w:color w:val="auto"/>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increase our brand awareness within the industry;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effectively manage our rapid growth in recent periods;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generate a larger percentage of our revenue from larger companies and satisfy related demands;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degree to which our operations expose us to greater than anticipated tax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respond to technological changes or upgrade our websites and technological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and key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our annual and quarterly results of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and our ability to successfully integrate past and future business acquisitions;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remedy the material weakness in our internal control over financial reporting relating to compliance with certain tax regulations;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risk factors included under "Risk Factors" in this prospectus.</w:t>
      </w:r>
    </w:p>
    <w:p>
      <w:pPr>
        <w:spacing w:after="0" w:line="224" w:lineRule="exact"/>
        <w:rPr>
          <w:sz w:val="20"/>
          <w:szCs w:val="20"/>
          <w:color w:val="auto"/>
        </w:rPr>
      </w:pPr>
    </w:p>
    <w:p>
      <w:pPr>
        <w:jc w:val="both"/>
        <w:ind w:firstLine="385"/>
        <w:spacing w:after="0" w:line="265" w:lineRule="auto"/>
        <w:rPr>
          <w:sz w:val="20"/>
          <w:szCs w:val="20"/>
          <w:color w:val="auto"/>
        </w:rPr>
      </w:pPr>
      <w:r>
        <w:rPr>
          <w:rFonts w:ascii="Arial" w:cs="Arial" w:eastAsia="Arial" w:hAnsi="Arial"/>
          <w:sz w:val="17"/>
          <w:szCs w:val="17"/>
          <w:color w:val="auto"/>
        </w:rPr>
        <w:t>In addition, in this prospectus, the words "believe," "may," "will," "would," "should," "could,"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8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INDUSTRY AND MARKET DATA</w:t>
      </w:r>
    </w:p>
    <w:p>
      <w:pPr>
        <w:spacing w:after="0" w:line="228"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These sources include industry publications, reports, surveys and forecasts prepared by IDC, BIA/Kelsey, Cisco, IBISWorld, Netcraft, comScore and MagnaGlobal, as well as a report commissioned by us and prepared by L.E.K. Consulting LLC. These data from such sources involve a number of assumptions and limitations, and contain projections and estimates based on various assumptions of the future performance of the industry in which we operate, and you are cautioned not to give undue weight to such estimates. While we believe the market position, market opportunity and market size information included in this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set forth above and by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7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ind w:left="2300"/>
              <w:spacing w:after="0"/>
              <w:rPr>
                <w:sz w:val="20"/>
                <w:szCs w:val="20"/>
                <w:color w:val="auto"/>
              </w:rPr>
            </w:pPr>
            <w:r>
              <w:rPr>
                <w:rFonts w:ascii="Arial" w:cs="Arial" w:eastAsia="Arial" w:hAnsi="Arial"/>
                <w:sz w:val="17"/>
                <w:szCs w:val="17"/>
                <w:b w:val="1"/>
                <w:bCs w:val="1"/>
                <w:color w:val="auto"/>
              </w:rPr>
              <w:t>USE OF PROCEEDS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3"/>
        </w:trPr>
        <w:tc>
          <w:tcPr>
            <w:tcW w:w="9640" w:type="dxa"/>
            <w:vAlign w:val="bottom"/>
            <w:gridSpan w:val="3"/>
          </w:tcPr>
          <w:p>
            <w:pPr>
              <w:ind w:left="440"/>
              <w:spacing w:after="0"/>
              <w:rPr>
                <w:sz w:val="20"/>
                <w:szCs w:val="20"/>
                <w:color w:val="auto"/>
              </w:rPr>
            </w:pPr>
            <w:r>
              <w:rPr>
                <w:rFonts w:ascii="Arial" w:cs="Arial" w:eastAsia="Arial" w:hAnsi="Arial"/>
                <w:sz w:val="17"/>
                <w:szCs w:val="17"/>
                <w:color w:val="auto"/>
                <w:w w:val="96"/>
              </w:rPr>
              <w:t>We estimate that the net proceeds to us from the sale of the shares of our common stock offered by us will be approximately $</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million, based on an</w:t>
            </w:r>
          </w:p>
        </w:tc>
      </w:tr>
      <w:tr>
        <w:trPr>
          <w:trHeight w:val="216"/>
        </w:trPr>
        <w:tc>
          <w:tcPr>
            <w:tcW w:w="2600" w:type="dxa"/>
            <w:vAlign w:val="bottom"/>
            <w:gridSpan w:val="2"/>
          </w:tcPr>
          <w:p>
            <w:pPr>
              <w:spacing w:after="0"/>
              <w:rPr>
                <w:sz w:val="20"/>
                <w:szCs w:val="20"/>
                <w:color w:val="auto"/>
              </w:rPr>
            </w:pPr>
            <w:r>
              <w:rPr>
                <w:rFonts w:ascii="Arial" w:cs="Arial" w:eastAsia="Arial" w:hAnsi="Arial"/>
                <w:sz w:val="17"/>
                <w:szCs w:val="17"/>
                <w:color w:val="auto"/>
              </w:rPr>
              <w:t>assumed public offering price of $</w:t>
            </w:r>
          </w:p>
        </w:tc>
        <w:tc>
          <w:tcPr>
            <w:tcW w:w="8240" w:type="dxa"/>
            <w:vAlign w:val="bottom"/>
            <w:gridSpan w:val="2"/>
          </w:tcPr>
          <w:p>
            <w:pPr>
              <w:ind w:left="260"/>
              <w:spacing w:after="0"/>
              <w:rPr>
                <w:sz w:val="20"/>
                <w:szCs w:val="20"/>
                <w:color w:val="auto"/>
              </w:rPr>
            </w:pPr>
            <w:r>
              <w:rPr>
                <w:rFonts w:ascii="Arial" w:cs="Arial" w:eastAsia="Arial" w:hAnsi="Arial"/>
                <w:sz w:val="17"/>
                <w:szCs w:val="17"/>
                <w:color w:val="auto"/>
                <w:w w:val="96"/>
              </w:rPr>
              <w:t>per share, which was the closing price of our common stock as reported on the New York Stock Exchange on</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rPr>
          <w:sz w:val="20"/>
          <w:szCs w:val="20"/>
          <w:color w:val="auto"/>
        </w:rPr>
      </w:pPr>
      <w:r>
        <w:rPr>
          <w:rFonts w:ascii="Arial" w:cs="Arial" w:eastAsia="Arial" w:hAnsi="Arial"/>
          <w:sz w:val="15"/>
          <w:szCs w:val="15"/>
          <w:color w:val="auto"/>
        </w:rPr>
        <w:t>2013, after deducting underwriting discounts and commissions and estimated offering expenses payable by us. If the underwriters' option to purchase additional shares</w:t>
      </w:r>
    </w:p>
    <w:p>
      <w:pPr>
        <w:spacing w:after="0" w:line="376"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in this offering is exercised in full, we estimate that our net proceeds will be approximately $ million, after deducting underwriting discounts and commissions and estimated offering expenses payable by us. We will not receive any proceeds from the sale of common stock by the selling stockholders.</w:t>
      </w:r>
    </w:p>
    <w:p>
      <w:pPr>
        <w:spacing w:after="0" w:line="146" w:lineRule="exact"/>
        <w:rPr>
          <w:sz w:val="20"/>
          <w:szCs w:val="20"/>
          <w:color w:val="auto"/>
        </w:rPr>
      </w:pPr>
    </w:p>
    <w:p>
      <w:pPr>
        <w:jc w:val="both"/>
        <w:ind w:firstLine="415"/>
        <w:spacing w:after="0" w:line="277" w:lineRule="auto"/>
        <w:rPr>
          <w:sz w:val="20"/>
          <w:szCs w:val="20"/>
          <w:color w:val="auto"/>
        </w:rPr>
      </w:pPr>
      <w:r>
        <w:rPr>
          <w:rFonts w:ascii="Arial" w:cs="Arial" w:eastAsia="Arial" w:hAnsi="Arial"/>
          <w:sz w:val="16"/>
          <w:szCs w:val="16"/>
          <w:color w:val="auto"/>
        </w:rPr>
        <w:t>A $1.00 increase (decrease) in the assumed public offering price of $ per share would increase (decrease) the net proceeds to us from this offering by approximately $ million, assuming the number of shares offered by us, as set forth on the cover page of this prospectus, remains the same and after deducting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underwriting discounts and commissions and estimated offering expenses payable by us. Similarly, each increase (decrease) of one million shares in the number of</w:t>
      </w:r>
    </w:p>
    <w:p>
      <w:pPr>
        <w:spacing w:after="0" w:line="3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shares of common stock offered by us would increase (decrease) the net proceeds to us from this offering by approximately $ million, assuming the assumed public offering price remains the same and after deducting underwriting discounts and commissions and estimated offering expenses payable by us.</w:t>
      </w:r>
    </w:p>
    <w:p>
      <w:pPr>
        <w:spacing w:after="0" w:line="152"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principal purposes of this offering are to facilitate an orderly distribution of shares for the selling stockholders, to increase our public float, and to increase our capitalization and financial flexibility. We intend to use the net proceeds from this offering primarily for general corporate purposes, including working capital and capital expenditures. We may also use a portion of the net proceeds to acquire or invest in complementary companies, products or technologies, although we currently do not have any acquisitions or investments planned.</w:t>
      </w:r>
    </w:p>
    <w:p>
      <w:pPr>
        <w:spacing w:after="0" w:line="185"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Based on our current cash and cash equivalents balance together with cash generated from operations, we do not expect that we will have to utilize any of the net proceeds to us from this offering to fund our operations during the next 12 months. Therefore, we will have broad discretion over the uses of the net proceeds received in this offering. Pending such uses, we intend to invest the net proceeds from this offering in interest-bearing, investment grade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MARKET PRICE OF COMMON STOCK</w:t>
      </w:r>
    </w:p>
    <w:p>
      <w:pPr>
        <w:spacing w:after="0" w:line="228"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Our common stock has been listed on the New York Stock Exchange under the symbol "SSTK" since October 11, 2012. Prior to that date, there was no public trading market for our common stock. The following table sets forth for the periods indicated the high and low sales prices per share of our common stock as reported on the New York Stock Exchange:</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b w:val="1"/>
                <w:bCs w:val="1"/>
                <w:color w:val="auto"/>
              </w:rPr>
              <w:t>Low</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High</w:t>
            </w: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 2012</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6460" w:type="dxa"/>
            <w:vAlign w:val="bottom"/>
          </w:tcPr>
          <w:p>
            <w:pPr>
              <w:ind w:left="180"/>
              <w:spacing w:after="0"/>
              <w:rPr>
                <w:sz w:val="20"/>
                <w:szCs w:val="20"/>
                <w:color w:val="auto"/>
              </w:rPr>
            </w:pPr>
            <w:r>
              <w:rPr>
                <w:rFonts w:ascii="Arial" w:cs="Arial" w:eastAsia="Arial" w:hAnsi="Arial"/>
                <w:sz w:val="17"/>
                <w:szCs w:val="17"/>
                <w:color w:val="auto"/>
              </w:rPr>
              <w:t>Fourth Quarter (beginning October 11, 2012)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21.00</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28.63</w:t>
            </w:r>
          </w:p>
        </w:tc>
        <w:tc>
          <w:tcPr>
            <w:tcW w:w="160" w:type="dxa"/>
            <w:vAlign w:val="bottom"/>
          </w:tcPr>
          <w:p>
            <w:pPr>
              <w:spacing w:after="0"/>
              <w:rPr>
                <w:sz w:val="18"/>
                <w:szCs w:val="18"/>
                <w:color w:val="auto"/>
              </w:rPr>
            </w:pPr>
          </w:p>
        </w:tc>
      </w:tr>
      <w:tr>
        <w:trPr>
          <w:trHeight w:val="419"/>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 2013</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0"/>
        </w:trPr>
        <w:tc>
          <w:tcPr>
            <w:tcW w:w="6460" w:type="dxa"/>
            <w:vAlign w:val="bottom"/>
          </w:tcPr>
          <w:p>
            <w:pPr>
              <w:ind w:left="180"/>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23.31</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45.21</w:t>
            </w:r>
          </w:p>
        </w:tc>
        <w:tc>
          <w:tcPr>
            <w:tcW w:w="160" w:type="dxa"/>
            <w:vAlign w:val="bottom"/>
          </w:tcPr>
          <w:p>
            <w:pPr>
              <w:spacing w:after="0"/>
              <w:rPr>
                <w:sz w:val="18"/>
                <w:szCs w:val="18"/>
                <w:color w:val="auto"/>
              </w:rPr>
            </w:pPr>
          </w:p>
        </w:tc>
      </w:tr>
      <w:tr>
        <w:trPr>
          <w:trHeight w:val="210"/>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57.49</w:t>
            </w: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7"/>
                <w:szCs w:val="17"/>
                <w:color w:val="auto"/>
              </w:rPr>
              <w:t>Third Quarter (through August 22, 2013)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50.17</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60.95</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August 22, 2013, the last reported sale price of our common stock on the New York Stock Exchange was $53.92 per share.</w:t>
      </w:r>
    </w:p>
    <w:p>
      <w:pPr>
        <w:spacing w:after="0" w:line="224"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As of June 30, 2013, we had 13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our cash and cash equivalents, and capitalization as of June 30, 2013 on:</w:t>
      </w:r>
    </w:p>
    <w:p>
      <w:pPr>
        <w:spacing w:after="0" w:line="260"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actual basis;</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as adjusted basis, giving effect to the sale by us of shares of common stock in this offering based on an assumed public offering price of $ per share, which was the closing price of our common stock as reported on the New York Stock Exchange on , 2013, after deducting underwriting discounts and commissions and estimated offering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71"/>
        <w:spacing w:after="0" w:line="282" w:lineRule="auto"/>
        <w:rPr>
          <w:sz w:val="20"/>
          <w:szCs w:val="20"/>
          <w:color w:val="auto"/>
        </w:rPr>
      </w:pPr>
      <w:r>
        <w:rPr>
          <w:rFonts w:ascii="Arial" w:cs="Arial" w:eastAsia="Arial" w:hAnsi="Arial"/>
          <w:sz w:val="17"/>
          <w:szCs w:val="17"/>
          <w:color w:val="auto"/>
        </w:rPr>
        <w:t>You should read this table in conjunction with "Selected Consolidated Financial Data," "Management's Discussion and Analysis of Financial Condition and Results of Operations," and our consolidated financial statements and related notes included elsewhere in this prospectus.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As of June 30, 2013</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02"/>
              <w:spacing w:after="0" w:line="138"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gridSpan w:val="2"/>
          </w:tcPr>
          <w:p>
            <w:pPr>
              <w:spacing w:after="0"/>
              <w:rPr>
                <w:sz w:val="11"/>
                <w:szCs w:val="11"/>
                <w:color w:val="auto"/>
              </w:rPr>
            </w:pPr>
          </w:p>
        </w:tc>
        <w:tc>
          <w:tcPr>
            <w:tcW w:w="860" w:type="dxa"/>
            <w:vAlign w:val="bottom"/>
            <w:tcBorders>
              <w:top w:val="single" w:sz="8" w:color="auto"/>
              <w:bottom w:val="single" w:sz="8" w:color="auto"/>
            </w:tcBorders>
          </w:tcPr>
          <w:p>
            <w:pPr>
              <w:jc w:val="right"/>
              <w:ind w:right="1"/>
              <w:spacing w:after="0" w:line="138" w:lineRule="exact"/>
              <w:rPr>
                <w:sz w:val="20"/>
                <w:szCs w:val="20"/>
                <w:color w:val="auto"/>
              </w:rPr>
            </w:pPr>
            <w:r>
              <w:rPr>
                <w:rFonts w:ascii="Arial" w:cs="Arial" w:eastAsia="Arial" w:hAnsi="Arial"/>
                <w:sz w:val="13"/>
                <w:szCs w:val="13"/>
                <w:b w:val="1"/>
                <w:bCs w:val="1"/>
                <w:color w:val="auto"/>
              </w:rPr>
              <w:t>As Adjusted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42"/>
              <w:spacing w:after="0" w:line="124" w:lineRule="exact"/>
              <w:rPr>
                <w:sz w:val="20"/>
                <w:szCs w:val="20"/>
                <w:color w:val="auto"/>
              </w:rPr>
            </w:pPr>
            <w:r>
              <w:rPr>
                <w:rFonts w:ascii="Arial" w:cs="Arial" w:eastAsia="Arial" w:hAnsi="Arial"/>
                <w:sz w:val="13"/>
                <w:szCs w:val="13"/>
                <w:b w:val="1"/>
                <w:bCs w:val="1"/>
                <w:color w:val="auto"/>
              </w:rPr>
              <w:t>(in</w:t>
            </w:r>
          </w:p>
        </w:tc>
        <w:tc>
          <w:tcPr>
            <w:tcW w:w="1020" w:type="dxa"/>
            <w:vAlign w:val="bottom"/>
            <w:gridSpan w:val="3"/>
          </w:tcPr>
          <w:p>
            <w:pPr>
              <w:jc w:val="right"/>
              <w:ind w:right="401"/>
              <w:spacing w:after="0" w:line="124" w:lineRule="exact"/>
              <w:rPr>
                <w:sz w:val="20"/>
                <w:szCs w:val="20"/>
                <w:color w:val="auto"/>
              </w:rPr>
            </w:pPr>
            <w:r>
              <w:rPr>
                <w:rFonts w:ascii="Arial" w:cs="Arial" w:eastAsia="Arial" w:hAnsi="Arial"/>
                <w:sz w:val="13"/>
                <w:szCs w:val="13"/>
                <w:b w:val="1"/>
                <w:bCs w:val="1"/>
                <w:color w:val="auto"/>
                <w:w w:val="74"/>
              </w:rPr>
              <w:t>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112,803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80" w:type="dxa"/>
            <w:vAlign w:val="bottom"/>
            <w:vMerge w:val="restart"/>
          </w:tcPr>
          <w:p>
            <w:pPr>
              <w:ind w:left="20"/>
              <w:spacing w:after="0"/>
              <w:rPr>
                <w:sz w:val="20"/>
                <w:szCs w:val="20"/>
                <w:color w:val="auto"/>
              </w:rPr>
            </w:pPr>
            <w:r>
              <w:rPr>
                <w:rFonts w:ascii="Arial" w:cs="Arial" w:eastAsia="Arial" w:hAnsi="Arial"/>
                <w:sz w:val="17"/>
                <w:szCs w:val="17"/>
                <w:color w:val="auto"/>
              </w:rPr>
              <w:t>Stockholders' equity:</w:t>
            </w:r>
          </w:p>
        </w:tc>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vMerge w:val="continu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1"/>
              </w:rPr>
              <w:t>Common stock, $0.01 par value; 200,000,000 shares authorized, 33,692,311 issued and outstanding,</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actual; 200,000,000 shares authorized,</w:t>
            </w:r>
          </w:p>
        </w:tc>
        <w:tc>
          <w:tcPr>
            <w:tcW w:w="3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shares issued and outstanding, as adjusted</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200" w:type="dxa"/>
            <w:vAlign w:val="bottom"/>
            <w:gridSpan w:val="2"/>
          </w:tcPr>
          <w:p>
            <w:pPr>
              <w:ind w:left="180"/>
              <w:spacing w:after="0"/>
              <w:rPr>
                <w:sz w:val="20"/>
                <w:szCs w:val="20"/>
                <w:color w:val="auto"/>
              </w:rPr>
            </w:pPr>
            <w:r>
              <w:rPr>
                <w:rFonts w:ascii="Arial" w:cs="Arial" w:eastAsia="Arial" w:hAnsi="Arial"/>
                <w:sz w:val="17"/>
                <w:szCs w:val="17"/>
                <w:color w:val="auto"/>
                <w:w w:val="95"/>
              </w:rPr>
              <w:t>Preferred stock, $0.01 par value; 5,000,000 shares authorized, no shares issued and outstanding,</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00" w:type="dxa"/>
            <w:vAlign w:val="bottom"/>
            <w:gridSpan w:val="2"/>
          </w:tcPr>
          <w:p>
            <w:pPr>
              <w:ind w:left="360"/>
              <w:spacing w:after="0"/>
              <w:rPr>
                <w:sz w:val="20"/>
                <w:szCs w:val="20"/>
                <w:color w:val="auto"/>
              </w:rPr>
            </w:pPr>
            <w:r>
              <w:rPr>
                <w:rFonts w:ascii="Arial" w:cs="Arial" w:eastAsia="Arial" w:hAnsi="Arial"/>
                <w:sz w:val="17"/>
                <w:szCs w:val="17"/>
                <w:color w:val="auto"/>
              </w:rPr>
              <w:t>actual; and 5,000,000 shares authorized, no shares issued and outstanding, as adjusted</w:t>
            </w:r>
          </w:p>
        </w:tc>
        <w:tc>
          <w:tcPr>
            <w:tcW w:w="16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54,520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40,745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equity</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95,602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8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95,602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ind w:right="681"/>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following this offering is based on 33,692,311 shares of our common stock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2013, and excludes:</w:t>
      </w:r>
    </w:p>
    <w:p>
      <w:pPr>
        <w:spacing w:after="0" w:line="231" w:lineRule="exact"/>
        <w:rPr>
          <w:sz w:val="20"/>
          <w:szCs w:val="20"/>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560,372 shares of our common stock issuable upon the exercise of options outstanding as of June 30, 2013 at a weighted average exercise price of $15.43 per share;</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5,910,074 shares of our common stock reserved for future grant or issuance under our 2012 Omnibus Equity Incentive Plan;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2,926,283 shares of our common stock reserved for future issuance under our 2012 Employee Stock Purchase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otherwise indicated, information in this prospectus reflects or assumes the following:</w:t>
      </w:r>
    </w:p>
    <w:p>
      <w:pPr>
        <w:spacing w:after="0" w:line="237"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exercise of options outstanding as of June 30, 2013; and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no exercise by the underwriters of their option to purchase up to an additional</w:t>
            </w:r>
          </w:p>
        </w:tc>
        <w:tc>
          <w:tcPr>
            <w:tcW w:w="4440" w:type="dxa"/>
            <w:vAlign w:val="bottom"/>
          </w:tcPr>
          <w:p>
            <w:pPr>
              <w:ind w:left="480"/>
              <w:spacing w:after="0"/>
              <w:rPr>
                <w:sz w:val="20"/>
                <w:szCs w:val="20"/>
                <w:color w:val="auto"/>
              </w:rPr>
            </w:pPr>
            <w:r>
              <w:rPr>
                <w:rFonts w:ascii="Arial" w:cs="Arial" w:eastAsia="Arial" w:hAnsi="Arial"/>
                <w:sz w:val="17"/>
                <w:szCs w:val="17"/>
                <w:color w:val="auto"/>
                <w:w w:val="89"/>
              </w:rPr>
              <w:t>shares of common stock from us and to purchase up to an</w:t>
            </w:r>
          </w:p>
        </w:tc>
      </w:tr>
      <w:tr>
        <w:trPr>
          <w:trHeight w:val="216"/>
        </w:trPr>
        <w:tc>
          <w:tcPr>
            <w:tcW w:w="820" w:type="dxa"/>
            <w:vAlign w:val="bottom"/>
          </w:tcPr>
          <w:p>
            <w:pPr>
              <w:spacing w:after="0"/>
              <w:rPr>
                <w:sz w:val="18"/>
                <w:szCs w:val="18"/>
                <w:color w:val="auto"/>
              </w:rPr>
            </w:pPr>
          </w:p>
        </w:tc>
        <w:tc>
          <w:tcPr>
            <w:tcW w:w="1420" w:type="dxa"/>
            <w:vAlign w:val="bottom"/>
          </w:tcPr>
          <w:p>
            <w:pPr>
              <w:ind w:left="240"/>
              <w:spacing w:after="0"/>
              <w:rPr>
                <w:sz w:val="20"/>
                <w:szCs w:val="20"/>
                <w:color w:val="auto"/>
              </w:rPr>
            </w:pPr>
            <w:r>
              <w:rPr>
                <w:rFonts w:ascii="Arial" w:cs="Arial" w:eastAsia="Arial" w:hAnsi="Arial"/>
                <w:sz w:val="17"/>
                <w:szCs w:val="17"/>
                <w:color w:val="auto"/>
              </w:rPr>
              <w:t>additional</w:t>
            </w:r>
          </w:p>
        </w:tc>
        <w:tc>
          <w:tcPr>
            <w:tcW w:w="4740" w:type="dxa"/>
            <w:vAlign w:val="bottom"/>
          </w:tcPr>
          <w:p>
            <w:pPr>
              <w:jc w:val="right"/>
              <w:ind w:right="415"/>
              <w:spacing w:after="0"/>
              <w:rPr>
                <w:sz w:val="20"/>
                <w:szCs w:val="20"/>
                <w:color w:val="auto"/>
              </w:rPr>
            </w:pPr>
            <w:r>
              <w:rPr>
                <w:rFonts w:ascii="Arial" w:cs="Arial" w:eastAsia="Arial" w:hAnsi="Arial"/>
                <w:sz w:val="17"/>
                <w:szCs w:val="17"/>
                <w:color w:val="auto"/>
              </w:rPr>
              <w:t>shares of common stock from the selling stockholders.</w:t>
            </w:r>
          </w:p>
        </w:tc>
        <w:tc>
          <w:tcPr>
            <w:tcW w:w="4440" w:type="dxa"/>
            <w:vAlign w:val="bottom"/>
          </w:tcPr>
          <w:p>
            <w:pPr>
              <w:spacing w:after="0"/>
              <w:rPr>
                <w:sz w:val="18"/>
                <w:szCs w:val="18"/>
                <w:color w:val="auto"/>
              </w:rPr>
            </w:pPr>
          </w:p>
        </w:tc>
      </w:tr>
      <w:tr>
        <w:trPr>
          <w:trHeight w:val="419"/>
        </w:trPr>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40" w:type="dxa"/>
            <w:vAlign w:val="bottom"/>
          </w:tcPr>
          <w:p>
            <w:pPr>
              <w:jc w:val="right"/>
              <w:ind w:right="1095"/>
              <w:spacing w:after="0"/>
              <w:rPr>
                <w:sz w:val="20"/>
                <w:szCs w:val="20"/>
                <w:color w:val="auto"/>
              </w:rPr>
            </w:pPr>
            <w:r>
              <w:rPr>
                <w:rFonts w:ascii="Arial" w:cs="Arial" w:eastAsia="Arial" w:hAnsi="Arial"/>
                <w:sz w:val="17"/>
                <w:szCs w:val="17"/>
                <w:color w:val="auto"/>
              </w:rPr>
              <w:t>38</w:t>
            </w:r>
          </w:p>
        </w:tc>
        <w:tc>
          <w:tcPr>
            <w:tcW w:w="4440" w:type="dxa"/>
            <w:vAlign w:val="bottom"/>
          </w:tcPr>
          <w:p>
            <w:pPr>
              <w:spacing w:after="0"/>
              <w:rPr>
                <w:sz w:val="24"/>
                <w:szCs w:val="24"/>
                <w:color w:val="auto"/>
              </w:rPr>
            </w:pPr>
          </w:p>
        </w:tc>
      </w:tr>
      <w:tr>
        <w:trPr>
          <w:trHeight w:val="222"/>
        </w:trPr>
        <w:tc>
          <w:tcPr>
            <w:tcW w:w="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jc w:val="both"/>
        <w:ind w:firstLine="385"/>
        <w:spacing w:after="0" w:line="303" w:lineRule="auto"/>
        <w:rPr>
          <w:sz w:val="20"/>
          <w:szCs w:val="20"/>
          <w:color w:val="auto"/>
        </w:rPr>
      </w:pPr>
      <w:r>
        <w:rPr>
          <w:rFonts w:ascii="Arial" w:cs="Arial" w:eastAsia="Arial" w:hAnsi="Arial"/>
          <w:sz w:val="15"/>
          <w:szCs w:val="15"/>
          <w:color w:val="auto"/>
        </w:rPr>
        <w:t>The following tables set forth our selected consolidated financial and other data. We derived the selected consolidated statement of operations data for the years ended December 31, 2010, 2011 and 2012 and the selected consolidated balance sheet data as of December 31, 2011 and 2012, from our audited consolidated financial statements that are included elsewhere in this prospectus. We derived the selected consolidated statement of operations data for the six months ended June 30, 2012 and 2013 and the selected consolidated balance sheet data as of June 30, 2013, from our unaudited consolidated financial statements that are included elsewhere in this prospectus. We derived the consolidated statements of operations data for the years ended December 31, 2008 and 2009 and the balance sheet data as of December 31, 2008, 2009 and 2010 from our audited consolidated financial statements not included in this prospectus.</w:t>
      </w:r>
    </w:p>
    <w:p>
      <w:pPr>
        <w:spacing w:after="0" w:line="162"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You should read the following selected consolidated financial data in conjunction with "Management's Discussion and Analysis of Financial Condition and Results of Operations," and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consolidated financial statements and related notes included elsewhere in this prospectus. Our historic results are not necessarily indicative of the results that may be expected in the future.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Six Months Ended June 30,</w:t>
            </w: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w w:val="89"/>
              </w:rPr>
              <w:t>(in thousands,</w:t>
            </w:r>
          </w:p>
        </w:tc>
        <w:tc>
          <w:tcPr>
            <w:tcW w:w="9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w w:val="80"/>
              </w:rPr>
              <w:t>except share and</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w w:val="76"/>
              </w:rPr>
              <w:t>per</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78"/>
              </w:rPr>
              <w:t>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Consolidated Statements of Operations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Data:</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spacing w:after="0" w:line="144" w:lineRule="exact"/>
              <w:rPr>
                <w:sz w:val="20"/>
                <w:szCs w:val="20"/>
                <w:color w:val="auto"/>
              </w:rPr>
            </w:pPr>
            <w:r>
              <w:rPr>
                <w:rFonts w:ascii="Arial" w:cs="Arial" w:eastAsia="Arial" w:hAnsi="Arial"/>
                <w:sz w:val="13"/>
                <w:szCs w:val="13"/>
                <w:color w:val="auto"/>
              </w:rPr>
              <w:t>Revenue</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52,744</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61,099</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82,973</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120,271</w:t>
            </w:r>
          </w:p>
        </w:tc>
        <w:tc>
          <w:tcPr>
            <w:tcW w:w="1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169,616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78,199</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107,926</w:t>
            </w:r>
          </w:p>
        </w:tc>
        <w:tc>
          <w:tcPr>
            <w:tcW w:w="0" w:type="dxa"/>
            <w:vAlign w:val="bottom"/>
          </w:tcPr>
          <w:p>
            <w:pPr>
              <w:spacing w:after="0"/>
              <w:rPr>
                <w:sz w:val="1"/>
                <w:szCs w:val="1"/>
                <w:color w:val="auto"/>
              </w:rPr>
            </w:pPr>
          </w:p>
        </w:tc>
      </w:tr>
      <w:tr>
        <w:trPr>
          <w:trHeight w:val="170"/>
        </w:trPr>
        <w:tc>
          <w:tcPr>
            <w:tcW w:w="254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Operating expenses</w:t>
            </w:r>
            <w:r>
              <w:rPr>
                <w:rFonts w:ascii="Arial" w:cs="Arial" w:eastAsia="Arial" w:hAnsi="Arial"/>
                <w:sz w:val="19"/>
                <w:szCs w:val="19"/>
                <w:color w:val="auto"/>
                <w:vertAlign w:val="superscript"/>
              </w:rPr>
              <w:t>(1)</w:t>
            </w: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Cost of revenue</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16,903</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21,826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32,353</w:t>
            </w:r>
          </w:p>
        </w:tc>
        <w:tc>
          <w:tcPr>
            <w:tcW w:w="200" w:type="dxa"/>
            <w:vAlign w:val="bottom"/>
          </w:tcPr>
          <w:p>
            <w:pPr>
              <w:spacing w:after="0"/>
              <w:rPr>
                <w:sz w:val="12"/>
                <w:szCs w:val="12"/>
                <w:color w:val="auto"/>
              </w:rPr>
            </w:pP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45,504</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64,676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29,825</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41,589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9,308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10,949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auto"/>
              </w:rPr>
              <w:t>17,820</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4" w:lineRule="exact"/>
              <w:rPr>
                <w:sz w:val="20"/>
                <w:szCs w:val="20"/>
                <w:color w:val="auto"/>
              </w:rPr>
            </w:pPr>
            <w:r>
              <w:rPr>
                <w:rFonts w:ascii="Arial" w:cs="Arial" w:eastAsia="Arial" w:hAnsi="Arial"/>
                <w:sz w:val="13"/>
                <w:szCs w:val="13"/>
                <w:color w:val="auto"/>
              </w:rPr>
              <w:t>31,929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45,107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23,333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25,292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Product development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1,120</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2,361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4,591</w:t>
            </w:r>
          </w:p>
        </w:tc>
        <w:tc>
          <w:tcPr>
            <w:tcW w:w="200" w:type="dxa"/>
            <w:vAlign w:val="bottom"/>
          </w:tcPr>
          <w:p>
            <w:pPr>
              <w:spacing w:after="0"/>
              <w:rPr>
                <w:sz w:val="12"/>
                <w:szCs w:val="12"/>
                <w:color w:val="auto"/>
              </w:rPr>
            </w:pP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9,777</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16,330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6,860</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9,615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4,844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6,217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auto"/>
              </w:rPr>
              <w:t>8,414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4" w:lineRule="exact"/>
              <w:rPr>
                <w:sz w:val="20"/>
                <w:szCs w:val="20"/>
                <w:color w:val="auto"/>
              </w:rPr>
            </w:pPr>
            <w:r>
              <w:rPr>
                <w:rFonts w:ascii="Arial" w:cs="Arial" w:eastAsia="Arial" w:hAnsi="Arial"/>
                <w:sz w:val="13"/>
                <w:szCs w:val="13"/>
                <w:color w:val="auto"/>
              </w:rPr>
              <w:t>10,171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21,651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8,177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10,514</w:t>
            </w:r>
          </w:p>
        </w:tc>
        <w:tc>
          <w:tcPr>
            <w:tcW w:w="0" w:type="dxa"/>
            <w:vAlign w:val="bottom"/>
          </w:tcPr>
          <w:p>
            <w:pPr>
              <w:spacing w:after="0"/>
              <w:rPr>
                <w:sz w:val="1"/>
                <w:szCs w:val="1"/>
                <w:color w:val="auto"/>
              </w:rPr>
            </w:pPr>
          </w:p>
        </w:tc>
      </w:tr>
      <w:tr>
        <w:trPr>
          <w:trHeight w:val="26"/>
        </w:trPr>
        <w:tc>
          <w:tcPr>
            <w:tcW w:w="254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32,175</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41,353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63,178</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97,381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147,764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68,195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from operations</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20,569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19,746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auto"/>
              </w:rPr>
              <w:t>19,795</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0" w:lineRule="exact"/>
              <w:rPr>
                <w:sz w:val="20"/>
                <w:szCs w:val="20"/>
                <w:color w:val="auto"/>
              </w:rPr>
            </w:pPr>
            <w:r>
              <w:rPr>
                <w:rFonts w:ascii="Arial" w:cs="Arial" w:eastAsia="Arial" w:hAnsi="Arial"/>
                <w:sz w:val="13"/>
                <w:szCs w:val="13"/>
                <w:color w:val="auto"/>
              </w:rPr>
              <w:t>22,890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21,852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10,004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20,916</w:t>
            </w:r>
          </w:p>
        </w:tc>
        <w:tc>
          <w:tcPr>
            <w:tcW w:w="0" w:type="dxa"/>
            <w:vAlign w:val="bottom"/>
          </w:tcPr>
          <w:p>
            <w:pPr>
              <w:spacing w:after="0"/>
              <w:rPr>
                <w:sz w:val="1"/>
                <w:szCs w:val="1"/>
                <w:color w:val="auto"/>
              </w:rPr>
            </w:pPr>
          </w:p>
        </w:tc>
      </w:tr>
      <w:tr>
        <w:trPr>
          <w:trHeight w:val="168"/>
        </w:trPr>
        <w:tc>
          <w:tcPr>
            <w:tcW w:w="2540" w:type="dxa"/>
            <w:vAlign w:val="bottom"/>
            <w:gridSpan w:val="2"/>
          </w:tcPr>
          <w:p>
            <w:pPr>
              <w:spacing w:after="0"/>
              <w:rPr>
                <w:sz w:val="20"/>
                <w:szCs w:val="20"/>
                <w:color w:val="auto"/>
              </w:rPr>
            </w:pPr>
            <w:r>
              <w:rPr>
                <w:rFonts w:ascii="Arial" w:cs="Arial" w:eastAsia="Arial" w:hAnsi="Arial"/>
                <w:sz w:val="13"/>
                <w:szCs w:val="13"/>
                <w:color w:val="auto"/>
              </w:rPr>
              <w:t>Other income (expense), net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94"/>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4"/>
                <w:szCs w:val="14"/>
                <w:color w:val="auto"/>
              </w:rPr>
            </w:pPr>
          </w:p>
        </w:tc>
        <w:tc>
          <w:tcPr>
            <w:tcW w:w="760" w:type="dxa"/>
            <w:vAlign w:val="bottom"/>
            <w:gridSpan w:val="2"/>
          </w:tcPr>
          <w:p>
            <w:pPr>
              <w:jc w:val="right"/>
              <w:ind w:right="111"/>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20,587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19,751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auto"/>
              </w:rPr>
              <w:t>19,814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0" w:lineRule="exact"/>
              <w:rPr>
                <w:sz w:val="20"/>
                <w:szCs w:val="20"/>
                <w:color w:val="auto"/>
              </w:rPr>
            </w:pPr>
            <w:r>
              <w:rPr>
                <w:rFonts w:ascii="Arial" w:cs="Arial" w:eastAsia="Arial" w:hAnsi="Arial"/>
                <w:sz w:val="13"/>
                <w:szCs w:val="13"/>
                <w:color w:val="auto"/>
              </w:rPr>
              <w:t>22,900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21,805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10,009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20,924</w:t>
            </w:r>
          </w:p>
        </w:tc>
        <w:tc>
          <w:tcPr>
            <w:tcW w:w="0" w:type="dxa"/>
            <w:vAlign w:val="bottom"/>
          </w:tcPr>
          <w:p>
            <w:pPr>
              <w:spacing w:after="0"/>
              <w:rPr>
                <w:sz w:val="1"/>
                <w:szCs w:val="1"/>
                <w:color w:val="auto"/>
              </w:rPr>
            </w:pPr>
          </w:p>
        </w:tc>
      </w:tr>
      <w:tr>
        <w:trPr>
          <w:trHeight w:val="197"/>
        </w:trPr>
        <w:tc>
          <w:tcPr>
            <w:tcW w:w="2540" w:type="dxa"/>
            <w:vAlign w:val="bottom"/>
            <w:gridSpan w:val="2"/>
          </w:tcPr>
          <w:p>
            <w:pPr>
              <w:spacing w:after="0" w:line="197" w:lineRule="exact"/>
              <w:rPr>
                <w:sz w:val="20"/>
                <w:szCs w:val="20"/>
                <w:color w:val="auto"/>
              </w:rPr>
            </w:pPr>
            <w:r>
              <w:rPr>
                <w:rFonts w:ascii="Arial" w:cs="Arial" w:eastAsia="Arial" w:hAnsi="Arial"/>
                <w:sz w:val="13"/>
                <w:szCs w:val="13"/>
                <w:color w:val="auto"/>
              </w:rPr>
              <w:t>Provision for income taxes</w:t>
            </w:r>
            <w:r>
              <w:rPr>
                <w:rFonts w:ascii="Arial" w:cs="Arial" w:eastAsia="Arial" w:hAnsi="Arial"/>
                <w:sz w:val="21"/>
                <w:szCs w:val="21"/>
                <w:color w:val="auto"/>
                <w:vertAlign w:val="superscript"/>
              </w:rPr>
              <w:t>(2)</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942</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94"/>
              <w:spacing w:after="0"/>
              <w:rPr>
                <w:sz w:val="20"/>
                <w:szCs w:val="20"/>
                <w:color w:val="auto"/>
              </w:rPr>
            </w:pPr>
            <w:r>
              <w:rPr>
                <w:rFonts w:ascii="Arial" w:cs="Arial" w:eastAsia="Arial" w:hAnsi="Arial"/>
                <w:sz w:val="13"/>
                <w:szCs w:val="13"/>
                <w:color w:val="auto"/>
              </w:rPr>
              <w:t>876</w:t>
            </w:r>
          </w:p>
        </w:tc>
        <w:tc>
          <w:tcPr>
            <w:tcW w:w="200" w:type="dxa"/>
            <w:vAlign w:val="bottom"/>
          </w:tcPr>
          <w:p>
            <w:pPr>
              <w:spacing w:after="0"/>
              <w:rPr>
                <w:sz w:val="17"/>
                <w:szCs w:val="17"/>
                <w:color w:val="auto"/>
              </w:rPr>
            </w:pPr>
          </w:p>
        </w:tc>
        <w:tc>
          <w:tcPr>
            <w:tcW w:w="760" w:type="dxa"/>
            <w:vAlign w:val="bottom"/>
            <w:gridSpan w:val="2"/>
          </w:tcPr>
          <w:p>
            <w:pPr>
              <w:jc w:val="right"/>
              <w:ind w:right="111"/>
              <w:spacing w:after="0"/>
              <w:rPr>
                <w:sz w:val="20"/>
                <w:szCs w:val="20"/>
                <w:color w:val="auto"/>
              </w:rPr>
            </w:pPr>
            <w:r>
              <w:rPr>
                <w:rFonts w:ascii="Arial" w:cs="Arial" w:eastAsia="Arial" w:hAnsi="Arial"/>
                <w:sz w:val="13"/>
                <w:szCs w:val="13"/>
                <w:color w:val="auto"/>
              </w:rPr>
              <w:t>1,036</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(25,738)</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8,496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19,645</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18,842</w:t>
            </w: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4"/>
              <w:spacing w:after="0" w:line="138" w:lineRule="exact"/>
              <w:rPr>
                <w:sz w:val="20"/>
                <w:szCs w:val="20"/>
                <w:color w:val="auto"/>
              </w:rPr>
            </w:pPr>
            <w:r>
              <w:rPr>
                <w:rFonts w:ascii="Arial" w:cs="Arial" w:eastAsia="Arial" w:hAnsi="Arial"/>
                <w:sz w:val="13"/>
                <w:szCs w:val="13"/>
                <w:color w:val="auto"/>
              </w:rPr>
              <w:t>18,938</w:t>
            </w:r>
          </w:p>
        </w:tc>
        <w:tc>
          <w:tcPr>
            <w:tcW w:w="200" w:type="dxa"/>
            <w:vAlign w:val="bottom"/>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11"/>
              <w:spacing w:after="0" w:line="138" w:lineRule="exact"/>
              <w:rPr>
                <w:sz w:val="20"/>
                <w:szCs w:val="20"/>
                <w:color w:val="auto"/>
              </w:rPr>
            </w:pPr>
            <w:r>
              <w:rPr>
                <w:rFonts w:ascii="Arial" w:cs="Arial" w:eastAsia="Arial" w:hAnsi="Arial"/>
                <w:sz w:val="13"/>
                <w:szCs w:val="13"/>
                <w:color w:val="auto"/>
              </w:rPr>
              <w:t>21,864</w:t>
            </w:r>
          </w:p>
        </w:tc>
        <w:tc>
          <w:tcPr>
            <w:tcW w:w="1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47,543</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9,782</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12,428</w:t>
            </w:r>
          </w:p>
        </w:tc>
        <w:tc>
          <w:tcPr>
            <w:tcW w:w="0" w:type="dxa"/>
            <w:vAlign w:val="bottom"/>
          </w:tcPr>
          <w:p>
            <w:pPr>
              <w:spacing w:after="0"/>
              <w:rPr>
                <w:sz w:val="1"/>
                <w:szCs w:val="1"/>
                <w:color w:val="auto"/>
              </w:rPr>
            </w:pPr>
          </w:p>
        </w:tc>
      </w:tr>
      <w:tr>
        <w:trPr>
          <w:trHeight w:val="26"/>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Less: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Preferred interest distributed</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7,578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auto"/>
              </w:rPr>
              <w:t>6,475</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4" w:lineRule="exact"/>
              <w:rPr>
                <w:sz w:val="20"/>
                <w:szCs w:val="20"/>
                <w:color w:val="auto"/>
              </w:rPr>
            </w:pPr>
            <w:r>
              <w:rPr>
                <w:rFonts w:ascii="Arial" w:cs="Arial" w:eastAsia="Arial" w:hAnsi="Arial"/>
                <w:sz w:val="13"/>
                <w:szCs w:val="13"/>
                <w:color w:val="auto"/>
              </w:rPr>
              <w:t>7,144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3,788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Preferred interest accretion</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7,175</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6,804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7,068</w:t>
            </w:r>
          </w:p>
        </w:tc>
        <w:tc>
          <w:tcPr>
            <w:tcW w:w="200" w:type="dxa"/>
            <w:vAlign w:val="bottom"/>
          </w:tcPr>
          <w:p>
            <w:pPr>
              <w:spacing w:after="0"/>
              <w:rPr>
                <w:sz w:val="12"/>
                <w:szCs w:val="12"/>
                <w:color w:val="auto"/>
              </w:rPr>
            </w:pP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4,058</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Undistributed (loss) earnings to</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participating stockholder / members</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(6,875)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(3,659)</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(2,692)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(4,086)</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(1,342)</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6"/>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Net income available to common</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ind w:left="140"/>
              <w:spacing w:after="0"/>
              <w:rPr>
                <w:sz w:val="20"/>
                <w:szCs w:val="20"/>
                <w:color w:val="auto"/>
              </w:rPr>
            </w:pPr>
            <w:r>
              <w:rPr>
                <w:rFonts w:ascii="Arial" w:cs="Arial" w:eastAsia="Arial" w:hAnsi="Arial"/>
                <w:sz w:val="13"/>
                <w:szCs w:val="13"/>
                <w:color w:val="auto"/>
              </w:rPr>
              <w:t>stockholders / members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11,767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8,849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4"/>
              <w:spacing w:after="0"/>
              <w:rPr>
                <w:sz w:val="20"/>
                <w:szCs w:val="20"/>
                <w:color w:val="auto"/>
              </w:rPr>
            </w:pPr>
            <w:r>
              <w:rPr>
                <w:rFonts w:ascii="Arial" w:cs="Arial" w:eastAsia="Arial" w:hAnsi="Arial"/>
                <w:sz w:val="13"/>
                <w:szCs w:val="13"/>
                <w:color w:val="auto"/>
              </w:rPr>
              <w:t>9,054</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11"/>
              <w:spacing w:after="0"/>
              <w:rPr>
                <w:sz w:val="20"/>
                <w:szCs w:val="20"/>
                <w:color w:val="auto"/>
              </w:rPr>
            </w:pPr>
            <w:r>
              <w:rPr>
                <w:rFonts w:ascii="Arial" w:cs="Arial" w:eastAsia="Arial" w:hAnsi="Arial"/>
                <w:sz w:val="13"/>
                <w:szCs w:val="13"/>
                <w:color w:val="auto"/>
              </w:rPr>
              <w:t>13,354</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42,629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7,336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12,387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5"/>
              </w:rPr>
              <w:t>Net income (loss) per basic share available to</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stockholders / members: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Distributed</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1.09</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0.75</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0.94</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1.03</w:t>
            </w:r>
          </w:p>
        </w:tc>
        <w:tc>
          <w:tcPr>
            <w:tcW w:w="1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1.14</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0.54</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280"/>
              <w:spacing w:after="0" w:line="144" w:lineRule="exact"/>
              <w:rPr>
                <w:sz w:val="20"/>
                <w:szCs w:val="20"/>
                <w:color w:val="auto"/>
              </w:rPr>
            </w:pPr>
            <w:r>
              <w:rPr>
                <w:rFonts w:ascii="Arial" w:cs="Arial" w:eastAsia="Arial" w:hAnsi="Arial"/>
                <w:sz w:val="13"/>
                <w:szCs w:val="13"/>
                <w:color w:val="auto"/>
              </w:rPr>
              <w:t>Undistributed</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(0.48)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(0.50)</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1"/>
              <w:spacing w:after="0" w:line="144" w:lineRule="exact"/>
              <w:rPr>
                <w:sz w:val="20"/>
                <w:szCs w:val="20"/>
                <w:color w:val="auto"/>
              </w:rPr>
            </w:pPr>
            <w:r>
              <w:rPr>
                <w:rFonts w:ascii="Arial" w:cs="Arial" w:eastAsia="Arial" w:hAnsi="Arial"/>
                <w:sz w:val="13"/>
                <w:szCs w:val="13"/>
                <w:color w:val="auto"/>
              </w:rPr>
              <w:t>(0.39)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0.65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(0.19)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26"/>
        </w:trPr>
        <w:tc>
          <w:tcPr>
            <w:tcW w:w="254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income per share (basic)</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0.61</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w w:val="98"/>
              </w:rPr>
              <w:t>Net income (loss) per diluted share available</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 common stockholders / members: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Distributed</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1.09</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0.75</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0.94</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rPr>
              <w:t>1.03</w:t>
            </w:r>
          </w:p>
        </w:tc>
        <w:tc>
          <w:tcPr>
            <w:tcW w:w="14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1.13</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0.54</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280"/>
              <w:spacing w:after="0" w:line="144" w:lineRule="exact"/>
              <w:rPr>
                <w:sz w:val="20"/>
                <w:szCs w:val="20"/>
                <w:color w:val="auto"/>
              </w:rPr>
            </w:pPr>
            <w:r>
              <w:rPr>
                <w:rFonts w:ascii="Arial" w:cs="Arial" w:eastAsia="Arial" w:hAnsi="Arial"/>
                <w:sz w:val="13"/>
                <w:szCs w:val="13"/>
                <w:color w:val="auto"/>
              </w:rPr>
              <w:t>Undistributed</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(0.48)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(0.50)</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1"/>
              <w:spacing w:after="0" w:line="144" w:lineRule="exact"/>
              <w:rPr>
                <w:sz w:val="20"/>
                <w:szCs w:val="20"/>
                <w:color w:val="auto"/>
              </w:rPr>
            </w:pPr>
            <w:r>
              <w:rPr>
                <w:rFonts w:ascii="Arial" w:cs="Arial" w:eastAsia="Arial" w:hAnsi="Arial"/>
                <w:sz w:val="13"/>
                <w:szCs w:val="13"/>
                <w:color w:val="auto"/>
              </w:rPr>
              <w:t>(0.39)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(0.19)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26"/>
        </w:trPr>
        <w:tc>
          <w:tcPr>
            <w:tcW w:w="254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income per share (diluted)</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0.61</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Basic</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5"/>
              </w:rPr>
              <w:t>19,350,104</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w w:val="95"/>
              </w:rPr>
              <w:t>20,117,701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w w:val="98"/>
              </w:rPr>
              <w:t>20,770,041</w:t>
            </w:r>
          </w:p>
        </w:tc>
        <w:tc>
          <w:tcPr>
            <w:tcW w:w="200" w:type="dxa"/>
            <w:vAlign w:val="bottom"/>
          </w:tcPr>
          <w:p>
            <w:pPr>
              <w:spacing w:after="0"/>
              <w:rPr>
                <w:sz w:val="12"/>
                <w:szCs w:val="12"/>
                <w:color w:val="auto"/>
              </w:rPr>
            </w:pPr>
          </w:p>
        </w:tc>
        <w:tc>
          <w:tcPr>
            <w:tcW w:w="760" w:type="dxa"/>
            <w:vAlign w:val="bottom"/>
            <w:gridSpan w:val="2"/>
          </w:tcPr>
          <w:p>
            <w:pPr>
              <w:jc w:val="right"/>
              <w:ind w:right="111"/>
              <w:spacing w:after="0" w:line="144" w:lineRule="exact"/>
              <w:rPr>
                <w:sz w:val="20"/>
                <w:szCs w:val="20"/>
                <w:color w:val="auto"/>
              </w:rPr>
            </w:pPr>
            <w:r>
              <w:rPr>
                <w:rFonts w:ascii="Arial" w:cs="Arial" w:eastAsia="Arial" w:hAnsi="Arial"/>
                <w:sz w:val="13"/>
                <w:szCs w:val="13"/>
                <w:color w:val="auto"/>
                <w:w w:val="89"/>
              </w:rPr>
              <w:t>20,849,242</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8"/>
              </w:rPr>
              <w:t>23,785,299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20,849,242</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8"/>
              </w:rPr>
              <w:t>33,435,439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5"/>
              </w:rPr>
              <w:t>19,350,104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5"/>
              </w:rPr>
              <w:t>20,117,701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auto"/>
                <w:w w:val="98"/>
              </w:rPr>
              <w:t>20,770,041</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1"/>
              <w:spacing w:after="0" w:line="144" w:lineRule="exact"/>
              <w:rPr>
                <w:sz w:val="20"/>
                <w:szCs w:val="20"/>
                <w:color w:val="auto"/>
              </w:rPr>
            </w:pPr>
            <w:r>
              <w:rPr>
                <w:rFonts w:ascii="Arial" w:cs="Arial" w:eastAsia="Arial" w:hAnsi="Arial"/>
                <w:sz w:val="13"/>
                <w:szCs w:val="13"/>
                <w:color w:val="auto"/>
                <w:w w:val="89"/>
              </w:rPr>
              <w:t>20,849,242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8"/>
              </w:rPr>
              <w:t>23,833,223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20,849,242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8"/>
              </w:rPr>
              <w:t>33,903,898</w:t>
            </w:r>
          </w:p>
        </w:tc>
        <w:tc>
          <w:tcPr>
            <w:tcW w:w="0" w:type="dxa"/>
            <w:vAlign w:val="bottom"/>
          </w:tcPr>
          <w:p>
            <w:pPr>
              <w:spacing w:after="0"/>
              <w:rPr>
                <w:sz w:val="1"/>
                <w:szCs w:val="1"/>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following table summarizes non-cash equity-based compensation expense included in the Company's statement of operations. Prior to the Reorganization on October 5, 2012, there was no non-cash equity-based compensation expense related to the stock options as a result of a change-of-control condition:</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jc w:val="right"/>
              <w:ind w:right="74"/>
              <w:spacing w:after="0"/>
              <w:rPr>
                <w:sz w:val="20"/>
                <w:szCs w:val="20"/>
                <w:color w:val="auto"/>
              </w:rPr>
            </w:pPr>
            <w:r>
              <w:rPr>
                <w:rFonts w:ascii="Arial" w:cs="Arial" w:eastAsia="Arial" w:hAnsi="Arial"/>
                <w:sz w:val="13"/>
                <w:szCs w:val="13"/>
                <w:b w:val="1"/>
                <w:bCs w:val="1"/>
                <w:color w:val="auto"/>
                <w:w w:val="96"/>
              </w:rPr>
              <w:t>Year Ended December 31,</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w w:val="84"/>
              </w:rPr>
              <w:t>(in thousands)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vMerge w:val="restart"/>
          </w:tcPr>
          <w:p>
            <w:pPr>
              <w:jc w:val="center"/>
              <w:ind w:right="28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219</w:t>
            </w:r>
          </w:p>
        </w:tc>
        <w:tc>
          <w:tcPr>
            <w:tcW w:w="2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line="144" w:lineRule="exact"/>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783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507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Product development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2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2,032</w:t>
            </w:r>
          </w:p>
        </w:tc>
        <w:tc>
          <w:tcPr>
            <w:tcW w:w="26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1,833</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1,114</w:t>
            </w:r>
          </w:p>
        </w:tc>
        <w:tc>
          <w:tcPr>
            <w:tcW w:w="24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2,122</w:t>
            </w:r>
          </w:p>
        </w:tc>
        <w:tc>
          <w:tcPr>
            <w:tcW w:w="3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10,385</w:t>
            </w:r>
          </w:p>
        </w:tc>
        <w:tc>
          <w:tcPr>
            <w:tcW w:w="2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2,157</w:t>
            </w:r>
          </w:p>
        </w:tc>
        <w:tc>
          <w:tcPr>
            <w:tcW w:w="3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2,570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jc w:val="both"/>
        <w:ind w:left="1900" w:hanging="525"/>
        <w:spacing w:after="0" w:line="243" w:lineRule="auto"/>
        <w:tabs>
          <w:tab w:leader="none" w:pos="19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 2008, 2009, 2010 and 2011, and up through the Reorganization on October 5, 2012, we operated as a New York limited liability company for federal and state income tax purposes, taxed as a partnership, and therefore were not subject to federal and state income taxes. In connection with the Reorganization, we recorded a one-time non-cash tax benefit of $28.8 million. Following the Reorganization, we became subject to federal, state and city income taxes.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Six Months Ended</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3"/>
                <w:szCs w:val="13"/>
                <w:b w:val="1"/>
                <w:bCs w:val="1"/>
                <w:color w:val="auto"/>
                <w:w w:val="91"/>
              </w:rPr>
              <w:t>Year Ended December 31,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22,782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21,983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21,783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26,532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34,877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13,321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25,211</w:t>
            </w:r>
          </w:p>
        </w:tc>
        <w:tc>
          <w:tcPr>
            <w:tcW w:w="0" w:type="dxa"/>
            <w:vAlign w:val="bottom"/>
          </w:tcPr>
          <w:p>
            <w:pPr>
              <w:spacing w:after="0"/>
              <w:rPr>
                <w:sz w:val="1"/>
                <w:szCs w:val="1"/>
                <w:color w:val="auto"/>
              </w:rPr>
            </w:pPr>
          </w:p>
        </w:tc>
      </w:tr>
      <w:tr>
        <w:trPr>
          <w:trHeight w:val="249"/>
        </w:trPr>
        <w:tc>
          <w:tcPr>
            <w:tcW w:w="32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Non-GAAP net income (in thousands)</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21,677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20,675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20,044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23,913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27,921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11,890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13,969</w:t>
            </w: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28,665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26,399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27,591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36,095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41,773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16,307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14,820</w:t>
            </w:r>
          </w:p>
        </w:tc>
        <w:tc>
          <w:tcPr>
            <w:tcW w:w="0" w:type="dxa"/>
            <w:vAlign w:val="bottom"/>
          </w:tcPr>
          <w:p>
            <w:pPr>
              <w:spacing w:after="0"/>
              <w:rPr>
                <w:sz w:val="1"/>
                <w:szCs w:val="1"/>
                <w:color w:val="auto"/>
              </w:rPr>
            </w:pPr>
          </w:p>
        </w:tc>
      </w:tr>
      <w:tr>
        <w:trPr>
          <w:trHeight w:val="202"/>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Paid downloads (in millions) (during period)</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76.0</w:t>
            </w: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35.9</w:t>
            </w:r>
          </w:p>
        </w:tc>
        <w:tc>
          <w:tcPr>
            <w:tcW w:w="1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4"/>
        </w:trPr>
        <w:tc>
          <w:tcPr>
            <w:tcW w:w="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w:t>
            </w:r>
          </w:p>
        </w:tc>
        <w:tc>
          <w:tcPr>
            <w:tcW w:w="2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02"/>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Images in our collection (in millions) (end of</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7"/>
                <w:szCs w:val="17"/>
                <w:color w:val="auto"/>
              </w:rPr>
              <w:t>period)</w:t>
            </w:r>
            <w:r>
              <w:rPr>
                <w:rFonts w:ascii="Arial" w:cs="Arial" w:eastAsia="Arial" w:hAnsi="Arial"/>
                <w:sz w:val="28"/>
                <w:szCs w:val="28"/>
                <w:color w:val="auto"/>
                <w:vertAlign w:val="superscript"/>
              </w:rPr>
              <w:t>(6)</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105"/>
        </w:trPr>
        <w:tc>
          <w:tcPr>
            <w:tcW w:w="68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97" w:lineRule="auto"/>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See "—Non-GAAP Financial Measures" below as to how we define and calculate Adjusted EBITDA and for a reconciliation between Adjusted EBITDA and net income, the most directly comparable financial measure presented on a U.S. generally accepted accounting principles, or GAAP, basis and a discussion about the limitations of Adjusted EBITDA.</w:t>
      </w:r>
    </w:p>
    <w:p>
      <w:pPr>
        <w:spacing w:after="0" w:line="77" w:lineRule="exact"/>
        <w:rPr>
          <w:rFonts w:ascii="Arial" w:cs="Arial" w:eastAsia="Arial" w:hAnsi="Arial"/>
          <w:sz w:val="12"/>
          <w:szCs w:val="12"/>
          <w:color w:val="auto"/>
        </w:rPr>
      </w:pPr>
    </w:p>
    <w:p>
      <w:pPr>
        <w:ind w:left="1680" w:hanging="533"/>
        <w:spacing w:after="0" w:line="25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Non-GAAP Net Income and for a reconciliation between Non-GAAP Net Income and net income, the most directly comparable GAAP financial measure and a discussion about the limitations of Non-GAAP Net Income.</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operating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Paid downloads is the number of paid image and video clip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See "Management's Discussion and Analysis of Financial Condition and Results of Operations—Key Operating Metrics—Revenue per Download" for more information as to how we define and calculate paid revenue per download.</w:t>
      </w:r>
    </w:p>
    <w:p>
      <w:pPr>
        <w:spacing w:after="0" w:line="77" w:lineRule="exact"/>
        <w:rPr>
          <w:rFonts w:ascii="Arial" w:cs="Arial" w:eastAsia="Arial" w:hAnsi="Arial"/>
          <w:sz w:val="12"/>
          <w:szCs w:val="12"/>
          <w:color w:val="auto"/>
        </w:rPr>
      </w:pPr>
    </w:p>
    <w:p>
      <w:pPr>
        <w:jc w:val="both"/>
        <w:ind w:left="1680" w:hanging="533"/>
        <w:spacing w:after="0" w:line="243"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Images in our collection is the total number of photographs, vectors and illustrations available to customers on shutterstock.com at the end of the period. See "Management's Discussion and Analysis of Financial Condition and Results of Operations—Key Operating Metrics—Images in our Collection" for more information as to how we define and calculate paid images in our collection.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center"/>
              <w:ind w:left="358"/>
              <w:spacing w:after="0"/>
              <w:rPr>
                <w:sz w:val="20"/>
                <w:szCs w:val="20"/>
                <w:color w:val="auto"/>
              </w:rPr>
            </w:pPr>
            <w:r>
              <w:rPr>
                <w:rFonts w:ascii="Arial" w:cs="Arial" w:eastAsia="Arial" w:hAnsi="Arial"/>
                <w:sz w:val="13"/>
                <w:szCs w:val="13"/>
                <w:b w:val="1"/>
                <w:bCs w:val="1"/>
                <w:color w:val="auto"/>
                <w:w w:val="89"/>
              </w:rPr>
              <w:t>As of December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4"/>
          </w:tcPr>
          <w:p>
            <w:pPr>
              <w:ind w:left="20"/>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320"/>
              <w:spacing w:after="0"/>
              <w:rPr>
                <w:sz w:val="20"/>
                <w:szCs w:val="20"/>
                <w:color w:val="auto"/>
              </w:rPr>
            </w:pPr>
            <w:r>
              <w:rPr>
                <w:rFonts w:ascii="Arial" w:cs="Arial" w:eastAsia="Arial" w:hAnsi="Arial"/>
                <w:sz w:val="13"/>
                <w:szCs w:val="13"/>
                <w:b w:val="1"/>
                <w:bCs w:val="1"/>
                <w:color w:val="auto"/>
              </w:rPr>
              <w:t>(in</w:t>
            </w:r>
          </w:p>
        </w:tc>
        <w:tc>
          <w:tcPr>
            <w:tcW w:w="900" w:type="dxa"/>
            <w:vAlign w:val="bottom"/>
            <w:gridSpan w:val="3"/>
          </w:tcPr>
          <w:p>
            <w:pPr>
              <w:jc w:val="right"/>
              <w:ind w:right="296"/>
              <w:spacing w:after="0"/>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4,937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6,544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14,097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102,096</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112,803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(15,813)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7"/>
              </w:rPr>
              <w:t>(21,909)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(28,435)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56,684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73,512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816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8"/>
                <w:szCs w:val="18"/>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1,703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3,844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5,255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6,778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13,863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24,855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147,114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172,548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9,723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14,259</w:t>
            </w:r>
          </w:p>
        </w:tc>
        <w:tc>
          <w:tcPr>
            <w:tcW w:w="160" w:type="dxa"/>
            <w:vAlign w:val="bottom"/>
          </w:tcPr>
          <w:p>
            <w:pPr>
              <w:spacing w:after="0"/>
              <w:rPr>
                <w:sz w:val="18"/>
                <w:szCs w:val="18"/>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19,631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28,451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37,934</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46,736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Term loan facility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15,026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22,514</w:t>
            </w:r>
          </w:p>
        </w:tc>
        <w:tc>
          <w:tcPr>
            <w:tcW w:w="160" w:type="dxa"/>
            <w:vAlign w:val="bottom"/>
          </w:tcPr>
          <w:p>
            <w:pPr>
              <w:spacing w:after="0"/>
              <w:rPr>
                <w:sz w:val="18"/>
                <w:szCs w:val="18"/>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31,355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49,058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70,180</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76,946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36,218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36,811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33,725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Common members' interest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2,949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4,782</w:t>
            </w:r>
          </w:p>
        </w:tc>
        <w:tc>
          <w:tcPr>
            <w:tcW w:w="160" w:type="dxa"/>
            <w:vAlign w:val="bottom"/>
          </w:tcPr>
          <w:p>
            <w:pPr>
              <w:spacing w:after="0"/>
              <w:rPr>
                <w:sz w:val="18"/>
                <w:szCs w:val="18"/>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5,699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members' (deficit)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(46,161)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(47,665)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7"/>
              </w:rPr>
              <w:t>(54,303)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(57,928)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76,934</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95,602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5"/>
              <w:spacing w:after="0"/>
              <w:rPr>
                <w:sz w:val="20"/>
                <w:szCs w:val="20"/>
                <w:color w:val="auto"/>
              </w:rPr>
            </w:pPr>
            <w:r>
              <w:rPr>
                <w:rFonts w:ascii="Arial" w:cs="Arial" w:eastAsia="Arial" w:hAnsi="Arial"/>
                <w:sz w:val="17"/>
                <w:szCs w:val="17"/>
                <w:color w:val="auto"/>
              </w:rPr>
              <w:t>41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non-GAAP financial measure. We define Adjusted EBITDA as net income adjusted for other (income) expense, income taxes, depreciation and amortization, and non-cash equity-based compensation. We believe Adjusted EBITDA is an important measure of operating performance because it allows management, investors and others to evaluate and compare our core operating results from period to period by removing the impact of our asset base (depreciation and amortization), non-cash equity-based compensation, interest and taxes.</w:t>
      </w:r>
    </w:p>
    <w:p>
      <w:pPr>
        <w:spacing w:after="0" w:line="187" w:lineRule="exact"/>
        <w:rPr>
          <w:sz w:val="20"/>
          <w:szCs w:val="20"/>
          <w:color w:val="auto"/>
        </w:rPr>
      </w:pPr>
    </w:p>
    <w:p>
      <w:pPr>
        <w:jc w:val="both"/>
        <w:ind w:firstLine="434"/>
        <w:spacing w:after="0" w:line="263" w:lineRule="auto"/>
        <w:rPr>
          <w:sz w:val="20"/>
          <w:szCs w:val="20"/>
          <w:color w:val="auto"/>
        </w:rPr>
      </w:pPr>
      <w:r>
        <w:rPr>
          <w:rFonts w:ascii="Arial" w:cs="Arial" w:eastAsia="Arial" w:hAnsi="Arial"/>
          <w:sz w:val="17"/>
          <w:szCs w:val="17"/>
          <w:color w:val="auto"/>
        </w:rPr>
        <w:t>Our use of Adjusted EBITDA has limitations as an analytical tool, and you should not consider this measure in isolation or as a substitute for analysis of our results as reported under U.S. generally accepted accounting principles, or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Adjusted EBITDA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Six Months Ended</w:t>
            </w:r>
          </w:p>
        </w:tc>
      </w:tr>
      <w:tr>
        <w:trPr>
          <w:trHeight w:val="157"/>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3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r>
      <w:tr>
        <w:trPr>
          <w:trHeight w:val="137"/>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73"/>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18,938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12,428</w:t>
            </w:r>
          </w:p>
        </w:tc>
      </w:tr>
      <w:tr>
        <w:trPr>
          <w:trHeight w:val="210"/>
        </w:trPr>
        <w:tc>
          <w:tcPr>
            <w:tcW w:w="3300" w:type="dxa"/>
            <w:vAlign w:val="bottom"/>
          </w:tcPr>
          <w:p>
            <w:pPr>
              <w:spacing w:after="0"/>
              <w:rPr>
                <w:sz w:val="20"/>
                <w:szCs w:val="20"/>
                <w:color w:val="auto"/>
              </w:rPr>
            </w:pPr>
            <w:r>
              <w:rPr>
                <w:rFonts w:ascii="Arial" w:cs="Arial" w:eastAsia="Arial" w:hAnsi="Arial"/>
                <w:sz w:val="17"/>
                <w:szCs w:val="17"/>
                <w:color w:val="auto"/>
              </w:rPr>
              <w:t>Non-GAAP adjustments: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1,725</w:t>
            </w:r>
          </w:p>
        </w:tc>
      </w:tr>
      <w:tr>
        <w:trPr>
          <w:trHeight w:val="210"/>
        </w:trPr>
        <w:tc>
          <w:tcPr>
            <w:tcW w:w="33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2,032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1,114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10,385</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2,570</w:t>
            </w: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216"/>
        </w:trPr>
        <w:tc>
          <w:tcPr>
            <w:tcW w:w="3300" w:type="dxa"/>
            <w:vAlign w:val="bottom"/>
          </w:tcPr>
          <w:p>
            <w:pPr>
              <w:ind w:left="18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942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909</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1,036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(25,738)</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8,496</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22,782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21,983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21,783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26,532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34,877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13,321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25,211</w:t>
            </w:r>
          </w:p>
        </w:tc>
      </w:tr>
      <w:tr>
        <w:trPr>
          <w:trHeight w:val="26"/>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Income</w:t>
      </w:r>
    </w:p>
    <w:p>
      <w:pPr>
        <w:spacing w:after="0" w:line="224" w:lineRule="exact"/>
        <w:rPr>
          <w:sz w:val="20"/>
          <w:szCs w:val="20"/>
          <w:color w:val="auto"/>
        </w:rPr>
      </w:pPr>
    </w:p>
    <w:p>
      <w:pPr>
        <w:jc w:val="both"/>
        <w:ind w:firstLine="398"/>
        <w:spacing w:after="0" w:line="283"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non-GAAP net income, a non-GAAP financial measure. We define non-GAAP net income as net income excluding the one-time tax benefit due to the Reorganization and the after-tax impact of non-cash equity-based compensation. We believe non-GAAP net income is an important measure of operating performance because it allows management, investors and others to evaluate and compare our operating results from period to period by removing the impact of our one-time tax benefit due to the Reorganization in October 2012, non-cash equity-based compensation, and the tax benefit for the deductible non-cash equity-based compensation.</w:t>
      </w:r>
    </w:p>
    <w:p>
      <w:pPr>
        <w:spacing w:after="0" w:line="174" w:lineRule="exact"/>
        <w:rPr>
          <w:sz w:val="20"/>
          <w:szCs w:val="20"/>
          <w:color w:val="auto"/>
        </w:rPr>
      </w:pPr>
    </w:p>
    <w:p>
      <w:pPr>
        <w:jc w:val="both"/>
        <w:ind w:firstLine="367"/>
        <w:spacing w:after="0" w:line="311" w:lineRule="auto"/>
        <w:rPr>
          <w:sz w:val="20"/>
          <w:szCs w:val="20"/>
          <w:color w:val="auto"/>
        </w:rPr>
      </w:pPr>
      <w:r>
        <w:rPr>
          <w:rFonts w:ascii="Arial" w:cs="Arial" w:eastAsia="Arial" w:hAnsi="Arial"/>
          <w:sz w:val="15"/>
          <w:szCs w:val="15"/>
          <w:color w:val="auto"/>
        </w:rPr>
        <w:t>Our use of non-GAAP net income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non-GAAP net income alongside other financial performance measures, including various cash flow metrics, net income and our other GAAP results. Additionally, our non-GAAP net income measure may differ from other companies' non-GAAP net income as it is a non-GAAP disclosure.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Non-GAAP net income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Six Months Ended</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2"/>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73"/>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19,645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18,938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12,428</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7"/>
                <w:szCs w:val="17"/>
                <w:color w:val="auto"/>
              </w:rPr>
              <w:t>Non-GAAP adjustments: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One-time tax benefit due to the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Reorganization</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1,114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10,385</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Non-cash equity-based compensation tax</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benefit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(1,029)</w:t>
            </w:r>
          </w:p>
        </w:tc>
        <w:tc>
          <w:tcPr>
            <w:tcW w:w="0" w:type="dxa"/>
            <w:vAlign w:val="bottom"/>
          </w:tcPr>
          <w:p>
            <w:pPr>
              <w:spacing w:after="0"/>
              <w:rPr>
                <w:sz w:val="1"/>
                <w:szCs w:val="1"/>
                <w:color w:val="auto"/>
              </w:rPr>
            </w:pPr>
          </w:p>
        </w:tc>
      </w:tr>
      <w:tr>
        <w:trPr>
          <w:trHeight w:val="26"/>
        </w:trPr>
        <w:tc>
          <w:tcPr>
            <w:tcW w:w="3300" w:type="dxa"/>
            <w:vAlign w:val="bottom"/>
            <w:vMerge w:val="restart"/>
          </w:tcPr>
          <w:p>
            <w:pPr>
              <w:ind w:left="360"/>
              <w:spacing w:after="0"/>
              <w:rPr>
                <w:sz w:val="20"/>
                <w:szCs w:val="20"/>
                <w:color w:val="auto"/>
              </w:rPr>
            </w:pPr>
            <w:r>
              <w:rPr>
                <w:rFonts w:ascii="Arial" w:cs="Arial" w:eastAsia="Arial" w:hAnsi="Arial"/>
                <w:sz w:val="17"/>
                <w:szCs w:val="17"/>
                <w:color w:val="auto"/>
              </w:rPr>
              <w:t>Non-GAAP net income</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21,677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20,675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20,044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23,913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27,921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11,890</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13,969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financial measure. We define Free Cash Flow as our cash provided by (used in) operating activities, adjusted for capital expenditures and other income (expense).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ind w:lef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29,064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28,726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45,534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18,922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17,814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ind w:left="360"/>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28,665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41,773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16,307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14,820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consolidated financial statements and related notes that are included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photographs, illustrations and video clips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to approximately $6 billion in 2016, based on a study conducted on our behalf by L.E.K. Consulting LLC, or L.E.K.</w:t>
      </w:r>
    </w:p>
    <w:p>
      <w:pPr>
        <w:spacing w:after="0" w:line="187" w:lineRule="exact"/>
        <w:rPr>
          <w:sz w:val="20"/>
          <w:szCs w:val="20"/>
          <w:color w:val="auto"/>
        </w:rPr>
      </w:pPr>
    </w:p>
    <w:p>
      <w:pPr>
        <w:jc w:val="both"/>
        <w:ind w:firstLine="358"/>
        <w:spacing w:after="0" w:line="279" w:lineRule="auto"/>
        <w:rPr>
          <w:sz w:val="20"/>
          <w:szCs w:val="20"/>
          <w:color w:val="auto"/>
        </w:rPr>
      </w:pPr>
      <w:r>
        <w:rPr>
          <w:rFonts w:ascii="Arial" w:cs="Arial" w:eastAsia="Arial" w:hAnsi="Arial"/>
          <w:sz w:val="16"/>
          <w:szCs w:val="16"/>
          <w:color w:val="auto"/>
        </w:rPr>
        <w:t>Our global online marketplace brings together users of commercial digital imagery with image creators from around the world. More than 750,000 active, paying users contributed to revenue in 2012, representing an increase of 36% compared to the prior year. We have historically benefitted from a high degree of revenue retention from both subscription-based and On Demand customers. For example, in 2010, 2011 and 2012, we experienced year-to-year revenue retention of 96%, 102% and 100%, respectively. This means that customers that contributed to our revenue in 2011 contributed, in the aggregate, 100% as much revenue in 2012 as they did in 2011. More than 40,000 approved contributors make their images and video clips available in our collection, which has grown to more than 28 million images and more than 1 million video clips. This makes our collection one of the largest of its kind and, in the twelve months ended December 31, 2012, we delivered more than 76 million paid downloads (including both commercial and editorial images) to our customers. We believe that we delivered the highest volume of commercial image downloads in 2012 of any single brand in our industry.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2003, we launched the initial version of our website and became one of the first companies in our industry to offer a simple subscription-based payment model.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Since then, we have continually enhanced our platform, achieving key product development and business milestones that have driven our revenue and traffic growth:</w:t>
      </w:r>
    </w:p>
    <w:p>
      <w:pPr>
        <w:spacing w:after="0" w:line="254" w:lineRule="exact"/>
        <w:rPr>
          <w:sz w:val="20"/>
          <w:szCs w:val="20"/>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November 2005, we launched our first foreign language website, in Japanese. We currently make our website available in a total of 20 languages and transact in 10 currencies on shutterstock.com, including U.S. Dollars, Euros, British Pounds and Yen.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February 2006, we began offering video footage in addition to our collection of still images.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In June 2007, we launched </w:t>
      </w:r>
      <w:r>
        <w:rPr>
          <w:rFonts w:ascii="Arial" w:cs="Arial" w:eastAsia="Arial" w:hAnsi="Arial"/>
          <w:sz w:val="17"/>
          <w:szCs w:val="17"/>
          <w:i w:val="1"/>
          <w:iCs w:val="1"/>
          <w:color w:val="auto"/>
        </w:rPr>
        <w:t>Shutterstock On The Red Carpet</w:t>
      </w:r>
      <w:r>
        <w:rPr>
          <w:rFonts w:ascii="Arial" w:cs="Arial" w:eastAsia="Arial" w:hAnsi="Arial"/>
          <w:sz w:val="17"/>
          <w:szCs w:val="17"/>
          <w:color w:val="auto"/>
        </w:rPr>
        <w:t>, a program that facilitates the acquisition of press passes for Shutterstock contributors so that they can photograph newsworthy events.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August 2008, we launched an On Demand purchase option to better meet the needs of lower-volume image users.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94"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 marketplace. We subsequently began offering larger indemnification amounts or unlimited indemnification to certain of our customers.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November 2011, we launched </w:t>
      </w:r>
      <w:r>
        <w:rPr>
          <w:rFonts w:ascii="Arial" w:cs="Arial" w:eastAsia="Arial" w:hAnsi="Arial"/>
          <w:sz w:val="16"/>
          <w:szCs w:val="16"/>
          <w:i w:val="1"/>
          <w:iCs w:val="1"/>
          <w:color w:val="auto"/>
        </w:rPr>
        <w:t>Shutterstock for iPad</w:t>
      </w:r>
      <w:r>
        <w:rPr>
          <w:rFonts w:ascii="Arial" w:cs="Arial" w:eastAsia="Arial" w:hAnsi="Arial"/>
          <w:sz w:val="16"/>
          <w:szCs w:val="16"/>
          <w:color w:val="auto"/>
        </w:rPr>
        <w:t>, an application enabling visitors to search, browse and organize images using an iPad.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November 2012, we launched </w:t>
      </w:r>
      <w:r>
        <w:rPr>
          <w:rFonts w:ascii="Arial" w:cs="Arial" w:eastAsia="Arial" w:hAnsi="Arial"/>
          <w:sz w:val="16"/>
          <w:szCs w:val="16"/>
          <w:i w:val="1"/>
          <w:iCs w:val="1"/>
          <w:color w:val="auto"/>
        </w:rPr>
        <w:t>Shutterstock for iPhone</w:t>
      </w:r>
      <w:r>
        <w:rPr>
          <w:rFonts w:ascii="Arial" w:cs="Arial" w:eastAsia="Arial" w:hAnsi="Arial"/>
          <w:sz w:val="16"/>
          <w:szCs w:val="16"/>
          <w:color w:val="auto"/>
        </w:rPr>
        <w:t>, an application enabling visitors to search, browse and organize images using an iPhone.</w:t>
      </w:r>
    </w:p>
    <w:p>
      <w:pPr>
        <w:spacing w:after="0" w:line="248"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first eight months of 2013, we launched 10 new languages—Czech, Danish, Finnish, Hungarian, Korean, Norwegian, Polish, Swedish, Turkish and Thai—bringing the total number of languages we support to 20.</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March 2013, we launched a new image discovery tool called Spectrum. The prototype, which is part of the Company's Labs development program for exploratory tools and products, indexes hexagram data to yield search results by color. Designed and built entirely in-house, Spectrum offers designers a new way to explore their ideas and inspiration.</w:t>
      </w:r>
    </w:p>
    <w:p>
      <w:pPr>
        <w:spacing w:after="0" w:line="192"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March 2013, we announced the formation of Offset, a new brand featuring a collection of imagery from top photographers and illustrators around the world. Offset features the works from established and respected collections including National Geographic and Huber Images. With Offset, creative image buyers can purchase authentic, sophisticated imagery with a straightforward licensing process. Pricing is simple and transparent, and visible alongside each image and currently ranges between $250 and $500 depending on the size of the file.</w:t>
      </w:r>
    </w:p>
    <w:p>
      <w:pPr>
        <w:spacing w:after="0" w:line="18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April 2013, we surpassed contributor payouts of $150 million since our founding in 2003, illustrating our dynamic global marketplace and ability to connect artists to image buyers around the world.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April 2013, we reached 25 million images in our collection, and our users have made more than 300 million paid image downloads from our content collection since our founding in 2003.</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In May 2013, we announced the launch of a new tool called </w:t>
      </w:r>
      <w:r>
        <w:rPr>
          <w:rFonts w:ascii="Arial" w:cs="Arial" w:eastAsia="Arial" w:hAnsi="Arial"/>
          <w:sz w:val="17"/>
          <w:szCs w:val="17"/>
          <w:i w:val="1"/>
          <w:iCs w:val="1"/>
          <w:color w:val="auto"/>
        </w:rPr>
        <w:t>Keyword Suggestions</w:t>
      </w:r>
      <w:r>
        <w:rPr>
          <w:rFonts w:ascii="Arial" w:cs="Arial" w:eastAsia="Arial" w:hAnsi="Arial"/>
          <w:sz w:val="17"/>
          <w:szCs w:val="17"/>
          <w:color w:val="auto"/>
        </w:rPr>
        <w:t>. This tool suggests keywords based on similar images within the collection and reduces the time contributors need to spend creating keywords.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May 2013, we surpassed one million licensable video clips in our collection of royalty-free stock footage.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June 2013, we announced a new online marketplace called Skillfeed. The platform offers a collection of curated video courses through a simple, affordable subscription plan. We obtain content from instructors from around the world, specializing in topics such as graphic design, video and photo editing, Microsoft Excel and web development.</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July 2013, we celebrated the 10th anniversary of the Company's founding and also launched Shutterstock Stories, which highlight the unique life stories of Shutterstock contributors and will award $75,000 through creative grants to winning contributors.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August 2013, we opened our first international office in London. The team in London will lead business development and customer service efforts for the United Kingdom, Shutterstock's largest individual market outside of the 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August 2013, we announced a collaboration with Facebook to offer more than one million active advertisers seamless access to millions of high-quality photographs and illustrations. Businesses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be able to search and choose from millions of Shutterstock images directly within Facebook's ad creation tool, and use those images in any ad created using the tool, including News Feed, Mobile and Desktop units.</w:t>
      </w:r>
    </w:p>
    <w:p>
      <w:pPr>
        <w:spacing w:after="0" w:line="170" w:lineRule="exact"/>
        <w:rPr>
          <w:sz w:val="20"/>
          <w:szCs w:val="20"/>
          <w:color w:val="auto"/>
        </w:rPr>
      </w:pPr>
    </w:p>
    <w:p>
      <w:pPr>
        <w:jc w:val="both"/>
        <w:ind w:firstLine="575"/>
        <w:spacing w:after="0" w:line="283" w:lineRule="auto"/>
        <w:rPr>
          <w:sz w:val="20"/>
          <w:szCs w:val="20"/>
          <w:color w:val="auto"/>
        </w:rPr>
      </w:pPr>
      <w:r>
        <w:rPr>
          <w:rFonts w:ascii="Arial" w:cs="Arial" w:eastAsia="Arial" w:hAnsi="Arial"/>
          <w:sz w:val="16"/>
          <w:szCs w:val="16"/>
          <w:color w:val="auto"/>
        </w:rPr>
        <w:t>As an online marketplace, we generate revenue by licensing images and we pay royalties to contributors for each of their images that is downloaded. Approximately half of our revenue and the significant majority of our downloads come from subscription-based users. These customers can download and use a large number of images in their creative process without concern for the incremental cost of each image download. For 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74"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Each time an image or video clip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63"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in such a way that contributors earn more per download from plans where we collect higher revenue per download. In other words, we strive to deliver a similar percentage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76"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85"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We have achieved significant growth in the last three years. Our total revenue has grown from $83.0 million in 2010 to $120.3 million in 2011 and to $169.6 million in 2012, representing a compound annual growth rate of 43.0% since 2010. As our revenue has grown, so have our operating expenses, from $63.2 million in 2010 to $97.4 million in 2011 and to $147.8 million in 2012, principally as a result of increased royalties, marketing costs and payroll expenses.</w:t>
      </w:r>
    </w:p>
    <w:p>
      <w:pPr>
        <w:spacing w:after="0" w:line="163" w:lineRule="exact"/>
        <w:rPr>
          <w:sz w:val="20"/>
          <w:szCs w:val="20"/>
          <w:color w:val="auto"/>
        </w:rPr>
      </w:pPr>
    </w:p>
    <w:p>
      <w:pPr>
        <w:jc w:val="both"/>
        <w:ind w:firstLine="404"/>
        <w:spacing w:after="0" w:line="279" w:lineRule="auto"/>
        <w:rPr>
          <w:sz w:val="20"/>
          <w:szCs w:val="20"/>
          <w:color w:val="auto"/>
        </w:rPr>
      </w:pPr>
      <w:r>
        <w:rPr>
          <w:rFonts w:ascii="Arial" w:cs="Arial" w:eastAsia="Arial" w:hAnsi="Arial"/>
          <w:sz w:val="16"/>
          <w:szCs w:val="16"/>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In the last three calendar years,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number of approved and licensable images and video clips in the Shutterstock collection has grown from 13 million to over 23 million images, making it one of the largest collections of its kind.</w:t>
      </w:r>
    </w:p>
    <w:p>
      <w:pPr>
        <w:spacing w:after="0" w:line="170" w:lineRule="exact"/>
        <w:rPr>
          <w:sz w:val="20"/>
          <w:szCs w:val="20"/>
          <w:color w:val="auto"/>
        </w:rPr>
      </w:pPr>
    </w:p>
    <w:p>
      <w:pPr>
        <w:jc w:val="both"/>
        <w:ind w:firstLine="351"/>
        <w:spacing w:after="0" w:line="265" w:lineRule="auto"/>
        <w:rPr>
          <w:sz w:val="20"/>
          <w:szCs w:val="20"/>
          <w:color w:val="auto"/>
        </w:rPr>
      </w:pPr>
      <w:r>
        <w:rPr>
          <w:rFonts w:ascii="Arial" w:cs="Arial" w:eastAsia="Arial" w:hAnsi="Arial"/>
          <w:sz w:val="17"/>
          <w:szCs w:val="17"/>
          <w:color w:val="auto"/>
        </w:rPr>
        <w:t>Even as we have invested in our key growth drivers of customer acquisition, customer experience improvement and content acquisition, we have delivered strong profitability. In 2012, our net income was $47.5 million and net cash from operating activities was $45.5 million. In the same period, Adjusted EBITDA, non-GAAP net income and Free Cash Flow were $34.8 million, $28.0 million and $41.5 million, respectively. See "Selected Consolidated Financial Data—Non-GAAP Financial Measures."</w:t>
      </w:r>
    </w:p>
    <w:p>
      <w:pPr>
        <w:spacing w:after="0" w:line="18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From September 7, 2007 through October 5, 2012, we operated as a New York limited liability company (the "LLC"). In May 2012, in connection with the filing of a registration statement for our initial public offering (the "IPO"), we formed Shutterstock, Inc., a Delaware corporation, as a wholly-owned subsidiary of the LLC. On October 5, 2012, the Company reorganized by way of a merger of the LLC with and into Shutterstock, Inc., with Shutterstock, Inc. surviving in the merger (the "Reorganization").</w:t>
      </w:r>
    </w:p>
    <w:p>
      <w:pPr>
        <w:spacing w:after="0" w:line="185"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color w:val="auto"/>
        </w:rPr>
        <w:t>On October 16, 2012, we completed our IPO of 5,175,000 shares of common stock, including 675,000 shares sold as a result of the underwriters' exercise of their over-allotment option, at a price of $17.00 per share. The IPO resulted in net proceeds to the Company of approximately $81.8 million after deducting underwriting discounts and commissions, and before deducting total estimated expenses in connection with the offering of $4.9 million.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Additionally, upon consummation of the Reorganization, we recognized the following one-time acceleration charges for non-cash stock-based compensation:</w:t>
      </w:r>
    </w:p>
    <w:p>
      <w:pPr>
        <w:spacing w:after="0" w:line="249" w:lineRule="exact"/>
        <w:rPr>
          <w:sz w:val="20"/>
          <w:szCs w:val="20"/>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charge of approximately $2.4 million, net of estimated forfeitures, in connection with a the removal of the change of control condition for our VAR Plan awards and exchanging them for stock options;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charge of approximately $0.5 million in connection with the removal of the change of control condition from the Profits Interest Agreement entered into with a Company employee.</w:t>
      </w:r>
    </w:p>
    <w:p>
      <w:pPr>
        <w:spacing w:after="0" w:line="170"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Upon the effectiveness of the our registration statement on Form S-1 for our IPO on October 10, 2012, we incurred a one-time acceleration for non-cash equity-based compensation of approximately $3.6 million in connection with the accelerated vesting of 50% of the unvested portion of the profits interest award granted to an executive officer and related issuance of 302,917 shares of common stock which was based on the exchange date fair value.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28" w:lineRule="exact"/>
        <w:rPr>
          <w:sz w:val="20"/>
          <w:szCs w:val="20"/>
          <w:color w:val="auto"/>
        </w:rPr>
      </w:pPr>
    </w:p>
    <w:p>
      <w:pPr>
        <w:jc w:val="both"/>
        <w:ind w:firstLine="410"/>
        <w:spacing w:after="0" w:line="265"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2010, 2011 and 2012 and for the six months ended June 30, 2012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6"/>
          </w:tcPr>
          <w:p>
            <w:pPr>
              <w:jc w:val="center"/>
              <w:ind w:right="132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326"/>
              <w:spacing w:after="0" w:line="144" w:lineRule="exact"/>
              <w:rPr>
                <w:sz w:val="20"/>
                <w:szCs w:val="20"/>
                <w:color w:val="auto"/>
              </w:rPr>
            </w:pPr>
            <w:r>
              <w:rPr>
                <w:rFonts w:ascii="Arial" w:cs="Arial" w:eastAsia="Arial" w:hAnsi="Arial"/>
                <w:sz w:val="13"/>
                <w:szCs w:val="13"/>
                <w:b w:val="1"/>
                <w:bCs w:val="1"/>
                <w:color w:val="auto"/>
                <w:w w:val="95"/>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2480" w:type="dxa"/>
            <w:vAlign w:val="bottom"/>
            <w:gridSpan w:val="6"/>
          </w:tcPr>
          <w:p>
            <w:pPr>
              <w:jc w:val="center"/>
              <w:ind w:right="130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11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4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7"/>
        </w:trPr>
        <w:tc>
          <w:tcPr>
            <w:tcW w:w="11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00" w:type="dxa"/>
            <w:vAlign w:val="bottom"/>
            <w:gridSpan w:val="9"/>
          </w:tcPr>
          <w:p>
            <w:pPr>
              <w:jc w:val="center"/>
              <w:ind w:left="354"/>
              <w:spacing w:after="0" w:line="138" w:lineRule="exact"/>
              <w:rPr>
                <w:sz w:val="20"/>
                <w:szCs w:val="20"/>
                <w:color w:val="auto"/>
              </w:rPr>
            </w:pPr>
            <w:r>
              <w:rPr>
                <w:rFonts w:ascii="Arial" w:cs="Arial" w:eastAsia="Arial" w:hAnsi="Arial"/>
                <w:sz w:val="13"/>
                <w:szCs w:val="13"/>
                <w:b w:val="1"/>
                <w:bCs w:val="1"/>
                <w:color w:val="auto"/>
                <w:w w:val="90"/>
              </w:rPr>
              <w:t>(in millions, except revenue per download)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Paid downloads (during period)</w:t>
            </w:r>
          </w:p>
        </w:tc>
        <w:tc>
          <w:tcPr>
            <w:tcW w:w="2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rPr>
              <w:t>Revenue per download (during period)</w:t>
            </w:r>
          </w:p>
        </w:tc>
        <w:tc>
          <w:tcPr>
            <w:tcW w:w="2860" w:type="dxa"/>
            <w:vAlign w:val="bottom"/>
            <w:gridSpan w:val="3"/>
          </w:tcPr>
          <w:p>
            <w:pPr>
              <w:jc w:val="right"/>
              <w:ind w:right="160"/>
              <w:spacing w:after="0"/>
              <w:rPr>
                <w:sz w:val="20"/>
                <w:szCs w:val="20"/>
                <w:color w:val="auto"/>
              </w:rPr>
            </w:pPr>
            <w:r>
              <w:rPr>
                <w:rFonts w:ascii="Arial" w:cs="Arial" w:eastAsia="Arial" w:hAnsi="Arial"/>
                <w:sz w:val="17"/>
                <w:szCs w:val="17"/>
                <w:color w:val="auto"/>
              </w:rPr>
              <w:t>$  1.88</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  2.05</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2.23</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  2.18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Images in our collection (end of period)</w:t>
            </w:r>
          </w:p>
        </w:tc>
        <w:tc>
          <w:tcPr>
            <w:tcW w:w="2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80" w:type="dxa"/>
            <w:vAlign w:val="bottom"/>
          </w:tcPr>
          <w:p>
            <w:pPr>
              <w:jc w:val="right"/>
              <w:ind w:right="1035"/>
              <w:spacing w:after="0"/>
              <w:rPr>
                <w:sz w:val="20"/>
                <w:szCs w:val="20"/>
                <w:color w:val="auto"/>
              </w:rPr>
            </w:pPr>
            <w:r>
              <w:rPr>
                <w:rFonts w:ascii="Arial" w:cs="Arial" w:eastAsia="Arial" w:hAnsi="Arial"/>
                <w:sz w:val="17"/>
                <w:szCs w:val="17"/>
                <w:color w:val="auto"/>
              </w:rPr>
              <w:t>47</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 Downloads</w:t>
      </w:r>
    </w:p>
    <w:p>
      <w:pPr>
        <w:spacing w:after="0" w:line="224"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 clips,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per Download</w:t>
      </w:r>
    </w:p>
    <w:p>
      <w:pPr>
        <w:spacing w:after="0" w:line="224"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 more revenue per download, most notably our On Demand purchase options. Due to this change in product mix, our revenue per download has increased steadily over the last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Images in our Collection</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define images in our collection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508"/>
        <w:spacing w:after="0" w:line="277" w:lineRule="auto"/>
        <w:rPr>
          <w:sz w:val="20"/>
          <w:szCs w:val="20"/>
          <w:color w:val="auto"/>
        </w:rPr>
      </w:pPr>
      <w:r>
        <w:rPr>
          <w:rFonts w:ascii="Arial" w:cs="Arial" w:eastAsia="Arial" w:hAnsi="Arial"/>
          <w:sz w:val="16"/>
          <w:szCs w:val="16"/>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one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one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approximately 8% and 10% of our revenue in 2011 and 2012, respectively. These purchase options include custom accounts (for customers that need multi-seat access, invoicing, greater or unlimited indemnification, or a higher volume of images) and video footage (which are sold both individually and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fixed packages). We typically receive the full amount of the purchase at the time of sale; however, revenue is recognized as images or video clips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79" w:lineRule="exact"/>
        <w:rPr>
          <w:sz w:val="20"/>
          <w:szCs w:val="20"/>
          <w:color w:val="auto"/>
        </w:rPr>
      </w:pPr>
    </w:p>
    <w:p>
      <w:pPr>
        <w:jc w:val="both"/>
        <w:ind w:firstLine="352"/>
        <w:spacing w:after="0" w:line="270" w:lineRule="auto"/>
        <w:rPr>
          <w:sz w:val="20"/>
          <w:szCs w:val="20"/>
          <w:color w:val="auto"/>
        </w:rPr>
      </w:pPr>
      <w:r>
        <w:rPr>
          <w:rFonts w:ascii="Arial" w:cs="Arial" w:eastAsia="Arial" w:hAnsi="Arial"/>
          <w:sz w:val="17"/>
          <w:szCs w:val="17"/>
          <w:color w:val="auto"/>
        </w:rPr>
        <w:t>Our deferred revenue consists of paid but unrecognized subscription revenue, On Demand revenue, and other revenue. Deferred revenue is recognized as revenue when images or video clips are downloaded (On Demand), through the passage of time (subscriptions) or when credits or the right to download images or video clips expire,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24" w:lineRule="exact"/>
        <w:rPr>
          <w:sz w:val="20"/>
          <w:szCs w:val="20"/>
          <w:color w:val="auto"/>
        </w:rPr>
      </w:pPr>
    </w:p>
    <w:p>
      <w:pPr>
        <w:jc w:val="both"/>
        <w:ind w:firstLine="425"/>
        <w:spacing w:after="0" w:line="322"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consists of royalties paid to contributors, credit card processing fees, image and video clip review costs, customer service</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the infrastructure costs related to maintaining our websites and associated employee compensation and non-cash equity-based compensation, facility costs and other supporting overhead costs. We expect that our cost of revenue will increase in absolute dollars in the foreseeable future as our revenue grows.</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include third-party marketing, advertising, branding, public relations and sales expenses.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expenses also include associated employee compensation and non-cash equity-based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8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of headcount expenses, including compensation, and non-cash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bonuses for salaried employees and contractors engaged in product management, design, development and testing of our websites and products. Product development costs also include facility and other supporting overhead costs. We expense product development expenses as incurred. We expect product development expenses to increase in absolute dollars in the foreseeable future as we continue to invest in developing new products and enhancing the functionality of our existing products.</w:t>
      </w:r>
    </w:p>
    <w:p>
      <w:pPr>
        <w:spacing w:after="0" w:line="187"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include employee salaries, non-cash equity-based compensation and benefits for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business development, accounting, legal, human resources, internal information technology and other administrative personnel. In addition, general and administrative expenses include outside legal and accounting services, facilities costs and other supporting overhead costs. We expect to incur incremental general and administrative expenses to support our growth and to support operating as a public company.</w:t>
      </w:r>
    </w:p>
    <w:p>
      <w:pPr>
        <w:spacing w:after="0" w:line="185"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Historically, we filed our income tax return as a "pass through" New York limited liability company for federal and state income tax purposes and</w:t>
      </w:r>
      <w:r>
        <w:rPr>
          <w:rFonts w:ascii="Arial" w:cs="Arial" w:eastAsia="Arial" w:hAnsi="Arial"/>
          <w:sz w:val="16"/>
          <w:szCs w:val="16"/>
          <w:i w:val="1"/>
          <w:iCs w:val="1"/>
          <w:color w:val="auto"/>
        </w:rPr>
        <w:t xml:space="preserve"> </w:t>
      </w:r>
      <w:r>
        <w:rPr>
          <w:rFonts w:ascii="Arial" w:cs="Arial" w:eastAsia="Arial" w:hAnsi="Arial"/>
          <w:sz w:val="16"/>
          <w:szCs w:val="16"/>
          <w:color w:val="auto"/>
        </w:rPr>
        <w:t>were subject to taxation on allocable portions of our net income and other taxes based on various methodologies employed by taxing authorities in certain localities. As a limited liability company, we recognized no federal and state income taxes, as the members of the LLC, and not the entity itself, were subject to income tax on their allocated share of our earnings. On October 5, 2012, we reorganized from a limited liability company to a Delaware corporation. Consequently, our corporate income tax rate has increased significantly now that we are subject to federal, state and additional city income taxes.</w:t>
      </w:r>
    </w:p>
    <w:p>
      <w:pPr>
        <w:spacing w:after="0" w:line="174" w:lineRule="exact"/>
        <w:rPr>
          <w:sz w:val="20"/>
          <w:szCs w:val="20"/>
          <w:color w:val="auto"/>
        </w:rPr>
      </w:pPr>
    </w:p>
    <w:p>
      <w:pPr>
        <w:jc w:val="both"/>
        <w:ind w:firstLine="370"/>
        <w:spacing w:after="0" w:line="282" w:lineRule="auto"/>
        <w:rPr>
          <w:sz w:val="20"/>
          <w:szCs w:val="20"/>
          <w:color w:val="auto"/>
        </w:rPr>
      </w:pPr>
      <w:r>
        <w:rPr>
          <w:rFonts w:ascii="Arial" w:cs="Arial" w:eastAsia="Arial" w:hAnsi="Arial"/>
          <w:sz w:val="17"/>
          <w:szCs w:val="17"/>
          <w:color w:val="auto"/>
        </w:rPr>
        <w:t>As we expand our operations outside of the United States, we may become subject to taxation in non-U.S. jurisdictions and our effective tax rate could fluctuate accordingly.</w:t>
      </w:r>
    </w:p>
    <w:p>
      <w:pPr>
        <w:spacing w:after="0" w:line="170" w:lineRule="exact"/>
        <w:rPr>
          <w:sz w:val="20"/>
          <w:szCs w:val="20"/>
          <w:color w:val="auto"/>
        </w:rPr>
      </w:pPr>
    </w:p>
    <w:p>
      <w:pPr>
        <w:jc w:val="both"/>
        <w:ind w:firstLine="452"/>
        <w:spacing w:after="0" w:line="322" w:lineRule="auto"/>
        <w:rPr>
          <w:sz w:val="20"/>
          <w:szCs w:val="20"/>
          <w:color w:val="auto"/>
        </w:rPr>
      </w:pPr>
      <w:r>
        <w:rPr>
          <w:rFonts w:ascii="Arial" w:cs="Arial" w:eastAsia="Arial" w:hAnsi="Arial"/>
          <w:sz w:val="15"/>
          <w:szCs w:val="15"/>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The following table presents our results of operations for the periods indicated. The period-to-period comparisons of results are not necessarily indicative of results for future periods.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9"/>
          </w:tcPr>
          <w:p>
            <w:pPr>
              <w:jc w:val="right"/>
              <w:ind w:right="6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82,973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120,271</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169,616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78,199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107,926</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32,353</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45,504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64,676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29,825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41,589</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17,820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31,929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45,107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23,333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25,292</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9,777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16,330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6,860</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9,615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21,651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8,177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10,514</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63,178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147,764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68,195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19,795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22,890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21,852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10,004</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20,916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19,814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10,009</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20,924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(25,738)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227</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8,496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21,864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9,782</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12,428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our results of operations for the periods indicated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6"/>
          </w:tcPr>
          <w:p>
            <w:pPr>
              <w:ind w:left="2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1"/>
              </w:rPr>
              <w:t>Year Ended December 31,</w:t>
            </w:r>
          </w:p>
        </w:tc>
        <w:tc>
          <w:tcPr>
            <w:tcW w:w="1060" w:type="dxa"/>
            <w:vAlign w:val="bottom"/>
            <w:gridSpan w:val="3"/>
          </w:tcPr>
          <w:p>
            <w:pPr>
              <w:ind w:left="560"/>
              <w:spacing w:after="0"/>
              <w:rPr>
                <w:sz w:val="20"/>
                <w:szCs w:val="20"/>
                <w:color w:val="auto"/>
              </w:rPr>
            </w:pPr>
            <w:r>
              <w:rPr>
                <w:rFonts w:ascii="Arial" w:cs="Arial" w:eastAsia="Arial" w:hAnsi="Arial"/>
                <w:sz w:val="13"/>
                <w:szCs w:val="13"/>
                <w:b w:val="1"/>
                <w:bCs w:val="1"/>
                <w:color w:val="auto"/>
                <w:w w:val="92"/>
              </w:rPr>
              <w:t>June 30,</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32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b w:val="1"/>
                <w:bCs w:val="1"/>
                <w:color w:val="auto"/>
                <w:w w:val="92"/>
              </w:rPr>
              <w:t>Consolidated Statement of Operations as a Percentage of</w:t>
            </w: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Revenue:</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Revenue</w:t>
            </w: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39</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6</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3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460" w:type="dxa"/>
            <w:vAlign w:val="bottom"/>
            <w:gridSpan w:val="3"/>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8"/>
                <w:szCs w:val="18"/>
                <w:color w:val="auto"/>
              </w:rPr>
            </w:pPr>
          </w:p>
        </w:tc>
        <w:tc>
          <w:tcPr>
            <w:tcW w:w="700" w:type="dxa"/>
            <w:vAlign w:val="bottom"/>
            <w:tcBorders>
              <w:top w:val="single" w:sz="8" w:color="auto"/>
            </w:tcBorders>
          </w:tcPr>
          <w:p>
            <w:pPr>
              <w:ind w:left="540"/>
              <w:spacing w:after="0"/>
              <w:rPr>
                <w:sz w:val="20"/>
                <w:szCs w:val="20"/>
                <w:color w:val="auto"/>
              </w:rPr>
            </w:pPr>
            <w:r>
              <w:rPr>
                <w:rFonts w:ascii="Arial" w:cs="Arial" w:eastAsia="Arial" w:hAnsi="Arial"/>
                <w:sz w:val="17"/>
                <w:szCs w:val="17"/>
                <w:color w:val="auto"/>
                <w:w w:val="73"/>
              </w:rPr>
              <w:t>87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Provision (benefit) for income taxes</w:t>
            </w: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1</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00" w:type="dxa"/>
            <w:vAlign w:val="bottom"/>
            <w:vMerge w:val="restart"/>
          </w:tcPr>
          <w:p>
            <w:pPr>
              <w:jc w:val="right"/>
              <w:ind w:right="275"/>
              <w:spacing w:after="0"/>
              <w:rPr>
                <w:sz w:val="20"/>
                <w:szCs w:val="20"/>
                <w:color w:val="auto"/>
              </w:rPr>
            </w:pPr>
            <w:r>
              <w:rPr>
                <w:rFonts w:ascii="Arial" w:cs="Arial" w:eastAsia="Arial" w:hAnsi="Arial"/>
                <w:sz w:val="17"/>
                <w:szCs w:val="17"/>
                <w:color w:val="auto"/>
              </w:rPr>
              <w:t>50</w:t>
            </w: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2012 and June 30, 2013</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w w:val="95"/>
              </w:rPr>
              <w:t>Six Months Ended June 30,</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5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78,199</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107,926</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29,727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29,825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41,589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11,764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23,333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25,292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562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6,860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9,615</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2,755</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10,514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620" w:type="dxa"/>
            <w:vAlign w:val="bottom"/>
            <w:gridSpan w:val="2"/>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68,195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87,010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18,815</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10,004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20,916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10,009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20,924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8,496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8,269</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12,428</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 meaningful. See "—Income Taxes" below.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428"/>
        <w:spacing w:after="0" w:line="303" w:lineRule="auto"/>
        <w:rPr>
          <w:sz w:val="20"/>
          <w:szCs w:val="20"/>
          <w:color w:val="auto"/>
        </w:rPr>
      </w:pPr>
      <w:r>
        <w:rPr>
          <w:rFonts w:ascii="Arial" w:cs="Arial" w:eastAsia="Arial" w:hAnsi="Arial"/>
          <w:sz w:val="15"/>
          <w:szCs w:val="15"/>
          <w:color w:val="auto"/>
        </w:rPr>
        <w:t>Revenue increased by $29.7 million, or 38%, to $107.9 million in the six months ended June 30, 2013 compared to the same period in 2012. This increase in revenue was primarily attributable to growth in the number of paid downloads and an increase in revenue per download. In the six months ended June 30, 2012 and 2013, we delivered 35.9 million and 46.8 million paid downloads, respectively, and our average revenue per download increased from $2.18 to $2.31. Paid downloads increased primarily due to the acquisition of new customers as a result of our marketing strategies. Revenue per download increased primarily due to growth in our On Demand offerings, which capture a higher effective price per image. In the six months ended June 30, 2012 compared to the same period in 2013, revenue from North America increased from 35% to 36% while revenue from Europe decreased from 38% to 36% and revenue from the rest of the world was flat at 27%.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300"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increased by $11.8 million, or 39%, to $41.6 million in the six months ended June 30, 2013 compared to the same period in</w:t>
      </w:r>
      <w:r>
        <w:rPr>
          <w:rFonts w:ascii="Arial" w:cs="Arial" w:eastAsia="Arial" w:hAnsi="Arial"/>
          <w:sz w:val="15"/>
          <w:szCs w:val="15"/>
          <w:i w:val="1"/>
          <w:iCs w:val="1"/>
          <w:color w:val="auto"/>
        </w:rPr>
        <w:t xml:space="preserve"> </w:t>
      </w:r>
      <w:r>
        <w:rPr>
          <w:rFonts w:ascii="Arial" w:cs="Arial" w:eastAsia="Arial" w:hAnsi="Arial"/>
          <w:sz w:val="15"/>
          <w:szCs w:val="15"/>
          <w:color w:val="auto"/>
        </w:rPr>
        <w:t>2012. Royalties increased $8.2 million, or 37%, driven by an increase in the number of downloads from existing and new customers. We anticipate royalties growing in line with revenues for the remainder of 2013 and beyond, although royalties as a percentage of revenue may vary somewhat from period to period primarily due to the contributor's achievement level of royalty target thresholds. Credit card charges increased by $1.0 million, or 34%, to $3.8 million as a result of increased card volume in the six months ended June 30, 2013. We expect credit card charges to increase for the remainder of 2013 and beyond as credit card transaction volume increases. Employee-related costs increased by $1.0 million, or 52%, driven by increased headcount in customer service, content and website operations to support increased customer volume and a more robust hosting infrastructure. Other costs associated with website hosting, content consulting and allocation of depreciation and amortization expense increased by $0.9 million, or 49%, to $2.8 million in the six months ended June 30, 2013 as compared to the same period in 2012.</w:t>
      </w:r>
    </w:p>
    <w:p>
      <w:pPr>
        <w:spacing w:after="0" w:line="163"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$2.0 million, or 8%, to $25.3 million in the six months ended June 30, 2013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2012. Advertising expenses,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largest component of our sales and marketing expenses, decreased by $2.5 million, or 14%, as compared to the prior period as a result of more efficient spending on both search and display advertising in the current period which has continued to yield a high level of returns. However, we anticipate that our global advertising spend will begin to increase in absolute dollars for the remainder of 2013 and beyond, as we further our international expansion while seeking to maintain a cost-effective customer acquisition ratio. Employee-related expenses, including travel and entertainment, increased by $3.6 million, or 90%, driven by an increase in sales and marketing headcount to support our expansion into new markets, increased sales commissions as a result of growing revenue from direct sales, and non-cash equity-based compensation. Other corporate overhead expenses, including allocated insurance costs due to operating as a public company and increased recruiting costs driven by headcount increases, increased by $0.3 million or 68%.</w:t>
      </w:r>
    </w:p>
    <w:p>
      <w:pPr>
        <w:spacing w:after="0" w:line="175"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by $2.8 million, or 40%, to $9.6 million in the six months ended June 30, 2013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2012. Employee-related costs increased by $2.1 million, or 44%, driven by headcount increases in product, engineering and quality assurance to support our increasing number of product development initiatives for our websites, including ongoing efforts to improve our search capabilities, and increased non-cash equity-based compensation. In addition, other technology costs increased by $0.2 million, or 75%, to $0.5 million primarily due to costs associated with third party providers and the use of cloud based environments.</w:t>
      </w:r>
    </w:p>
    <w:p>
      <w:pPr>
        <w:spacing w:after="0" w:line="187"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$2.3 million, or 29%, to $10.5 million in the six months ended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2012. Non-income tax expenses increased $1.1 million, or 182%, primarily due to our increased volume of sales activity. Employee-related expenses, excluding non-cash equity based compensation, increased by $1.0 million, or 37%, as we added finance, legal, human resources, internal information technology and business intelligence personnel to support the growth in our revenue and the infrastructure necessary to operate as a public company. Other corporate overhead expenses, including allocated insurance costs due to operating as a public company, increased recruiting costs driven by headcount increases, and increased finance costs due to the accelerated repayment of the term loan in March 2013, increased by $0.7 million or 190%. Non-cash equity based compensation decreased by $0.8 million, or 39%, to $1.3 million due to re-measuring the profits interest award in 2012 to market value.</w:t>
      </w:r>
    </w:p>
    <w:p>
      <w:pPr>
        <w:spacing w:after="0" w:line="175" w:lineRule="exact"/>
        <w:rPr>
          <w:sz w:val="20"/>
          <w:szCs w:val="20"/>
          <w:color w:val="auto"/>
        </w:rPr>
      </w:pPr>
    </w:p>
    <w:p>
      <w:pPr>
        <w:jc w:val="both"/>
        <w:ind w:firstLine="364"/>
        <w:spacing w:after="0" w:line="303"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Effective October 5, 2012, the Company became a Delaware corporation, and therefore became subject to federal and state income tax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40.6% in the six months ended June 30, 2013 compared to 2.3% for the same period in 2012. The Company incurred a discrete tax expense relating to a change in its state apportionment percentage during the six months ended June 30, 2013 which increased the effective tax rate by 1.3%. Excluding this discrete expense, the effective rate would have been 39.3%.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2011 and December 31, 2012</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8"/>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120,271</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169,616</w:t>
            </w:r>
          </w:p>
        </w:tc>
        <w:tc>
          <w:tcPr>
            <w:tcW w:w="200" w:type="dxa"/>
            <w:vAlign w:val="bottom"/>
          </w:tcPr>
          <w:p>
            <w:pPr>
              <w:jc w:val="right"/>
              <w:ind w:right="21"/>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49,345</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45,504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64,676</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19,172</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45,107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13,178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550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9,777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16,330</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6,553</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21,651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11,480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
        </w:trPr>
        <w:tc>
          <w:tcPr>
            <w:tcW w:w="5500" w:type="dxa"/>
            <w:vAlign w:val="bottom"/>
            <w:gridSpan w:val="2"/>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147,764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50,383</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22,890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21,852</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21,805</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(25,738)</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(26,774)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21,864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47,543</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25,679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4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Not meaningful. See "—Income Taxes" below.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Revenue increased by $49.3 million, or 41%, to $169.6 million in 2012 compared to 2011. This increase in revenue was primarily attributable to growth in paid downloads and an increase in revenue per download. In 2011 and 2012, respectively, we delivered 58.6 million and 76.0 million paid downloads, and our average revenue per download increased from $2.05 to $2.23. Paid downloads increased primarily due to the acquisition of new customers. Revenue per download increased primarily due to growth in our On Demand offerings, which capture a higher effective price per image. Comparing 2011 to 2012, revenue from North America increased from 34% to 35%, while revenue from Europe decreased from 40% to 37% and revenue from the rest of the world increased from 26% to 28%.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303"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increased by $19.2 million, or 42%, to $64.7 million in 2012 compared to 2011. Royalties increased $14.3 million, or 42%,</w:t>
      </w:r>
      <w:r>
        <w:rPr>
          <w:rFonts w:ascii="Arial" w:cs="Arial" w:eastAsia="Arial" w:hAnsi="Arial"/>
          <w:sz w:val="15"/>
          <w:szCs w:val="15"/>
          <w:i w:val="1"/>
          <w:iCs w:val="1"/>
          <w:color w:val="auto"/>
        </w:rPr>
        <w:t xml:space="preserve"> </w:t>
      </w:r>
      <w:r>
        <w:rPr>
          <w:rFonts w:ascii="Arial" w:cs="Arial" w:eastAsia="Arial" w:hAnsi="Arial"/>
          <w:sz w:val="15"/>
          <w:szCs w:val="15"/>
          <w:color w:val="auto"/>
        </w:rPr>
        <w:t>driven by an increase in downloads from existing and new customers. Credit card charges increased $0.9 million or 17% driven by an increase in card volume activity in 2012. Employee-related costs increased $1.8 million, or 72%, driven by increased average headcount in customer service, content and website operations from 35 employees at year-end 2011 to 46 at year-end 2012 to support increased customer volume, a more robust website infrastructure and the one-time acceleration and vesting following the Reorganization of non-cash equity-based compensation in the amount of $0.2 million. Other costs associated with website hosting, content consulting and allocation of depreciation and amortization expense increased by $1.9 million, or 76%, to $4.3 million in 2012 compared to 2011.</w:t>
      </w:r>
    </w:p>
    <w:p>
      <w:pPr>
        <w:spacing w:after="0" w:line="162" w:lineRule="exact"/>
        <w:rPr>
          <w:sz w:val="20"/>
          <w:szCs w:val="20"/>
          <w:color w:val="auto"/>
        </w:rPr>
      </w:pPr>
    </w:p>
    <w:p>
      <w:pPr>
        <w:jc w:val="both"/>
        <w:ind w:firstLine="435"/>
        <w:spacing w:after="0" w:line="28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$13.2 million, or 41%, to $45.1 million in 2012 compared to 2011. Advertising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$6.8 million, or 27%, as compared to the prior period, as a result of increased spending on both online and offline advertising, including spending on both search and display advertising globally. Employee-related expenses increased by $4.9 million, or 103%, driven by increases in sales and marketing average headcount from 36 employees at year-end 2011 to 63 employees at year-end 2012, increased sales commissions as a result of growing revenue from direct sales and the one-time acceleration and vesting following the Reorganization of non-cash equity-based compensation in the amount of $0.8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$6.6 million, or 67%, to $16.3 million in 2012 compared to 2011. Employee-related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$5.3 million or 78%, driven by increases in product, engineering and quality assurance average headcount from 54 employees at year-end 2011 to 76 employees at year-end 2012 and the one-time acceleration and vesting following the Reorganization of non-cash equity-based compensation in the amount of $1.7 million. The increased average headcount costs were driven by an increasing number of product development initiatives for our websites, including significant and ongoing efforts to improve our search capabilities. In addition, consulting costs increased by $0.7 million primarily due to costs associated with outsourced development and quality assurance services related to employee headcount growth.</w:t>
      </w:r>
    </w:p>
    <w:p>
      <w:pPr>
        <w:spacing w:after="0" w:line="176" w:lineRule="exact"/>
        <w:rPr>
          <w:sz w:val="20"/>
          <w:szCs w:val="20"/>
          <w:color w:val="auto"/>
        </w:rPr>
      </w:pPr>
    </w:p>
    <w:p>
      <w:pPr>
        <w:jc w:val="both"/>
        <w:ind w:firstLine="362"/>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$11.5 million, or 113%, to $21.7 million in 2012 compared to 2011. Employee-related expenses increased by $7.2 million, or 115%, driven by increases in finance, legal, human resources, internal information technology and business intelligence personnel average headcount from 24 employees at year-end 2011 to 35 employees at year-end 2012 to support the growth in our revenue and the infrastructure necessary to operate as a public company. Included in the employee-related expense increase is non-cash equity-based compensation increase in the amount of $5.6 million related to the one-time acceleration and vesting following the Reorganization of non-cash equity-based compensation in the amount of $4.9 million and vesting of a common member's ownership interest in the amount of $0.7 million, as more fully described in Note 9 of the Notes to Consolidated Financial Statements included elsewhere in this prospectus. In addition, professional fees increased by $1.3 million, or 128%, because of additional expenses associated with incremental fees related to being a public company.</w:t>
      </w:r>
    </w:p>
    <w:p>
      <w:pPr>
        <w:spacing w:after="0" w:line="187"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2012, we recorded a one-time non-cash tax benefit of $28.8 million as a result of recognition of deferred tax assets resulting from our tax</w:t>
      </w:r>
      <w:r>
        <w:rPr>
          <w:rFonts w:ascii="Arial" w:cs="Arial" w:eastAsia="Arial" w:hAnsi="Arial"/>
          <w:sz w:val="16"/>
          <w:szCs w:val="16"/>
          <w:i w:val="1"/>
          <w:iCs w:val="1"/>
          <w:color w:val="auto"/>
        </w:rPr>
        <w:t xml:space="preserve"> </w:t>
      </w:r>
      <w:r>
        <w:rPr>
          <w:rFonts w:ascii="Arial" w:cs="Arial" w:eastAsia="Arial" w:hAnsi="Arial"/>
          <w:sz w:val="16"/>
          <w:szCs w:val="16"/>
          <w:color w:val="auto"/>
        </w:rPr>
        <w:t>status change to be subject to taxation as a corporation commencing October 5, 2012. The computation of the effective tax rate includes earnings incurred prior to October 5, 2012 when we were subject to New York City unincorporated business tax as a partnership. Our on-going effective corporate tax rate is expected to be approximately 40% as compared to our historical effective tax rate of approximately 2% and, therefore, comparison of effective tax rate would result in a comparison that is not meaningful as more fully described in Note 5 of the Notes to Consolidated Financial Statements included elsewhere in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2010 and December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Revenue</w:t>
            </w:r>
          </w:p>
        </w:tc>
        <w:tc>
          <w:tcPr>
            <w:tcW w:w="1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82,973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120,271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37,298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32,353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13,151</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17,820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14,109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5,186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63,178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34,203</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18,938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20" w:type="dxa"/>
            <w:vAlign w:val="bottom"/>
            <w:vMerge w:val="restart"/>
          </w:tcPr>
          <w:p>
            <w:pPr>
              <w:jc w:val="right"/>
              <w:ind w:right="875"/>
              <w:spacing w:after="0"/>
              <w:rPr>
                <w:sz w:val="20"/>
                <w:szCs w:val="20"/>
                <w:color w:val="auto"/>
              </w:rPr>
            </w:pPr>
            <w:r>
              <w:rPr>
                <w:rFonts w:ascii="Arial" w:cs="Arial" w:eastAsia="Arial" w:hAnsi="Arial"/>
                <w:sz w:val="17"/>
                <w:szCs w:val="17"/>
                <w:color w:val="auto"/>
              </w:rPr>
              <w:t>54</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Revenue increased by $37.3 million, or 45%, to $120.3 million in 2011 compared to 2010. This increase in revenue was primarily attributable to growth in paid downloads and an increase in revenue per download. In 2010 and 2011, respectively, we delivered 44.1 million and 58.6 million paid downloads, and our average revenue per download increased from $1.88 to $2.05. Paid downloads increased primarily due to the acquisition of new customers. Revenue per download increased primarily due to growth in our On Demand offerings, which capture a higher effective price per image. From 2010 to 2011, revenue from North America remained unchanged at 34% while revenue from Europe decreased from 41% to 40% and revenue from the rest of the world increased from 25% to 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$13.2 million, or 41%, to $45.5 million in 2011 compared to 2010. Royalties increased $10.8 million, or 47%,</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downloads from existing and new customers. Credit card charges remained substantially unchanged at $5.1 million as increasing card volume in 2011 was offset by significantly lower credit card processing fees per transaction as we switched the majority of our credit card processing to a new vendor in 2011. Employee-related costs increased $1.1 million, or 60%, driven by increased headcount in customer service, content and website operations from 31 employees at year-end 2010 to 37 employees at year-end 2011 to support increased customer volume and a more robust website infrastructure.</w:t>
      </w:r>
    </w:p>
    <w:p>
      <w:pPr>
        <w:spacing w:after="0" w:line="174"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$14.1 million, or 79%, to $31.9 million in 2011 compared to 2010. Advertising expenses, the</w:t>
      </w:r>
      <w:r>
        <w:rPr>
          <w:rFonts w:ascii="Arial" w:cs="Arial" w:eastAsia="Arial" w:hAnsi="Arial"/>
          <w:sz w:val="16"/>
          <w:szCs w:val="16"/>
          <w:i w:val="1"/>
          <w:iCs w:val="1"/>
          <w:color w:val="auto"/>
        </w:rPr>
        <w:t xml:space="preserve"> </w:t>
      </w:r>
      <w:r>
        <w:rPr>
          <w:rFonts w:ascii="Arial" w:cs="Arial" w:eastAsia="Arial" w:hAnsi="Arial"/>
          <w:sz w:val="16"/>
          <w:szCs w:val="16"/>
          <w:color w:val="auto"/>
        </w:rPr>
        <w:t>largest component of our sales and marketing expenses, accounted for approximately 86% of that increase, as such expenses increased by $12.1 million, or 89%, as compared to the prior period, as a result of increased spending on both online and offline advertising, including spending on both search and display advertising globally. Employee-related expenses increased by $1.4 million, or 41%, driven by increases in sales and marketing headcount from 36 employees at year-end 2010 to 40 employees at year-end 2011 and increased sales commissions as a result of growing revenue from direct sales. These cost increases were partially offset by the closure of our telesales call center in Saratoga Springs, New York, which had expenses of $0.9 million in 2010.</w:t>
      </w:r>
    </w:p>
    <w:p>
      <w:pPr>
        <w:spacing w:after="0" w:line="17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$5.2 million, or 113%, to $9.8 million in 2011 compared to 2010. Employee-related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$3.3 million or 94%, driven by headcount increases in product, engineering and quality assurance from 33 employees at year-end 2010 to 63 employees at year-end 2011. The increased headcount costs were driven by an increasing number of product development initiatives for our websites, including significant and ongoing efforts to improve our search capabilities. In addition, recruiting expenses increased by $0.6 million, and consulting costs increased by $0.5 million primarily due to costs associated with outsourced development and quality assurance services.</w:t>
      </w:r>
    </w:p>
    <w:p>
      <w:pPr>
        <w:spacing w:after="0" w:line="174" w:lineRule="exact"/>
        <w:rPr>
          <w:sz w:val="20"/>
          <w:szCs w:val="20"/>
          <w:color w:val="auto"/>
        </w:rPr>
      </w:pPr>
    </w:p>
    <w:p>
      <w:pPr>
        <w:jc w:val="both"/>
        <w:ind w:firstLine="404"/>
        <w:spacing w:after="0" w:line="26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$1.8 million, or 21%, to $10.2 million in 2011 compared to 2010. Employee-related expenses increased by $1.3 million, or 67%, as we increased finance, legal, human resources, internal information technology and business intelligence personnel from 19 employees at year-end 2010 to 29 employees at year-end 2011 to support the growth in our revenue and the infrastructure necessary to operate as a public company. Non-cash equity-based compensation expense increased by $1.0 million, or 91%, due to the ongoing vesting of a common member's ownership interest, as more fully described in Note 11 to our Consolidated Financial Statements included elsewhere in this prospectus. In 2011, post-acquisition service compensation related to a former employee of Bigstock decreased by $0.6 million.</w:t>
      </w:r>
    </w:p>
    <w:p>
      <w:pPr>
        <w:spacing w:after="0" w:line="18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increased by $0.2 million, or 18%, to $1.0 million in 2011 compared to 2010 due to increased New York City unincorporated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tax resulting from increased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7"/>
          <w:szCs w:val="17"/>
          <w:color w:val="auto"/>
        </w:rPr>
        <w:t>The following tables set forth our unaudited quarterly consolidated statement of operations data for the last ten fiscal quarters. The information for each of these quarters has been prepared on the same basis as the audited consolidated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the audited consolidated financial statements and related notes included elsewhere in this prospectus. The results of historical periods are not necessarily indicative of our operating results for any future period.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40" w:type="dxa"/>
            <w:vAlign w:val="bottom"/>
            <w:gridSpan w:val="3"/>
          </w:tcPr>
          <w:p>
            <w:pPr>
              <w:ind w:left="60"/>
              <w:spacing w:after="0" w:line="124"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4"/>
              </w:rPr>
              <w:t>Jun 30,</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3"/>
              </w:rPr>
              <w:t>Sep 30,</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3"/>
              </w:rPr>
              <w:t>Dec 31,</w:t>
            </w:r>
          </w:p>
        </w:tc>
        <w:tc>
          <w:tcPr>
            <w:tcW w:w="640" w:type="dxa"/>
            <w:vAlign w:val="bottom"/>
            <w:gridSpan w:val="3"/>
          </w:tcPr>
          <w:p>
            <w:pPr>
              <w:jc w:val="center"/>
              <w:ind w:right="20"/>
              <w:spacing w:after="0" w:line="124" w:lineRule="exact"/>
              <w:rPr>
                <w:sz w:val="20"/>
                <w:szCs w:val="20"/>
                <w:color w:val="auto"/>
              </w:rPr>
            </w:pPr>
            <w:r>
              <w:rPr>
                <w:rFonts w:ascii="Arial" w:cs="Arial" w:eastAsia="Arial" w:hAnsi="Arial"/>
                <w:sz w:val="13"/>
                <w:szCs w:val="13"/>
                <w:b w:val="1"/>
                <w:bCs w:val="1"/>
                <w:color w:val="auto"/>
                <w:w w:val="98"/>
              </w:rPr>
              <w:t>Mar 31,</w:t>
            </w:r>
          </w:p>
        </w:tc>
        <w:tc>
          <w:tcPr>
            <w:tcW w:w="80" w:type="dxa"/>
            <w:vAlign w:val="bottom"/>
          </w:tcPr>
          <w:p>
            <w:pPr>
              <w:spacing w:after="0"/>
              <w:rPr>
                <w:sz w:val="10"/>
                <w:szCs w:val="10"/>
                <w:color w:val="auto"/>
              </w:rPr>
            </w:pPr>
          </w:p>
        </w:tc>
        <w:tc>
          <w:tcPr>
            <w:tcW w:w="5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3"/>
              </w:rPr>
              <w:t>Jun 30,</w:t>
            </w:r>
          </w:p>
        </w:tc>
        <w:tc>
          <w:tcPr>
            <w:tcW w:w="640" w:type="dxa"/>
            <w:vAlign w:val="bottom"/>
            <w:gridSpan w:val="3"/>
          </w:tcPr>
          <w:p>
            <w:pPr>
              <w:jc w:val="right"/>
              <w:ind w:right="120"/>
              <w:spacing w:after="0" w:line="124"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Dec 31,</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80" w:type="dxa"/>
            <w:vAlign w:val="bottom"/>
          </w:tcPr>
          <w:p>
            <w:pPr>
              <w:spacing w:after="0"/>
              <w:rPr>
                <w:sz w:val="10"/>
                <w:szCs w:val="10"/>
                <w:color w:val="auto"/>
              </w:rPr>
            </w:pPr>
          </w:p>
        </w:tc>
        <w:tc>
          <w:tcPr>
            <w:tcW w:w="500" w:type="dxa"/>
            <w:vAlign w:val="bottom"/>
          </w:tcPr>
          <w:p>
            <w:pPr>
              <w:jc w:val="right"/>
              <w:ind w:right="14"/>
              <w:spacing w:after="0" w:line="124" w:lineRule="exact"/>
              <w:rPr>
                <w:sz w:val="20"/>
                <w:szCs w:val="20"/>
                <w:color w:val="auto"/>
              </w:rPr>
            </w:pPr>
            <w:r>
              <w:rPr>
                <w:rFonts w:ascii="Arial" w:cs="Arial" w:eastAsia="Arial" w:hAnsi="Arial"/>
                <w:sz w:val="13"/>
                <w:szCs w:val="13"/>
                <w:b w:val="1"/>
                <w:bCs w:val="1"/>
                <w:color w:val="auto"/>
                <w:w w:val="89"/>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2012</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4"/>
              <w:spacing w:after="0" w:line="138"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3"/>
          </w:tcPr>
          <w:p>
            <w:pPr>
              <w:jc w:val="right"/>
              <w:ind w:right="94"/>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98"/>
              </w:rPr>
              <w:t>Consolidated Statement of Operations Data: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gridSpan w:val="2"/>
          </w:tcPr>
          <w:p>
            <w:pPr>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25,475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28,912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31,156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34,728</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37,574</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40,625</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42,260</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49,157</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51,117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56,809</w:t>
            </w:r>
          </w:p>
        </w:tc>
        <w:tc>
          <w:tcPr>
            <w:tcW w:w="0" w:type="dxa"/>
            <w:vAlign w:val="bottom"/>
          </w:tcPr>
          <w:p>
            <w:pPr>
              <w:spacing w:after="0"/>
              <w:rPr>
                <w:sz w:val="1"/>
                <w:szCs w:val="1"/>
                <w:color w:val="auto"/>
              </w:rPr>
            </w:pPr>
          </w:p>
        </w:tc>
      </w:tr>
      <w:tr>
        <w:trPr>
          <w:trHeight w:val="144"/>
        </w:trPr>
        <w:tc>
          <w:tcPr>
            <w:tcW w:w="27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10,179</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10,977</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11,373</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12,975</w:t>
            </w: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14,389</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15,436</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16,057</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18,794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19,821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21,768</w:t>
            </w:r>
          </w:p>
        </w:tc>
        <w:tc>
          <w:tcPr>
            <w:tcW w:w="0" w:type="dxa"/>
            <w:vAlign w:val="bottom"/>
          </w:tcPr>
          <w:p>
            <w:pPr>
              <w:spacing w:after="0"/>
              <w:rPr>
                <w:sz w:val="1"/>
                <w:szCs w:val="1"/>
                <w:color w:val="auto"/>
              </w:rPr>
            </w:pPr>
          </w:p>
        </w:tc>
      </w:tr>
      <w:tr>
        <w:trPr>
          <w:trHeight w:val="144"/>
        </w:trPr>
        <w:tc>
          <w:tcPr>
            <w:tcW w:w="27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6,961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6,875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8,493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12,240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11,093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9,752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12,022</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11,978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13,314</w:t>
            </w:r>
          </w:p>
        </w:tc>
        <w:tc>
          <w:tcPr>
            <w:tcW w:w="0" w:type="dxa"/>
            <w:vAlign w:val="bottom"/>
          </w:tcPr>
          <w:p>
            <w:pPr>
              <w:spacing w:after="0"/>
              <w:rPr>
                <w:sz w:val="1"/>
                <w:szCs w:val="1"/>
                <w:color w:val="auto"/>
              </w:rPr>
            </w:pPr>
          </w:p>
        </w:tc>
      </w:tr>
      <w:tr>
        <w:trPr>
          <w:trHeight w:val="144"/>
        </w:trPr>
        <w:tc>
          <w:tcPr>
            <w:tcW w:w="270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Product development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1,887</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2,368</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2,811</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2,711</w:t>
            </w: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3,419</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3,441</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3,795</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5,675</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4,555</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5,060</w:t>
            </w:r>
          </w:p>
        </w:tc>
        <w:tc>
          <w:tcPr>
            <w:tcW w:w="0" w:type="dxa"/>
            <w:vAlign w:val="bottom"/>
          </w:tcPr>
          <w:p>
            <w:pPr>
              <w:spacing w:after="0"/>
              <w:rPr>
                <w:sz w:val="1"/>
                <w:szCs w:val="1"/>
                <w:color w:val="auto"/>
              </w:rPr>
            </w:pPr>
          </w:p>
        </w:tc>
      </w:tr>
      <w:tr>
        <w:trPr>
          <w:trHeight w:val="144"/>
        </w:trPr>
        <w:tc>
          <w:tcPr>
            <w:tcW w:w="27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2,285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2,539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3,335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3,732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4,445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3,765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9,709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4,780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5,734</w:t>
            </w:r>
          </w:p>
        </w:tc>
        <w:tc>
          <w:tcPr>
            <w:tcW w:w="0" w:type="dxa"/>
            <w:vAlign w:val="bottom"/>
          </w:tcPr>
          <w:p>
            <w:pPr>
              <w:spacing w:after="0"/>
              <w:rPr>
                <w:sz w:val="1"/>
                <w:szCs w:val="1"/>
                <w:color w:val="auto"/>
              </w:rPr>
            </w:pPr>
          </w:p>
        </w:tc>
      </w:tr>
      <w:tr>
        <w:trPr>
          <w:trHeight w:val="26"/>
        </w:trPr>
        <w:tc>
          <w:tcPr>
            <w:tcW w:w="27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700" w:type="dxa"/>
            <w:vAlign w:val="bottom"/>
            <w:gridSpan w:val="2"/>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21,039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22,505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25,216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33,780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34,415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33,369</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46,200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41,134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4,436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6,407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5,940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6,107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3,794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6,212</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8,891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2,957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9,983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10,933</w:t>
            </w:r>
          </w:p>
        </w:tc>
        <w:tc>
          <w:tcPr>
            <w:tcW w:w="0" w:type="dxa"/>
            <w:vAlign w:val="bottom"/>
          </w:tcPr>
          <w:p>
            <w:pPr>
              <w:spacing w:after="0"/>
              <w:rPr>
                <w:sz w:val="1"/>
                <w:szCs w:val="1"/>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3"/>
                <w:szCs w:val="13"/>
                <w:color w:val="auto"/>
              </w:rPr>
              <w:t>Other income (expense), net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4,442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5,941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6,109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3,797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6,212</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8,888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2,908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9,971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10,953</w:t>
            </w:r>
          </w:p>
        </w:tc>
        <w:tc>
          <w:tcPr>
            <w:tcW w:w="0" w:type="dxa"/>
            <w:vAlign w:val="bottom"/>
          </w:tcPr>
          <w:p>
            <w:pPr>
              <w:spacing w:after="0"/>
              <w:rPr>
                <w:sz w:val="1"/>
                <w:szCs w:val="1"/>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3"/>
                <w:szCs w:val="13"/>
                <w:color w:val="auto"/>
              </w:rPr>
              <w:t>Provision (benefit) for income taxes</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(26,111)</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4,406</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4,090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4,253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6,135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5,688</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5,788</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3,711</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6,071</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8,742</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29,019</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5,565</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6,863</w:t>
            </w:r>
          </w:p>
        </w:tc>
        <w:tc>
          <w:tcPr>
            <w:tcW w:w="0" w:type="dxa"/>
            <w:vAlign w:val="bottom"/>
          </w:tcPr>
          <w:p>
            <w:pPr>
              <w:spacing w:after="0"/>
              <w:rPr>
                <w:sz w:val="1"/>
                <w:szCs w:val="1"/>
                <w:color w:val="auto"/>
              </w:rPr>
            </w:pPr>
          </w:p>
        </w:tc>
      </w:tr>
      <w:tr>
        <w:trPr>
          <w:trHeight w:val="26"/>
        </w:trPr>
        <w:tc>
          <w:tcPr>
            <w:tcW w:w="2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Non-GAAP Financial Data:</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5,053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6,945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4,986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8,335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10,290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11,266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11,778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13,433</w:t>
            </w:r>
          </w:p>
        </w:tc>
        <w:tc>
          <w:tcPr>
            <w:tcW w:w="0" w:type="dxa"/>
            <w:vAlign w:val="bottom"/>
          </w:tcPr>
          <w:p>
            <w:pPr>
              <w:spacing w:after="0"/>
              <w:rPr>
                <w:sz w:val="1"/>
                <w:szCs w:val="1"/>
                <w:color w:val="auto"/>
              </w:rPr>
            </w:pPr>
          </w:p>
        </w:tc>
      </w:tr>
      <w:tr>
        <w:trPr>
          <w:trHeight w:val="170"/>
        </w:trPr>
        <w:tc>
          <w:tcPr>
            <w:tcW w:w="2700" w:type="dxa"/>
            <w:vAlign w:val="bottom"/>
            <w:gridSpan w:val="2"/>
          </w:tcPr>
          <w:p>
            <w:pPr>
              <w:spacing w:after="0" w:line="171" w:lineRule="exact"/>
              <w:rPr>
                <w:sz w:val="20"/>
                <w:szCs w:val="20"/>
                <w:color w:val="auto"/>
              </w:rPr>
            </w:pPr>
            <w:r>
              <w:rPr>
                <w:rFonts w:ascii="Arial" w:cs="Arial" w:eastAsia="Arial" w:hAnsi="Arial"/>
                <w:sz w:val="12"/>
                <w:szCs w:val="12"/>
                <w:color w:val="auto"/>
              </w:rPr>
              <w:t>Non-GAAP net income</w:t>
            </w:r>
            <w:r>
              <w:rPr>
                <w:rFonts w:ascii="Arial" w:cs="Arial" w:eastAsia="Arial" w:hAnsi="Arial"/>
                <w:sz w:val="19"/>
                <w:szCs w:val="19"/>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4,568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6,577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6,261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6,507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4,360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7,530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9,401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6,630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6,132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7,837</w:t>
            </w:r>
          </w:p>
        </w:tc>
        <w:tc>
          <w:tcPr>
            <w:tcW w:w="0" w:type="dxa"/>
            <w:vAlign w:val="bottom"/>
          </w:tcPr>
          <w:p>
            <w:pPr>
              <w:spacing w:after="0"/>
              <w:rPr>
                <w:sz w:val="1"/>
                <w:szCs w:val="1"/>
                <w:color w:val="auto"/>
              </w:rPr>
            </w:pPr>
          </w:p>
        </w:tc>
      </w:tr>
      <w:tr>
        <w:trPr>
          <w:trHeight w:val="170"/>
        </w:trPr>
        <w:tc>
          <w:tcPr>
            <w:tcW w:w="27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Free cash flow</w:t>
            </w:r>
            <w:r>
              <w:rPr>
                <w:rFonts w:ascii="Arial" w:cs="Arial" w:eastAsia="Arial" w:hAnsi="Arial"/>
                <w:sz w:val="19"/>
                <w:szCs w:val="19"/>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9,556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8,303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8,560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2,145</w:t>
            </w:r>
          </w:p>
        </w:tc>
        <w:tc>
          <w:tcPr>
            <w:tcW w:w="0" w:type="dxa"/>
            <w:vAlign w:val="bottom"/>
          </w:tcPr>
          <w:p>
            <w:pPr>
              <w:spacing w:after="0"/>
              <w:rPr>
                <w:sz w:val="1"/>
                <w:szCs w:val="1"/>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See "Selected Consolidated Financial Data—Non-GAAP Financial Measures" as to how we define and calculate Adjusted EBITDA and a discussion about the limitations of Adjusted EBITDA, and see below for a reconciliation between Adjusted EBITDA and net income, the most directly comparable GAAP financial measure.</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See "Selected Consolidated Financial Data—Non-GAAP Financial Measures" as to how we define and calculate Non-GAAP net income and a discussion about the limitations of Non-GAAP net income, and see below for a reconciliation between Non-GAAP net income and net income, the most directly comparable GAAP financial measure.</w:t>
      </w:r>
    </w:p>
    <w:p>
      <w:pPr>
        <w:spacing w:after="0" w:line="77" w:lineRule="exact"/>
        <w:rPr>
          <w:rFonts w:ascii="Arial" w:cs="Arial" w:eastAsia="Arial" w:hAnsi="Arial"/>
          <w:sz w:val="12"/>
          <w:szCs w:val="12"/>
          <w:color w:val="auto"/>
        </w:rPr>
      </w:pPr>
    </w:p>
    <w:p>
      <w:pPr>
        <w:ind w:left="1680" w:hanging="533"/>
        <w:spacing w:after="0" w:line="297"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See "Selected Consolidated Financial Data—Non-GAAP Financial Measures" as to how we define and calculate Free Cash Flow and a discussion about the limitations of Free Cash Flow, and see below for a reconciliation between Free Cash Flow and net cash provided by operating activities, the most directly comparable GAAP financial measure.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unaudited quarterly results of operations as a percentage of revenue: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3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6"/>
              </w:rPr>
              <w:t>Three Months Ended</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7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rPr>
              <w:t>Mar 31,</w:t>
            </w:r>
          </w:p>
        </w:tc>
        <w:tc>
          <w:tcPr>
            <w:tcW w:w="66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rPr>
              <w:t>Jun 30,</w:t>
            </w:r>
          </w:p>
        </w:tc>
        <w:tc>
          <w:tcPr>
            <w:tcW w:w="68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Sep 30,</w:t>
            </w:r>
          </w:p>
        </w:tc>
        <w:tc>
          <w:tcPr>
            <w:tcW w:w="6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2"/>
              </w:rPr>
              <w:t>Dec 31,</w:t>
            </w:r>
          </w:p>
        </w:tc>
        <w:tc>
          <w:tcPr>
            <w:tcW w:w="72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Mar 31,</w:t>
            </w:r>
          </w:p>
        </w:tc>
        <w:tc>
          <w:tcPr>
            <w:tcW w:w="66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rPr>
              <w:t>Jun 30,</w:t>
            </w:r>
          </w:p>
        </w:tc>
        <w:tc>
          <w:tcPr>
            <w:tcW w:w="72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Sept 30,</w:t>
            </w:r>
          </w:p>
        </w:tc>
        <w:tc>
          <w:tcPr>
            <w:tcW w:w="68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Dec 31,</w:t>
            </w:r>
          </w:p>
        </w:tc>
        <w:tc>
          <w:tcPr>
            <w:tcW w:w="7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rPr>
              <w:t>Mar 31,</w:t>
            </w:r>
          </w:p>
        </w:tc>
        <w:tc>
          <w:tcPr>
            <w:tcW w:w="560" w:type="dxa"/>
            <w:vAlign w:val="bottom"/>
          </w:tcPr>
          <w:p>
            <w:pPr>
              <w:jc w:val="right"/>
              <w:ind w:right="14"/>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w w:val="98"/>
              </w:rPr>
              <w:t>Consolidated Statement of Operations</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Data as a percentage of revenue:</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7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100%</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100%</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100%</w:t>
            </w:r>
          </w:p>
        </w:tc>
        <w:tc>
          <w:tcPr>
            <w:tcW w:w="7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100%</w:t>
            </w:r>
          </w:p>
        </w:tc>
        <w:tc>
          <w:tcPr>
            <w:tcW w:w="7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expenses: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tcPr>
          <w:p>
            <w:pPr>
              <w:ind w:left="140"/>
              <w:spacing w:after="0" w:line="144" w:lineRule="exact"/>
              <w:rPr>
                <w:sz w:val="20"/>
                <w:szCs w:val="20"/>
                <w:color w:val="auto"/>
              </w:rPr>
            </w:pPr>
            <w:r>
              <w:rPr>
                <w:rFonts w:ascii="Arial" w:cs="Arial" w:eastAsia="Arial" w:hAnsi="Arial"/>
                <w:sz w:val="13"/>
                <w:szCs w:val="13"/>
                <w:color w:val="auto"/>
              </w:rPr>
              <w:t>Cost of revenue</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40</w:t>
            </w: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38</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37</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37</w:t>
            </w:r>
          </w:p>
        </w:tc>
        <w:tc>
          <w:tcPr>
            <w:tcW w:w="7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39</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w:t>
            </w:r>
          </w:p>
        </w:tc>
        <w:tc>
          <w:tcPr>
            <w:tcW w:w="7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39</w:t>
            </w: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27</w:t>
            </w: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24</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27</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32</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27</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23</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24</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23</w:t>
            </w: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4"/>
        </w:trPr>
        <w:tc>
          <w:tcPr>
            <w:tcW w:w="2360" w:type="dxa"/>
            <w:vAlign w:val="bottom"/>
          </w:tcPr>
          <w:p>
            <w:pPr>
              <w:ind w:left="140"/>
              <w:spacing w:after="0" w:line="144" w:lineRule="exact"/>
              <w:rPr>
                <w:sz w:val="20"/>
                <w:szCs w:val="20"/>
                <w:color w:val="auto"/>
              </w:rPr>
            </w:pPr>
            <w:r>
              <w:rPr>
                <w:rFonts w:ascii="Arial" w:cs="Arial" w:eastAsia="Arial" w:hAnsi="Arial"/>
                <w:sz w:val="13"/>
                <w:szCs w:val="13"/>
                <w:color w:val="auto"/>
              </w:rPr>
              <w:t>Product development</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w:t>
            </w: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8</w:t>
            </w:r>
          </w:p>
        </w:tc>
        <w:tc>
          <w:tcPr>
            <w:tcW w:w="7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7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12</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General and administrative</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w:t>
            </w: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11</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20</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w:t>
            </w: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6"/>
        </w:trPr>
        <w:tc>
          <w:tcPr>
            <w:tcW w:w="236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70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from operations</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18</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22</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19</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17</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15</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21</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20</w:t>
            </w:r>
          </w:p>
        </w:tc>
        <w:tc>
          <w:tcPr>
            <w:tcW w:w="7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before income taxes</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18</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22</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19</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17</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15</w:t>
            </w:r>
          </w:p>
        </w:tc>
        <w:tc>
          <w:tcPr>
            <w:tcW w:w="7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21</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20</w:t>
            </w:r>
          </w:p>
        </w:tc>
        <w:tc>
          <w:tcPr>
            <w:tcW w:w="7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20"/>
                <w:szCs w:val="20"/>
                <w:color w:val="auto"/>
              </w:rPr>
            </w:pPr>
            <w:r>
              <w:rPr>
                <w:rFonts w:ascii="Arial" w:cs="Arial" w:eastAsia="Arial" w:hAnsi="Arial"/>
                <w:sz w:val="13"/>
                <w:szCs w:val="13"/>
                <w:color w:val="auto"/>
              </w:rPr>
              <w:t>Provision (benefit) for income taxes</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Net income</w:t>
            </w:r>
          </w:p>
        </w:tc>
        <w:tc>
          <w:tcPr>
            <w:tcW w:w="7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17%</w:t>
            </w:r>
          </w:p>
        </w:tc>
        <w:tc>
          <w:tcPr>
            <w:tcW w:w="6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21%</w:t>
            </w:r>
          </w:p>
        </w:tc>
        <w:tc>
          <w:tcPr>
            <w:tcW w:w="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18%</w:t>
            </w:r>
          </w:p>
        </w:tc>
        <w:tc>
          <w:tcPr>
            <w:tcW w:w="6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7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21%</w:t>
            </w:r>
          </w:p>
        </w:tc>
        <w:tc>
          <w:tcPr>
            <w:tcW w:w="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59%</w:t>
            </w:r>
          </w:p>
        </w:tc>
        <w:tc>
          <w:tcPr>
            <w:tcW w:w="7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11%</w:t>
            </w: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Adjusted EBITDA to net income for each of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3"/>
              </w:rPr>
              <w:t>Three Months Ended</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680" w:type="dxa"/>
            <w:vAlign w:val="bottom"/>
            <w:gridSpan w:val="4"/>
          </w:tcPr>
          <w:p>
            <w:pPr>
              <w:jc w:val="right"/>
              <w:ind w:right="160"/>
              <w:spacing w:after="0" w:line="124" w:lineRule="exact"/>
              <w:rPr>
                <w:sz w:val="20"/>
                <w:szCs w:val="20"/>
                <w:color w:val="auto"/>
              </w:rPr>
            </w:pPr>
            <w:r>
              <w:rPr>
                <w:rFonts w:ascii="Arial" w:cs="Arial" w:eastAsia="Arial" w:hAnsi="Arial"/>
                <w:sz w:val="13"/>
                <w:szCs w:val="13"/>
                <w:b w:val="1"/>
                <w:bCs w:val="1"/>
                <w:color w:val="auto"/>
              </w:rPr>
              <w:t>Mar 31,</w:t>
            </w:r>
          </w:p>
        </w:tc>
        <w:tc>
          <w:tcPr>
            <w:tcW w:w="62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3"/>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Sep 30,</w:t>
            </w:r>
          </w:p>
        </w:tc>
        <w:tc>
          <w:tcPr>
            <w:tcW w:w="620" w:type="dxa"/>
            <w:vAlign w:val="bottom"/>
            <w:gridSpan w:val="3"/>
          </w:tcPr>
          <w:p>
            <w:pPr>
              <w:jc w:val="right"/>
              <w:ind w:right="140"/>
              <w:spacing w:after="0" w:line="124" w:lineRule="exact"/>
              <w:rPr>
                <w:sz w:val="20"/>
                <w:szCs w:val="20"/>
                <w:color w:val="auto"/>
              </w:rPr>
            </w:pPr>
            <w:r>
              <w:rPr>
                <w:rFonts w:ascii="Arial" w:cs="Arial" w:eastAsia="Arial" w:hAnsi="Arial"/>
                <w:sz w:val="13"/>
                <w:szCs w:val="13"/>
                <w:b w:val="1"/>
                <w:bCs w:val="1"/>
                <w:color w:val="auto"/>
              </w:rPr>
              <w:t>Dec 31,</w:t>
            </w:r>
          </w:p>
        </w:tc>
        <w:tc>
          <w:tcPr>
            <w:tcW w:w="68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Mar 31,</w:t>
            </w:r>
          </w:p>
        </w:tc>
        <w:tc>
          <w:tcPr>
            <w:tcW w:w="620" w:type="dxa"/>
            <w:vAlign w:val="bottom"/>
            <w:gridSpan w:val="3"/>
          </w:tcPr>
          <w:p>
            <w:pPr>
              <w:jc w:val="right"/>
              <w:ind w:right="140"/>
              <w:spacing w:after="0" w:line="124"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4"/>
              </w:rPr>
              <w:t>Sept 30,</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87"/>
              </w:rPr>
              <w:t>Dec 31,</w:t>
            </w:r>
          </w:p>
        </w:tc>
        <w:tc>
          <w:tcPr>
            <w:tcW w:w="66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8"/>
              </w:rPr>
              <w:t>Mar 31,</w:t>
            </w:r>
          </w:p>
        </w:tc>
        <w:tc>
          <w:tcPr>
            <w:tcW w:w="80" w:type="dxa"/>
            <w:vAlign w:val="bottom"/>
          </w:tcPr>
          <w:p>
            <w:pPr>
              <w:spacing w:after="0"/>
              <w:rPr>
                <w:sz w:val="10"/>
                <w:szCs w:val="10"/>
                <w:color w:val="auto"/>
              </w:rPr>
            </w:pPr>
          </w:p>
        </w:tc>
        <w:tc>
          <w:tcPr>
            <w:tcW w:w="500" w:type="dxa"/>
            <w:vAlign w:val="bottom"/>
          </w:tcPr>
          <w:p>
            <w:pPr>
              <w:jc w:val="right"/>
              <w:ind w:right="14"/>
              <w:spacing w:after="0" w:line="124" w:lineRule="exact"/>
              <w:rPr>
                <w:sz w:val="20"/>
                <w:szCs w:val="20"/>
                <w:color w:val="auto"/>
              </w:rPr>
            </w:pPr>
            <w:r>
              <w:rPr>
                <w:rFonts w:ascii="Arial" w:cs="Arial" w:eastAsia="Arial" w:hAnsi="Arial"/>
                <w:sz w:val="13"/>
                <w:szCs w:val="13"/>
                <w:b w:val="1"/>
                <w:bCs w:val="1"/>
                <w:color w:val="auto"/>
                <w:w w:val="89"/>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4"/>
              <w:spacing w:after="0" w:line="138" w:lineRule="exact"/>
              <w:rPr>
                <w:sz w:val="20"/>
                <w:szCs w:val="20"/>
                <w:color w:val="auto"/>
              </w:rPr>
            </w:pPr>
            <w:r>
              <w:rPr>
                <w:rFonts w:ascii="Arial" w:cs="Arial" w:eastAsia="Arial" w:hAnsi="Arial"/>
                <w:sz w:val="13"/>
                <w:szCs w:val="13"/>
                <w:b w:val="1"/>
                <w:bCs w:val="1"/>
                <w:color w:val="auto"/>
              </w:rPr>
              <w:t>(in</w:t>
            </w:r>
          </w:p>
        </w:tc>
        <w:tc>
          <w:tcPr>
            <w:tcW w:w="62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Reconciliation of Net Income to Adjusted</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EBITDA:</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4,253</w:t>
            </w:r>
          </w:p>
        </w:tc>
        <w:tc>
          <w:tcPr>
            <w:tcW w:w="6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6,135</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5,688</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5,788</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3,711</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6,071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8,742</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29,019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5,565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6,863</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Non-GAAP adjustments: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140"/>
              <w:spacing w:after="0" w:line="144" w:lineRule="exact"/>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2"/>
                <w:szCs w:val="12"/>
                <w:color w:val="auto"/>
              </w:rPr>
            </w:pPr>
          </w:p>
        </w:tc>
        <w:tc>
          <w:tcPr>
            <w:tcW w:w="4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288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336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407</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489</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528</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632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729</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751</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779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Non-cash equity-based compensation</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462</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733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7,558</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1,554</w:t>
            </w:r>
          </w:p>
        </w:tc>
        <w:tc>
          <w:tcPr>
            <w:tcW w:w="0" w:type="dxa"/>
            <w:vAlign w:val="bottom"/>
          </w:tcPr>
          <w:p>
            <w:pPr>
              <w:spacing w:after="0"/>
              <w:rPr>
                <w:sz w:val="1"/>
                <w:szCs w:val="1"/>
                <w:color w:val="auto"/>
              </w:rPr>
            </w:pPr>
          </w:p>
        </w:tc>
      </w:tr>
      <w:tr>
        <w:trPr>
          <w:trHeight w:val="144"/>
        </w:trPr>
        <w:tc>
          <w:tcPr>
            <w:tcW w:w="2620" w:type="dxa"/>
            <w:vAlign w:val="bottom"/>
          </w:tcPr>
          <w:p>
            <w:pPr>
              <w:ind w:left="140"/>
              <w:spacing w:after="0" w:line="144" w:lineRule="exact"/>
              <w:rPr>
                <w:sz w:val="20"/>
                <w:szCs w:val="20"/>
                <w:color w:val="auto"/>
              </w:rPr>
            </w:pPr>
            <w:r>
              <w:rPr>
                <w:rFonts w:ascii="Arial" w:cs="Arial" w:eastAsia="Arial" w:hAnsi="Arial"/>
                <w:sz w:val="13"/>
                <w:szCs w:val="13"/>
                <w:color w:val="auto"/>
              </w:rPr>
              <w:t>Other income (expense), net</w:t>
            </w:r>
          </w:p>
        </w:tc>
        <w:tc>
          <w:tcPr>
            <w:tcW w:w="140" w:type="dxa"/>
            <w:vAlign w:val="bottom"/>
          </w:tcPr>
          <w:p>
            <w:pPr>
              <w:spacing w:after="0"/>
              <w:rPr>
                <w:sz w:val="12"/>
                <w:szCs w:val="12"/>
                <w:color w:val="auto"/>
              </w:rPr>
            </w:pPr>
          </w:p>
        </w:tc>
        <w:tc>
          <w:tcPr>
            <w:tcW w:w="54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5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Provision (benefit) for income taxes</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189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321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(26,111)</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4,406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4,090</w:t>
            </w:r>
          </w:p>
        </w:tc>
        <w:tc>
          <w:tcPr>
            <w:tcW w:w="0" w:type="dxa"/>
            <w:vAlign w:val="bottom"/>
          </w:tcPr>
          <w:p>
            <w:pPr>
              <w:spacing w:after="0"/>
              <w:rPr>
                <w:sz w:val="1"/>
                <w:szCs w:val="1"/>
                <w:color w:val="auto"/>
              </w:rPr>
            </w:pPr>
          </w:p>
        </w:tc>
      </w:tr>
      <w:tr>
        <w:trPr>
          <w:trHeight w:val="26"/>
        </w:trPr>
        <w:tc>
          <w:tcPr>
            <w:tcW w:w="2620" w:type="dxa"/>
            <w:vAlign w:val="bottom"/>
            <w:vMerge w:val="restart"/>
          </w:tcPr>
          <w:p>
            <w:pPr>
              <w:ind w:left="280"/>
              <w:spacing w:after="0"/>
              <w:rPr>
                <w:sz w:val="20"/>
                <w:szCs w:val="20"/>
                <w:color w:val="auto"/>
              </w:rPr>
            </w:pPr>
            <w:r>
              <w:rPr>
                <w:rFonts w:ascii="Arial" w:cs="Arial" w:eastAsia="Arial" w:hAnsi="Arial"/>
                <w:sz w:val="13"/>
                <w:szCs w:val="13"/>
                <w:color w:val="auto"/>
              </w:rPr>
              <w:t>Adjusted EBITDA</w:t>
            </w: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5,053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7,205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7,329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8,335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10,290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11,266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11,778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13,433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Non-GAAP net income to net income for each of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93"/>
              </w:rPr>
              <w:t>Three Months Ended</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640" w:type="dxa"/>
            <w:vAlign w:val="bottom"/>
          </w:tcPr>
          <w:p>
            <w:pPr>
              <w:spacing w:after="0"/>
              <w:rPr>
                <w:sz w:val="10"/>
                <w:szCs w:val="10"/>
                <w:color w:val="auto"/>
              </w:rPr>
            </w:pPr>
          </w:p>
        </w:tc>
        <w:tc>
          <w:tcPr>
            <w:tcW w:w="660" w:type="dxa"/>
            <w:vAlign w:val="bottom"/>
            <w:gridSpan w:val="3"/>
          </w:tcPr>
          <w:p>
            <w:pPr>
              <w:jc w:val="right"/>
              <w:ind w:right="140"/>
              <w:spacing w:after="0" w:line="124" w:lineRule="exact"/>
              <w:rPr>
                <w:sz w:val="20"/>
                <w:szCs w:val="20"/>
                <w:color w:val="auto"/>
              </w:rPr>
            </w:pPr>
            <w:r>
              <w:rPr>
                <w:rFonts w:ascii="Arial" w:cs="Arial" w:eastAsia="Arial" w:hAnsi="Arial"/>
                <w:sz w:val="13"/>
                <w:szCs w:val="13"/>
                <w:b w:val="1"/>
                <w:bCs w:val="1"/>
                <w:color w:val="auto"/>
              </w:rPr>
              <w:t>Mar 31,</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9"/>
              </w:rPr>
              <w:t>Jun 30,</w:t>
            </w:r>
          </w:p>
        </w:tc>
        <w:tc>
          <w:tcPr>
            <w:tcW w:w="62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87"/>
              </w:rPr>
              <w:t>Sep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Dec 31,</w:t>
            </w:r>
          </w:p>
        </w:tc>
        <w:tc>
          <w:tcPr>
            <w:tcW w:w="66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4"/>
              </w:rPr>
              <w:t>Sept 30,</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w w:val="87"/>
              </w:rPr>
              <w:t>Dec 31,</w:t>
            </w:r>
          </w:p>
        </w:tc>
        <w:tc>
          <w:tcPr>
            <w:tcW w:w="660" w:type="dxa"/>
            <w:vAlign w:val="bottom"/>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w w:val="98"/>
              </w:rPr>
              <w:t>Mar 31,</w:t>
            </w:r>
          </w:p>
        </w:tc>
        <w:tc>
          <w:tcPr>
            <w:tcW w:w="560" w:type="dxa"/>
            <w:vAlign w:val="bottom"/>
            <w:gridSpan w:val="2"/>
          </w:tcPr>
          <w:p>
            <w:pPr>
              <w:jc w:val="right"/>
              <w:ind w:right="14"/>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r>
      <w:tr>
        <w:trPr>
          <w:trHeight w:val="157"/>
        </w:trPr>
        <w:tc>
          <w:tcPr>
            <w:tcW w:w="2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6"/>
              </w:rPr>
              <w:t>2011</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2013</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3"/>
                <w:szCs w:val="13"/>
                <w:color w:val="auto"/>
              </w:rPr>
            </w:pPr>
          </w:p>
        </w:tc>
      </w:tr>
      <w:tr>
        <w:trPr>
          <w:trHeight w:val="137"/>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94"/>
              <w:spacing w:after="0" w:line="138"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3"/>
          </w:tcPr>
          <w:p>
            <w:pPr>
              <w:jc w:val="right"/>
              <w:ind w:right="94"/>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26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8"/>
              </w:rPr>
              <w:t>Reconciliation of Net Income to Non-GAAP</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7"/>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Net Income:</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44"/>
        </w:trPr>
        <w:tc>
          <w:tcPr>
            <w:tcW w:w="2640" w:type="dxa"/>
            <w:vAlign w:val="bottom"/>
          </w:tcPr>
          <w:p>
            <w:pPr>
              <w:spacing w:after="0" w:line="144" w:lineRule="exact"/>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4,253</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6,135</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5,688</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5,788</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3,711</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6,071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8,742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29,019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5,565</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6,863</w:t>
            </w:r>
          </w:p>
        </w:tc>
      </w:tr>
      <w:tr>
        <w:trPr>
          <w:trHeight w:val="144"/>
        </w:trPr>
        <w:tc>
          <w:tcPr>
            <w:tcW w:w="2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Non-GAAP adjustments: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One-time tax benefit due to the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2640" w:type="dxa"/>
            <w:vAlign w:val="bottom"/>
          </w:tcPr>
          <w:p>
            <w:pPr>
              <w:ind w:left="280"/>
              <w:spacing w:after="0"/>
              <w:rPr>
                <w:sz w:val="20"/>
                <w:szCs w:val="20"/>
                <w:color w:val="auto"/>
              </w:rPr>
            </w:pPr>
            <w:r>
              <w:rPr>
                <w:rFonts w:ascii="Arial" w:cs="Arial" w:eastAsia="Arial" w:hAnsi="Arial"/>
                <w:sz w:val="13"/>
                <w:szCs w:val="13"/>
                <w:color w:val="auto"/>
              </w:rPr>
              <w:t>Reorganization</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(28,811)</w:t>
            </w:r>
          </w:p>
        </w:tc>
        <w:tc>
          <w:tcPr>
            <w:tcW w:w="12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4"/>
        </w:trPr>
        <w:tc>
          <w:tcPr>
            <w:tcW w:w="264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Non-cash equity-based compensation</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462</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664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670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7,558</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1,554</w:t>
            </w:r>
          </w:p>
        </w:tc>
      </w:tr>
      <w:tr>
        <w:trPr>
          <w:trHeight w:val="135"/>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Non-cash equity-based compensation tax</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2"/>
        </w:trPr>
        <w:tc>
          <w:tcPr>
            <w:tcW w:w="2640" w:type="dxa"/>
            <w:vAlign w:val="bottom"/>
          </w:tcPr>
          <w:p>
            <w:pPr>
              <w:ind w:left="280"/>
              <w:spacing w:after="0"/>
              <w:rPr>
                <w:sz w:val="20"/>
                <w:szCs w:val="20"/>
                <w:color w:val="auto"/>
              </w:rPr>
            </w:pPr>
            <w:r>
              <w:rPr>
                <w:rFonts w:ascii="Arial" w:cs="Arial" w:eastAsia="Arial" w:hAnsi="Arial"/>
                <w:sz w:val="13"/>
                <w:szCs w:val="13"/>
                <w:color w:val="auto"/>
              </w:rPr>
              <w:t>benefit</w:t>
            </w: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(1,136)</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(449)</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(580)</w:t>
            </w:r>
          </w:p>
        </w:tc>
      </w:tr>
      <w:tr>
        <w:trPr>
          <w:trHeight w:val="20"/>
        </w:trPr>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4"/>
        </w:trPr>
        <w:tc>
          <w:tcPr>
            <w:tcW w:w="264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Non-GAAP net income</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6,577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6,261</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6,507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4,360</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7,530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9,401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6,630</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6,132</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7,837</w:t>
            </w:r>
          </w:p>
        </w:tc>
      </w:tr>
      <w:tr>
        <w:trPr>
          <w:trHeight w:val="26"/>
        </w:trPr>
        <w:tc>
          <w:tcPr>
            <w:tcW w:w="2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for each of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w w:val="94"/>
              </w:rPr>
              <w:t>Three Months Ended</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680" w:type="dxa"/>
            <w:vAlign w:val="bottom"/>
          </w:tcPr>
          <w:p>
            <w:pPr>
              <w:spacing w:after="0"/>
              <w:rPr>
                <w:sz w:val="10"/>
                <w:szCs w:val="10"/>
                <w:color w:val="auto"/>
              </w:rPr>
            </w:pPr>
          </w:p>
        </w:tc>
        <w:tc>
          <w:tcPr>
            <w:tcW w:w="66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8"/>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62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87"/>
              </w:rPr>
              <w:t>Sep 30,</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line="124" w:lineRule="exact"/>
              <w:rPr>
                <w:sz w:val="20"/>
                <w:szCs w:val="20"/>
                <w:color w:val="auto"/>
              </w:rPr>
            </w:pPr>
            <w:r>
              <w:rPr>
                <w:rFonts w:ascii="Arial" w:cs="Arial" w:eastAsia="Arial" w:hAnsi="Arial"/>
                <w:sz w:val="13"/>
                <w:szCs w:val="13"/>
                <w:b w:val="1"/>
                <w:bCs w:val="1"/>
                <w:color w:val="auto"/>
                <w:w w:val="87"/>
              </w:rPr>
              <w:t>Dec 31,</w:t>
            </w: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620" w:type="dxa"/>
            <w:vAlign w:val="bottom"/>
            <w:gridSpan w:val="3"/>
          </w:tcPr>
          <w:p>
            <w:pPr>
              <w:jc w:val="right"/>
              <w:ind w:right="140"/>
              <w:spacing w:after="0" w:line="124"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Sept 30,</w:t>
            </w:r>
          </w:p>
        </w:tc>
        <w:tc>
          <w:tcPr>
            <w:tcW w:w="80" w:type="dxa"/>
            <w:vAlign w:val="bottom"/>
          </w:tcPr>
          <w:p>
            <w:pPr>
              <w:spacing w:after="0"/>
              <w:rPr>
                <w:sz w:val="10"/>
                <w:szCs w:val="10"/>
                <w:color w:val="auto"/>
              </w:rPr>
            </w:pP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w w:val="87"/>
              </w:rPr>
              <w:t>Dec 31,</w:t>
            </w:r>
          </w:p>
        </w:tc>
        <w:tc>
          <w:tcPr>
            <w:tcW w:w="660" w:type="dxa"/>
            <w:vAlign w:val="bottom"/>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w w:val="98"/>
              </w:rPr>
              <w:t>Mar 31,</w:t>
            </w:r>
          </w:p>
        </w:tc>
        <w:tc>
          <w:tcPr>
            <w:tcW w:w="560" w:type="dxa"/>
            <w:vAlign w:val="bottom"/>
            <w:gridSpan w:val="2"/>
          </w:tcPr>
          <w:p>
            <w:pPr>
              <w:jc w:val="right"/>
              <w:ind w:right="14"/>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r>
      <w:tr>
        <w:trPr>
          <w:trHeight w:val="157"/>
        </w:trPr>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9"/>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2013</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3"/>
                <w:szCs w:val="13"/>
                <w:color w:val="auto"/>
              </w:rPr>
            </w:pPr>
          </w:p>
        </w:tc>
      </w:tr>
      <w:tr>
        <w:trPr>
          <w:trHeight w:val="137"/>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5"/>
          </w:tcPr>
          <w:p>
            <w:pPr>
              <w:jc w:val="right"/>
              <w:ind w:right="260"/>
              <w:spacing w:after="0" w:line="138" w:lineRule="exact"/>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26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4"/>
              </w:rPr>
              <w:t>Reconciliation of Free Cash Flow to Net Cash</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7"/>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Provided by Operating Activities:</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44"/>
        </w:trPr>
        <w:tc>
          <w:tcPr>
            <w:tcW w:w="2680" w:type="dxa"/>
            <w:vAlign w:val="bottom"/>
          </w:tcPr>
          <w:p>
            <w:pPr>
              <w:spacing w:after="0" w:line="144" w:lineRule="exact"/>
              <w:rPr>
                <w:sz w:val="20"/>
                <w:szCs w:val="20"/>
                <w:color w:val="auto"/>
              </w:rPr>
            </w:pPr>
            <w:r>
              <w:rPr>
                <w:rFonts w:ascii="Arial" w:cs="Arial" w:eastAsia="Arial" w:hAnsi="Arial"/>
                <w:sz w:val="13"/>
                <w:szCs w:val="13"/>
                <w:color w:val="auto"/>
              </w:rPr>
              <w:t>Net cash provided by operating activities</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10,367</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9,570</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9,517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10,093</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9,815</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9,107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13,966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12,646</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13,790</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4,024</w:t>
            </w:r>
          </w:p>
        </w:tc>
      </w:tr>
      <w:tr>
        <w:trPr>
          <w:trHeight w:val="144"/>
        </w:trPr>
        <w:tc>
          <w:tcPr>
            <w:tcW w:w="26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 income (expense), net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w:t>
            </w:r>
          </w:p>
        </w:tc>
      </w:tr>
      <w:tr>
        <w:trPr>
          <w:trHeight w:val="168"/>
        </w:trPr>
        <w:tc>
          <w:tcPr>
            <w:tcW w:w="268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(805)</w:t>
            </w:r>
          </w:p>
        </w:tc>
        <w:tc>
          <w:tcPr>
            <w:tcW w:w="1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(675)</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(1,252)</w:t>
            </w: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(1,358)</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(597)</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(601)</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(1,859)</w:t>
            </w:r>
          </w:p>
        </w:tc>
      </w:tr>
      <w:tr>
        <w:trPr>
          <w:trHeight w:val="20"/>
        </w:trPr>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0"/>
        </w:trPr>
        <w:tc>
          <w:tcPr>
            <w:tcW w:w="2680" w:type="dxa"/>
            <w:vAlign w:val="bottom"/>
            <w:shd w:val="clear" w:color="auto" w:fill="CCEEFF"/>
          </w:tcPr>
          <w:p>
            <w:pPr>
              <w:ind w:left="280"/>
              <w:spacing w:after="0" w:line="140" w:lineRule="exact"/>
              <w:rPr>
                <w:sz w:val="20"/>
                <w:szCs w:val="20"/>
                <w:color w:val="auto"/>
              </w:rPr>
            </w:pPr>
            <w:r>
              <w:rPr>
                <w:rFonts w:ascii="Arial" w:cs="Arial" w:eastAsia="Arial" w:hAnsi="Arial"/>
                <w:sz w:val="13"/>
                <w:szCs w:val="13"/>
                <w:color w:val="auto"/>
              </w:rPr>
              <w:t>Free cash flow</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9,556</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8,820</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8,303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9,416</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8,560</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7,747</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13,372</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12,094</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12,675</w:t>
            </w:r>
          </w:p>
        </w:tc>
        <w:tc>
          <w:tcPr>
            <w:tcW w:w="1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2,145</w:t>
            </w:r>
          </w:p>
        </w:tc>
      </w:tr>
      <w:tr>
        <w:trPr>
          <w:trHeight w:val="26"/>
        </w:trPr>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Trends</w:t>
      </w:r>
    </w:p>
    <w:p>
      <w:pPr>
        <w:spacing w:after="0" w:line="224"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5"/>
          <w:szCs w:val="15"/>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 tends to be smoother and less volatile than if we had no subscription-based customers.</w:t>
      </w:r>
    </w:p>
    <w:p>
      <w:pPr>
        <w:spacing w:after="0" w:line="159"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7"/>
          <w:szCs w:val="17"/>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As of June 30, 2013, we had cash and cash equivalents of $112.8 million, which primarily consisted of money market mutual funds and checking accounts. Since inception, we have financed our operations primarily through cash flow generated from operations. In addition, in October 2012, we received $76.9 million of net proceeds from our IPO.</w:t>
      </w:r>
    </w:p>
    <w:p>
      <w:pPr>
        <w:spacing w:after="0" w:line="179"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Historically, our principal uses of cash have been funding our operations, capital expenditures and distributions to members. On October 4, 2012, we made a final distribution to the LLC members representing all undistributed earnings. The final distribution approximated all of the cash generated from the operations of the LLC through October 4, 2012. Following this final distribution, no additional distributions were made to members of the LLC. Additionally, following the Reorganization, our tax rate and related tax payments have increased significantly as we became subject to federal, state and additional city income tax.</w:t>
      </w:r>
    </w:p>
    <w:p>
      <w:pPr>
        <w:spacing w:after="0" w:line="169"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color w:val="auto"/>
        </w:rPr>
        <w:t>We entered into a term loan facility in September 2012 that provided for a $12 million term loan. Following the final distribution to members described above, the borrowings from the term loan facility were used to fund the short-term capital needs of our operations following the final distribution to members and our IPO. On December 24, 2012, we paid down $6.0 million of the term loan and on March 25, 2013, we paid off the remaining outstanding balance of $6.0 million. As of June 30, 2013, we had no outstanding debt.</w:t>
      </w:r>
    </w:p>
    <w:p>
      <w:pPr>
        <w:spacing w:after="0" w:line="185" w:lineRule="exact"/>
        <w:rPr>
          <w:sz w:val="20"/>
          <w:szCs w:val="20"/>
          <w:color w:val="auto"/>
        </w:rPr>
      </w:pPr>
    </w:p>
    <w:p>
      <w:pPr>
        <w:jc w:val="both"/>
        <w:ind w:firstLine="360"/>
        <w:spacing w:after="0" w:line="315" w:lineRule="auto"/>
        <w:rPr>
          <w:sz w:val="20"/>
          <w:szCs w:val="20"/>
          <w:color w:val="auto"/>
        </w:rPr>
      </w:pPr>
      <w:r>
        <w:rPr>
          <w:rFonts w:ascii="Arial" w:cs="Arial" w:eastAsia="Arial" w:hAnsi="Arial"/>
          <w:sz w:val="16"/>
          <w:szCs w:val="16"/>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 and our net income, as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We believe, based on our current operating plan, that our existing cash and cash equivalents and cash flow generated from operations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24"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Consistent with previous periods, we expect that future capital expenditures will primarily relate to acquiring additional servers and</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connectivity hardware and software, leasehold improvements and furniture and fixtures related to office expansion and relocation and general corporate infrastructure. We anticipate capital expenditures of approximately $12 million for the final two fiscal quarters of 2013. See Note 7 to our Consolidated Financial Statements included elsewhere in this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 data for 2010, 2011 and 2012 and the six months ended June 30, 2012 and 2013,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9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3"/>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28,726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39,547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45,534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17,814</w:t>
            </w: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(1,219)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(3,419)</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(4,259)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(2,826)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(4,777)</w:t>
            </w:r>
          </w:p>
        </w:tc>
      </w:tr>
      <w:tr>
        <w:trPr>
          <w:trHeight w:val="249"/>
        </w:trPr>
        <w:tc>
          <w:tcPr>
            <w:tcW w:w="474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Net cash (used in) provided by financing activities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(25,900)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(28,575)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46,724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(2,330)</w:t>
            </w:r>
          </w:p>
        </w:tc>
      </w:tr>
      <w:tr>
        <w:trPr>
          <w:trHeight w:val="105"/>
        </w:trPr>
        <w:tc>
          <w:tcPr>
            <w:tcW w:w="9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43"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Comprised of distributions to LLC members for years ended December 31, 2010, 2011, and 2012 and for the six months ended June 30, 2012. Includes net proceeds from the IPO and proceeds of the term loan facility for year ended 2012 and six months ended 2013 includes repayments of the term loan facility. Since the Reorganization, no further distributions to members have been made.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7"/>
          <w:szCs w:val="17"/>
          <w:color w:val="auto"/>
        </w:rPr>
        <w:t>Our primary source of cash from operating activities is cash collections from our customers. The substantial majority of our revenue is generated from credit card transactions, which are typically settled within one to five business days. Our primary uses of cash for operating activities are for settlement of accounts payable to contributors, vendors and personnel-related expenditures.</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In 2010, net cash provided by operating activities was $28.7 million, an increase of 6% compared to 2009, including net income of $18.9 million and non-cash compensation of $1.1 million. Cash inflows from changes in operating assets and liabilities included an increase in deferred revenue of $5.4 million primarily related to an increase in revenue, and an increase in contributor royalties payable of $1.1 million due to increased royalty expenses generated by increased customer download activity.</w:t>
      </w:r>
    </w:p>
    <w:p>
      <w:pPr>
        <w:spacing w:after="0" w:line="185" w:lineRule="exact"/>
        <w:rPr>
          <w:sz w:val="20"/>
          <w:szCs w:val="20"/>
          <w:color w:val="auto"/>
        </w:rPr>
      </w:pPr>
    </w:p>
    <w:p>
      <w:pPr>
        <w:jc w:val="both"/>
        <w:ind w:firstLine="379"/>
        <w:spacing w:after="0" w:line="282" w:lineRule="auto"/>
        <w:rPr>
          <w:sz w:val="20"/>
          <w:szCs w:val="20"/>
          <w:color w:val="auto"/>
        </w:rPr>
      </w:pPr>
      <w:r>
        <w:rPr>
          <w:rFonts w:ascii="Arial" w:cs="Arial" w:eastAsia="Arial" w:hAnsi="Arial"/>
          <w:sz w:val="17"/>
          <w:szCs w:val="17"/>
          <w:color w:val="auto"/>
        </w:rPr>
        <w:t>In 2011, net cash provided by operating activities was $39.5 million, an increase of 38% compared to 2010, including net income of $21.9 million and non-cash compensation of $2.1 million. Cash inflows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changes in operating assets and liabilities included an increase in deferred revenue of $8.8 million, primarily related to an increase in both subscription and On Demand revenue. Accounts payable increased by $5.7 million as trade payables grew in both average size and volume. Additionally, we changed the payment date of our annual performance bonuses and the payment date of a significant trade payable, which together accounted for $2.9 million of the increase. Contributor royalties payable increased by $1.3 million due to increasing royalty expenses generated by increased customer download activity.</w:t>
      </w:r>
    </w:p>
    <w:p>
      <w:pPr>
        <w:spacing w:after="0" w:line="169" w:lineRule="exact"/>
        <w:rPr>
          <w:sz w:val="20"/>
          <w:szCs w:val="20"/>
          <w:color w:val="auto"/>
        </w:rPr>
      </w:pPr>
    </w:p>
    <w:p>
      <w:pPr>
        <w:jc w:val="both"/>
        <w:ind w:firstLine="528"/>
        <w:spacing w:after="0" w:line="281" w:lineRule="auto"/>
        <w:rPr>
          <w:sz w:val="20"/>
          <w:szCs w:val="20"/>
          <w:color w:val="auto"/>
        </w:rPr>
      </w:pPr>
      <w:r>
        <w:rPr>
          <w:rFonts w:ascii="Arial" w:cs="Arial" w:eastAsia="Arial" w:hAnsi="Arial"/>
          <w:sz w:val="16"/>
          <w:szCs w:val="16"/>
          <w:color w:val="auto"/>
        </w:rPr>
        <w:t>In 2012, net cash provided by operating activities was $45.5 million, an increase of 15% compared to the same period in 2011, including net income of $47.5 million which reflected a one-time non-cash tax benefit of $28.8 million as a result of recognition of deferred tax assets resulting from our tax status change to be subject to taxation as a corporation and non-cash compensation of $10.4 million. Cash inflows from changes in operating assets and liabilities included an increase in deferred revenue of $9.5 million, primarily related to an increase in both subscription and On Demand revenue. Accounts payable and other operating liabilities increased by $6.2 million as trade payables grew in both average size and volume and payroll costs increased due to headcount expansion. Contributor royalties payable increased by $1.7 million due to increasing royalty expenses generated by increased customer download activity.</w:t>
      </w:r>
    </w:p>
    <w:p>
      <w:pPr>
        <w:spacing w:after="0" w:line="176"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six months ended June 30, 2013, net cash provided by operating activities was $17.8 million, a decrease of 6% compared to the same period in 2012, including net income of $12.4 million and non-cash equity-based compensation of $2.6 million. Cash inflows from changes in operating assets and liabilities included an increase in deferred revenue of $8.8 million, primarily related to an increase in orders for both subscription and On Demand products. Contributor royalties payable increased by $1.2 million due to increasing royalty expenses generated by increased customer download activity. Conversely, prepaid expenses decreased by $3.7 million primarily due to federal, state and city estimated income tax payments during the period.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Our investing activities have consisted primarily of capital expenditures to purchase software and equipment related to our data centers, as well as capitalization of software and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in 2010 was $1.2 million, primarily consisting of capital expenditures, primarily for server and office equipment.</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Cash used in investing activities in 2011 was $3.4 million, primarily consisting of capital expenditures, primarily for server equipment, office equipment and capitalized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in 2012 was $4.3 million, consisting entirely of capital expenditures, primarily for server and office equipment.</w:t>
      </w:r>
    </w:p>
    <w:p>
      <w:pPr>
        <w:spacing w:after="0" w:line="224"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Cash used in investing activities in the six months ended June 30, 2013 was $4.8 million consisting of capital expenditures to purchase software and equipment related to our data centers, as well as capitalization of leasehold improvements in the amount of $3.0 million and payment of a security deposit of $1.8 million in connection with the lease for our new office facilities.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jc w:val="both"/>
        <w:ind w:firstLine="384"/>
        <w:spacing w:after="0" w:line="265" w:lineRule="auto"/>
        <w:rPr>
          <w:sz w:val="20"/>
          <w:szCs w:val="20"/>
          <w:color w:val="auto"/>
        </w:rPr>
      </w:pPr>
      <w:r>
        <w:rPr>
          <w:rFonts w:ascii="Arial" w:cs="Arial" w:eastAsia="Arial" w:hAnsi="Arial"/>
          <w:sz w:val="17"/>
          <w:szCs w:val="17"/>
          <w:color w:val="auto"/>
        </w:rPr>
        <w:t>Prior to the Reorganization, we made monthly distributions to our members typically equaling the cash in excess of that required for general working capital. In connection with the Reorganization, these distributions ceased. In September 2012, we entered into a term loan facility, which was used to fund our operations prior to the receipt of the proceeds from the IPO and until additional cash flow from operations had been generated following the IPO. This term loan facility was repaid in full on March 25, 2013.</w:t>
      </w:r>
    </w:p>
    <w:p>
      <w:pPr>
        <w:spacing w:after="0" w:line="185" w:lineRule="exact"/>
        <w:rPr>
          <w:sz w:val="20"/>
          <w:szCs w:val="20"/>
          <w:color w:val="auto"/>
        </w:rPr>
      </w:pPr>
    </w:p>
    <w:p>
      <w:pPr>
        <w:jc w:val="both"/>
        <w:ind w:firstLine="480"/>
        <w:spacing w:after="0" w:line="282" w:lineRule="auto"/>
        <w:rPr>
          <w:sz w:val="20"/>
          <w:szCs w:val="20"/>
          <w:color w:val="auto"/>
        </w:rPr>
      </w:pPr>
      <w:r>
        <w:rPr>
          <w:rFonts w:ascii="Arial" w:cs="Arial" w:eastAsia="Arial" w:hAnsi="Arial"/>
          <w:sz w:val="17"/>
          <w:szCs w:val="17"/>
          <w:color w:val="auto"/>
        </w:rPr>
        <w:t>In the years ended December 31, 2010 and 2011, cash used in financing activities was $25.9 million, and $28.6 million, respectively, consisting entirely of distributions to members.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2012, net cash provided by financing activities was $46.7 million and comprised primarily of proceeds from our IPO, net of issuance costs, of $81.8 million and proceeds from our term loan facility of $12.0 million.</w:t>
      </w:r>
    </w:p>
    <w:p>
      <w:pPr>
        <w:spacing w:after="0" w:line="170"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Cash used in financing activities in the six months ended June 30, 2013 was $2.3 million consisting of payment of the remaining outstanding balance of our term loan facility in the amount of $6.0 million offset with proceeds of $2.7 million from the issuance of common stock in connection with the exercise of stock options and the corresponding excess tax benefit of $1.0 million as result of the subsequent disposition of the common stock issued. As of June 30, 2013, we had no outstanding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jc w:val="both"/>
        <w:ind w:firstLine="358"/>
        <w:spacing w:after="0" w:line="311" w:lineRule="auto"/>
        <w:rPr>
          <w:sz w:val="20"/>
          <w:szCs w:val="20"/>
          <w:color w:val="auto"/>
        </w:rPr>
      </w:pPr>
      <w:r>
        <w:rPr>
          <w:rFonts w:ascii="Arial" w:cs="Arial" w:eastAsia="Arial" w:hAnsi="Arial"/>
          <w:sz w:val="15"/>
          <w:szCs w:val="15"/>
          <w:color w:val="auto"/>
        </w:rPr>
        <w:t>We lease office facilities in New York, New York, under operating lease agreements that expire on various dates between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on various dates between 2013 and 2014. We anticipate expanding our co-location facilities, consistent with our historical business model, as our revenue and customer base grow.</w:t>
      </w:r>
    </w:p>
    <w:p>
      <w:pPr>
        <w:spacing w:after="0" w:line="155" w:lineRule="exact"/>
        <w:rPr>
          <w:sz w:val="20"/>
          <w:szCs w:val="20"/>
          <w:color w:val="auto"/>
        </w:rPr>
      </w:pPr>
    </w:p>
    <w:p>
      <w:pPr>
        <w:jc w:val="both"/>
        <w:ind w:firstLine="350"/>
        <w:spacing w:after="0" w:line="287" w:lineRule="auto"/>
        <w:rPr>
          <w:sz w:val="20"/>
          <w:szCs w:val="20"/>
          <w:color w:val="auto"/>
        </w:rPr>
      </w:pPr>
      <w:r>
        <w:rPr>
          <w:rFonts w:ascii="Arial" w:cs="Arial" w:eastAsia="Arial" w:hAnsi="Arial"/>
          <w:sz w:val="16"/>
          <w:szCs w:val="16"/>
          <w:color w:val="auto"/>
        </w:rPr>
        <w:t>On March 21, 2013, we entered into an operating lease agreement to lease new office facilities in New York City. The lease commencement date shall be the later of August 1, 2013 and the date we take possession. The lease term is eleven years from the commencement date and aggregate future minimum lease payments are approximately $42.2 million. The Company also entered into a letter of credit of $1.8 million as a security deposit for the leased facilities. The letter of credit was collateralized by $1.8 million of cash as of June 30, 2013, and as such, is reported as restricted cash on the consolidated balance sheet.</w:t>
      </w:r>
    </w:p>
    <w:p>
      <w:pPr>
        <w:spacing w:after="0" w:line="169"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We do not have any debt or material capital lease obligations, and our property, equipment and software have been purchased primarily with cash. Our future minimum payments under non-cancelable operating leases and purchase obligations were as follows as of December 31, 2012:</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jc w:val="center"/>
              <w:ind w:left="280"/>
              <w:spacing w:after="0"/>
              <w:rPr>
                <w:sz w:val="20"/>
                <w:szCs w:val="20"/>
                <w:color w:val="auto"/>
              </w:rPr>
            </w:pPr>
            <w:r>
              <w:rPr>
                <w:rFonts w:ascii="Arial" w:cs="Arial" w:eastAsia="Arial" w:hAnsi="Arial"/>
                <w:sz w:val="13"/>
                <w:szCs w:val="13"/>
                <w:b w:val="1"/>
                <w:bCs w:val="1"/>
                <w:color w:val="auto"/>
                <w:w w:val="90"/>
              </w:rPr>
              <w:t>Payments Due by Period</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0"/>
              </w:rPr>
              <w:t>Less Than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r>
      <w:tr>
        <w:trPr>
          <w:trHeight w:val="157"/>
        </w:trPr>
        <w:tc>
          <w:tcPr>
            <w:tcW w:w="4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2"/>
              </w:rPr>
              <w:t>1 Year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1-3 Years</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5 Years</w:t>
            </w:r>
          </w:p>
        </w:tc>
        <w:tc>
          <w:tcPr>
            <w:tcW w:w="140" w:type="dxa"/>
            <w:vAlign w:val="bottom"/>
          </w:tcPr>
          <w:p>
            <w:pPr>
              <w:spacing w:after="0"/>
              <w:rPr>
                <w:sz w:val="13"/>
                <w:szCs w:val="13"/>
                <w:color w:val="auto"/>
              </w:rPr>
            </w:pPr>
          </w:p>
        </w:tc>
      </w:tr>
      <w:tr>
        <w:trPr>
          <w:trHeight w:val="137"/>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1,669</w:t>
            </w:r>
          </w:p>
        </w:tc>
        <w:tc>
          <w:tcPr>
            <w:tcW w:w="3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10"/>
        </w:trPr>
        <w:tc>
          <w:tcPr>
            <w:tcW w:w="4780" w:type="dxa"/>
            <w:vAlign w:val="bottom"/>
          </w:tcPr>
          <w:p>
            <w:pPr>
              <w:ind w:left="20"/>
              <w:spacing w:after="0"/>
              <w:rPr>
                <w:sz w:val="20"/>
                <w:szCs w:val="20"/>
                <w:color w:val="auto"/>
              </w:rPr>
            </w:pPr>
            <w:r>
              <w:rPr>
                <w:rFonts w:ascii="Arial" w:cs="Arial" w:eastAsia="Arial" w:hAnsi="Arial"/>
                <w:sz w:val="17"/>
                <w:szCs w:val="17"/>
                <w:color w:val="auto"/>
              </w:rPr>
              <w:t>Co-location obligations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1,442</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1,059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383</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facility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color w:val="auto"/>
              </w:rPr>
              <w:t>Purchase obligations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1,968</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560</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192</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11,706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9,944</w:t>
            </w:r>
          </w:p>
        </w:tc>
        <w:tc>
          <w:tcPr>
            <w:tcW w:w="3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1,361</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6"/>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22"/>
        <w:spacing w:after="0" w:line="303" w:lineRule="auto"/>
        <w:rPr>
          <w:sz w:val="20"/>
          <w:szCs w:val="20"/>
          <w:color w:val="auto"/>
        </w:rPr>
      </w:pPr>
      <w:r>
        <w:rPr>
          <w:rFonts w:ascii="Arial" w:cs="Arial" w:eastAsia="Arial" w:hAnsi="Arial"/>
          <w:sz w:val="15"/>
          <w:szCs w:val="15"/>
          <w:color w:val="auto"/>
        </w:rPr>
        <w:t>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arising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2010, 2011 and 2012, and as of June 30, 2013, we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8" w:lineRule="exact"/>
        <w:rPr>
          <w:sz w:val="20"/>
          <w:szCs w:val="20"/>
          <w:color w:val="auto"/>
        </w:rPr>
      </w:pPr>
    </w:p>
    <w:p>
      <w:pPr>
        <w:jc w:val="both"/>
        <w:ind w:firstLine="370"/>
        <w:spacing w:after="0" w:line="301" w:lineRule="auto"/>
        <w:rPr>
          <w:sz w:val="20"/>
          <w:szCs w:val="20"/>
          <w:color w:val="auto"/>
        </w:rPr>
      </w:pPr>
      <w:r>
        <w:rPr>
          <w:rFonts w:ascii="Arial" w:cs="Arial" w:eastAsia="Arial" w:hAnsi="Arial"/>
          <w:sz w:val="15"/>
          <w:szCs w:val="15"/>
          <w:color w:val="auto"/>
        </w:rPr>
        <w:t>We prepare our consolidated financial statements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non-cash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64" w:lineRule="exact"/>
        <w:rPr>
          <w:sz w:val="20"/>
          <w:szCs w:val="20"/>
          <w:color w:val="auto"/>
        </w:rPr>
      </w:pPr>
    </w:p>
    <w:p>
      <w:pPr>
        <w:jc w:val="both"/>
        <w:ind w:firstLine="410"/>
        <w:spacing w:after="0" w:line="270" w:lineRule="auto"/>
        <w:rPr>
          <w:sz w:val="20"/>
          <w:szCs w:val="20"/>
          <w:color w:val="auto"/>
        </w:rPr>
      </w:pPr>
      <w:r>
        <w:rPr>
          <w:rFonts w:ascii="Arial" w:cs="Arial" w:eastAsia="Arial" w:hAnsi="Arial"/>
          <w:sz w:val="17"/>
          <w:szCs w:val="17"/>
          <w:color w:val="auto"/>
        </w:rPr>
        <w:t>We believe that the assumptions and estimates associated with our revenue recognition, allowance for doubtful accounts, non-cash equity-based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4"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However, we have chosen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7"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5"/>
          <w:szCs w:val="15"/>
          <w:color w:val="auto"/>
        </w:rPr>
        <w:t>We will continue to evaluate the benefits of relying on other reduced reporting requirements provided by the JOBS Act from time to time until we are no longer subject to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w:t>
      </w:r>
    </w:p>
    <w:p>
      <w:pPr>
        <w:spacing w:after="0" w:line="1" w:lineRule="exact"/>
        <w:rPr>
          <w:sz w:val="20"/>
          <w:szCs w:val="20"/>
          <w:color w:val="auto"/>
        </w:rPr>
      </w:pPr>
    </w:p>
    <w:p>
      <w:pPr>
        <w:jc w:val="both"/>
        <w:ind w:firstLine="5"/>
        <w:spacing w:after="0" w:line="261" w:lineRule="auto"/>
        <w:tabs>
          <w:tab w:leader="none" w:pos="281"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all of the 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purchase options include: subscription plans, On Demand plans, Pay As You Go and credit pack plans. We recognize revenue when the following four criteria are met: there is persuasive evidence of an arrangement; performance or delivery of services has occurred; the sales price is fixed or determinable and collectability is reasonably assured. We consider persuasive evidence of an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our customers purchase products by making electronic payments at the time of a transaction with a credit card. We established a chargeback allowance based on factors surrounding historical credit card chargeback trends and other information. As of December 31, 2012 and June 30, 2013, we recorded a chargeback allowance of $70,000 and $90,000,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90" w:lineRule="exact"/>
        <w:rPr>
          <w:sz w:val="20"/>
          <w:szCs w:val="20"/>
          <w:color w:val="auto"/>
        </w:rPr>
      </w:pPr>
    </w:p>
    <w:p>
      <w:pPr>
        <w:jc w:val="both"/>
        <w:ind w:firstLine="483"/>
        <w:spacing w:after="0" w:line="276"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Pay As You Go plans provide for individual image download. We recognize Pay As You Go revenue as the customer downloads images.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We recognize revenue from our four types of plans on a gross basis in accordance with Financial Accounting Standards Board ("FASB") Accounting Standards Codification ("ASC") 605-45, "Principal Agent Considerations," as we are the primary obligor in the arrangement, we have latitude in establishing the product's price, we perform a detailed review of the digital content before accepting it into our collection to ensure it is of high quality before it may be purchased by our customers, we can reject contributor's images in our sole discretion and we have credit risk. 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our customers. There are situations in which a customer may receive a refund but the determination is made on a case-by-case basis.</w:t>
      </w:r>
    </w:p>
    <w:p>
      <w:pPr>
        <w:spacing w:after="0" w:line="18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auto"/>
        </w:rPr>
        <w:t>We also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 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followed the authoritative guidance in ASC 605-45, "Principal Agent Considerations." We recognize revenue on a net basis in accordance with the type of plan sold, consistent with the plan descriptions above. We generally do not offer refunds or the right of return to resellers.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51"/>
        <w:spacing w:after="0" w:line="265" w:lineRule="auto"/>
        <w:rPr>
          <w:sz w:val="20"/>
          <w:szCs w:val="20"/>
          <w:color w:val="auto"/>
        </w:rPr>
      </w:pPr>
      <w:r>
        <w:rPr>
          <w:rFonts w:ascii="Arial" w:cs="Arial" w:eastAsia="Arial" w:hAnsi="Arial"/>
          <w:sz w:val="17"/>
          <w:szCs w:val="17"/>
          <w:color w:val="auto"/>
        </w:rPr>
        <w:t>Our accounts receivable are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reserves contemplate our historical loss rate on receivables, specific customer situations and the economic environments in which we operate. We recorded 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allowance for doubtful accounts of $0.3 million as of December 31, 2011 and of $0.2 million as of December 31, 2012. As of June 30, 2013, we recorded an allowance for doubtful accounts of $0.4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33"/>
        <w:spacing w:after="0" w:line="303" w:lineRule="auto"/>
        <w:rPr>
          <w:sz w:val="20"/>
          <w:szCs w:val="20"/>
          <w:color w:val="auto"/>
        </w:rPr>
      </w:pPr>
      <w:r>
        <w:rPr>
          <w:rFonts w:ascii="Arial" w:cs="Arial" w:eastAsia="Arial" w:hAnsi="Arial"/>
          <w:sz w:val="15"/>
          <w:szCs w:val="15"/>
          <w:color w:val="auto"/>
        </w:rPr>
        <w:t>Between June 7, 2007 and October 5, 2012, we were organized as a limited liability company. Beginning in 2011, we granted equity rights similar to options under our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our 2012 Omnibus Equity Incentive Plan (the "2012 Plan").</w:t>
      </w:r>
    </w:p>
    <w:p>
      <w:pPr>
        <w:spacing w:after="0" w:line="162" w:lineRule="exact"/>
        <w:rPr>
          <w:sz w:val="20"/>
          <w:szCs w:val="20"/>
          <w:color w:val="auto"/>
        </w:rPr>
      </w:pPr>
    </w:p>
    <w:p>
      <w:pPr>
        <w:jc w:val="both"/>
        <w:ind w:firstLine="372"/>
        <w:spacing w:after="0" w:line="283" w:lineRule="auto"/>
        <w:rPr>
          <w:sz w:val="20"/>
          <w:szCs w:val="20"/>
          <w:color w:val="auto"/>
        </w:rPr>
      </w:pPr>
      <w:r>
        <w:rPr>
          <w:rFonts w:ascii="Arial" w:cs="Arial" w:eastAsia="Arial" w:hAnsi="Arial"/>
          <w:sz w:val="16"/>
          <w:szCs w:val="16"/>
          <w:color w:val="auto"/>
        </w:rPr>
        <w:t>We measure and recognize non-cash equity-based compensation expense for all equity-based payment awards made to employees based on estimated fair values at the date awards are granted.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74" w:lineRule="exact"/>
        <w:rPr>
          <w:sz w:val="20"/>
          <w:szCs w:val="20"/>
          <w:color w:val="auto"/>
        </w:rPr>
      </w:pPr>
    </w:p>
    <w:p>
      <w:pPr>
        <w:jc w:val="both"/>
        <w:ind w:firstLine="426"/>
        <w:spacing w:after="0" w:line="270" w:lineRule="auto"/>
        <w:rPr>
          <w:sz w:val="20"/>
          <w:szCs w:val="20"/>
          <w:color w:val="auto"/>
        </w:rPr>
      </w:pPr>
      <w:r>
        <w:rPr>
          <w:rFonts w:ascii="Arial" w:cs="Arial" w:eastAsia="Arial" w:hAnsi="Arial"/>
          <w:sz w:val="17"/>
          <w:szCs w:val="17"/>
          <w:color w:val="auto"/>
        </w:rPr>
        <w:t>We use the Black-Scholes option-pricing model to determine the fair value of stock options and other equity-based awards granted pursuant to the 2012 Plan, stock purchased pursuant to the 2012 Employee Stock Purchase Plan (the "2012 ESPP") and the VAR Plan awards, which are discussed further in Note 8 of the Notes to our Consolidated Financial Statements included elsewhere in this prospectus.</w:t>
      </w:r>
    </w:p>
    <w:p>
      <w:pPr>
        <w:spacing w:after="0" w:line="179"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The determination of the grant date fair value using an option-pricing model requires judgments as well as assumptions regarding a number of other complex and subjective variables. These variables include the fair value of our common ownership interest pre-IPO, our closing market price at the grant date post-IPO, the expected unit price volatility over the expected term of the awards, stock awards' exercise and cancellation behaviors, risk-free interest rates and expected dividends, which are estimated as follows:</w:t>
      </w:r>
    </w:p>
    <w:p>
      <w:pPr>
        <w:spacing w:after="0" w:line="199" w:lineRule="exact"/>
        <w:rPr>
          <w:sz w:val="20"/>
          <w:szCs w:val="20"/>
          <w:color w:val="auto"/>
        </w:rPr>
      </w:pPr>
    </w:p>
    <w:p>
      <w:pPr>
        <w:jc w:val="both"/>
        <w:ind w:left="1060" w:hanging="531"/>
        <w:spacing w:after="0" w:line="297"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Fair Value of Our Common Stock. </w:t>
      </w:r>
      <w:r>
        <w:rPr>
          <w:rFonts w:ascii="Arial" w:cs="Arial" w:eastAsia="Arial" w:hAnsi="Arial"/>
          <w:sz w:val="15"/>
          <w:szCs w:val="15"/>
          <w:color w:val="auto"/>
        </w:rPr>
        <w:t>Prior to completion of the IPO, our fair value of common ownership interest was estimated internally and approved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by the Board of Managers ("BOM") because we were not publicly traded. Our intention upon granting VAR Plan awards was for the granted award to have an exercisable price per unit that was not less than the per unit fair value of our common equity on the date of grant. The valuations of our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 Intangible Asset</w:t>
      </w:r>
      <w:r>
        <w:rPr>
          <w:rFonts w:ascii="Arial" w:cs="Arial" w:eastAsia="Arial" w:hAnsi="Arial"/>
          <w:sz w:val="15"/>
          <w:szCs w:val="15"/>
          <w:color w:val="auto"/>
        </w:rPr>
        <w:t>. The assumptions used in the valuation model were based on future expectations combined with our judgment. In the absence of a public trading market, we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our history and introduction of new functionality and services, our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We also obtained independent third party valuations on a periodic basis. Since October 11, 2012, the date our common stock began trading on the NYSE, the grant date fair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for equity-based awards is based on the closing price of our common stock on the NYSE on the date of grant and fair value for all other purposes related to equity-based awards shall be the closing price of our common stock on the NYSE on the relevant date.</w:t>
      </w:r>
    </w:p>
    <w:p>
      <w:pPr>
        <w:spacing w:after="0" w:line="183"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was estimated using the simplified method allowed under SEC guidance.</w:t>
      </w:r>
    </w:p>
    <w:p>
      <w:pPr>
        <w:spacing w:after="0" w:line="250" w:lineRule="exact"/>
        <w:rPr>
          <w:rFonts w:ascii="Arial" w:cs="Arial" w:eastAsia="Arial" w:hAnsi="Arial"/>
          <w:sz w:val="17"/>
          <w:szCs w:val="17"/>
          <w:color w:val="auto"/>
        </w:rPr>
      </w:pPr>
    </w:p>
    <w:p>
      <w:pPr>
        <w:jc w:val="both"/>
        <w:ind w:left="1060" w:hanging="531"/>
        <w:spacing w:after="0" w:line="300" w:lineRule="auto"/>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Volatility. </w:t>
      </w:r>
      <w:r>
        <w:rPr>
          <w:rFonts w:ascii="Arial" w:cs="Arial" w:eastAsia="Arial" w:hAnsi="Arial"/>
          <w:sz w:val="15"/>
          <w:szCs w:val="15"/>
          <w:color w:val="auto"/>
        </w:rPr>
        <w:t>As we do not have a trading history for our common ownership interest pre-IPO and do not have a significant trading history for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post-IPO, the expected price volatility for the common ownership interests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176"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each option group.</w:t>
      </w:r>
    </w:p>
    <w:p>
      <w:pPr>
        <w:spacing w:after="0" w:line="18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When we were structured as a limited liability company, we have historically paid cash dividends or distributions to our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completion of the Reorganization, we have not paid any cash dividends or distributions to our stockholders and we do not intend to pay cash dividends or distributions to our stockholders in the foreseeable future. Consequently, we used an expected dividend yield of zero.</w:t>
      </w:r>
    </w:p>
    <w:p>
      <w:pPr>
        <w:spacing w:after="0" w:line="163" w:lineRule="exact"/>
        <w:rPr>
          <w:sz w:val="20"/>
          <w:szCs w:val="20"/>
          <w:color w:val="auto"/>
        </w:rPr>
      </w:pPr>
    </w:p>
    <w:p>
      <w:pPr>
        <w:jc w:val="both"/>
        <w:ind w:firstLine="361"/>
        <w:spacing w:after="0" w:line="299" w:lineRule="auto"/>
        <w:rPr>
          <w:sz w:val="20"/>
          <w:szCs w:val="20"/>
          <w:color w:val="auto"/>
        </w:rPr>
      </w:pPr>
      <w:r>
        <w:rPr>
          <w:rFonts w:ascii="Arial" w:cs="Arial" w:eastAsia="Arial" w:hAnsi="Arial"/>
          <w:sz w:val="15"/>
          <w:szCs w:val="15"/>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Reorganization, all of the VAR Plan awards were exchanged for options to purchase shares of common stock of Shutterstock, Inc. which do not include a change of control condition. As of June 30, 2012, no equity-based compensation expense related to the VAR Plan awards had been recognized because the qualifying event had not occurred. As a result of the completion of the IPO, we began recording share-based compensation expense using the accelerated attribution method, net of forfeitures, based on the grant date fair value of the VAR Plan awards that were exchanged for options to purchase shares of common stock of Shutterstock, Inc. as part of the Reorganization.</w:t>
      </w:r>
    </w:p>
    <w:p>
      <w:pPr>
        <w:spacing w:after="0" w:line="164"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auto"/>
        </w:rPr>
        <w:t>For any equity-based awards that qualified for liability classification pre-IPO, we elected to use the intrinsic value method to value the common membership interest in accordance with authoritative guidance on stock compensation. See Note 10, Equity-Based Compensation, to our Consolidated Financial Statements included elsewhere in this prospectus.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auto"/>
        </w:rPr>
        <w:t>Prior to our IPO, the fair value of the common stock underlying our grants was determined by our board of managers (referred to herein as our board of directors) or the compensation committee of our board of directors, which intended all grants to be exercisable at a price per share not less than the per share fair market value of our common stock underlying those grants on the date of grant. The valuation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our common stock on each grant date was determined by our board of directors in part based on independent third-party valuations effective as of August 17, 2010, February 18, 2011, December 15, 2011, April 15, 2012, June 15, 2012 and September 17, 2012 and also based on the significant experience of our board of directors in valuing private companies, as well as the board of directors' knowledge of the financial performance and potential performance of the Company. The assumptions used in the third party valuations were based in part on future expectations of our business, including financial projections, combined with management's estimates of other factors that might impact our future financial performance. Following our decision to consider an initial public offering, the third-party valuation reports also took into account the Company's potential value upon an initial public offering. In the absence of a public trading market, our board of directors, with input from management and following a review of such valuation reports, exercised significant judgment and considered numerous objective and subjective factors to determine the fair value of our common stock as of the date of each grant as well as the appropriate exercise price, including the following factors:</w:t>
      </w:r>
    </w:p>
    <w:p>
      <w:pPr>
        <w:spacing w:after="0" w:line="176"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operating and financial performance;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hiring of key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history and the introduction of new functionality and services and expanded product offerings;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shares of common stock underlying these stock options, such as an initial public offering, given prevailing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for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and global capital market conditions;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independent third party valuations.</w:t>
      </w:r>
    </w:p>
    <w:p>
      <w:pPr>
        <w:spacing w:after="0" w:line="224" w:lineRule="exact"/>
        <w:rPr>
          <w:sz w:val="20"/>
          <w:szCs w:val="20"/>
          <w:color w:val="auto"/>
        </w:rPr>
      </w:pPr>
    </w:p>
    <w:p>
      <w:pPr>
        <w:ind w:firstLine="365"/>
        <w:spacing w:after="0" w:line="282" w:lineRule="auto"/>
        <w:rPr>
          <w:sz w:val="20"/>
          <w:szCs w:val="20"/>
          <w:color w:val="auto"/>
        </w:rPr>
      </w:pPr>
      <w:r>
        <w:rPr>
          <w:rFonts w:ascii="Arial" w:cs="Arial" w:eastAsia="Arial" w:hAnsi="Arial"/>
          <w:sz w:val="17"/>
          <w:szCs w:val="17"/>
          <w:color w:val="auto"/>
        </w:rPr>
        <w:t>We made grants with the following exercise prices between January 1, 2010 and October 10, 2012 (the date the Registration Statement containing the prospectus relating to our IPO was declared effective):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Fair Value Per</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1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Share at</w:t>
            </w:r>
          </w:p>
        </w:tc>
      </w:tr>
      <w:tr>
        <w:trPr>
          <w:trHeight w:val="163"/>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Grant Dates</w:t>
            </w:r>
          </w:p>
        </w:tc>
        <w:tc>
          <w:tcPr>
            <w:tcW w:w="508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6"/>
              </w:rPr>
              <w:t>Grant Date</w:t>
            </w:r>
          </w:p>
        </w:tc>
        <w:tc>
          <w:tcPr>
            <w:tcW w:w="140" w:type="dxa"/>
            <w:vAlign w:val="bottom"/>
            <w:tcBorders>
              <w:bottom w:val="single" w:sz="8" w:color="CCEEFF"/>
            </w:tcBorders>
          </w:tcPr>
          <w:p>
            <w:pPr>
              <w:spacing w:after="0"/>
              <w:rPr>
                <w:sz w:val="14"/>
                <w:szCs w:val="14"/>
                <w:color w:val="auto"/>
              </w:rPr>
            </w:pPr>
          </w:p>
        </w:tc>
      </w:tr>
      <w:tr>
        <w:trPr>
          <w:trHeight w:val="236"/>
        </w:trPr>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November</w:t>
            </w:r>
          </w:p>
        </w:tc>
        <w:tc>
          <w:tcPr>
            <w:tcW w:w="5080" w:type="dxa"/>
            <w:vAlign w:val="bottom"/>
            <w:gridSpan w:val="2"/>
            <w:shd w:val="clear" w:color="auto" w:fill="CCEEFF"/>
          </w:tcPr>
          <w:p>
            <w:pPr>
              <w:jc w:val="right"/>
              <w:ind w:right="4580"/>
              <w:spacing w:after="0" w:line="236" w:lineRule="exact"/>
              <w:rPr>
                <w:sz w:val="20"/>
                <w:szCs w:val="20"/>
                <w:color w:val="auto"/>
              </w:rPr>
            </w:pPr>
            <w:r>
              <w:rPr>
                <w:rFonts w:ascii="Arial" w:cs="Arial" w:eastAsia="Arial" w:hAnsi="Arial"/>
                <w:sz w:val="17"/>
                <w:szCs w:val="17"/>
                <w:color w:val="auto"/>
                <w:w w:val="80"/>
              </w:rPr>
              <w:t>2010</w:t>
            </w:r>
            <w:r>
              <w:rPr>
                <w:rFonts w:ascii="Arial" w:cs="Arial" w:eastAsia="Arial" w:hAnsi="Arial"/>
                <w:sz w:val="27"/>
                <w:szCs w:val="27"/>
                <w:color w:val="auto"/>
                <w:w w:val="80"/>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April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485,750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July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55,000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August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October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157,500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272,250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March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151,500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April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May 8-28,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104,750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May 30,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June 4-11,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4,250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18-25,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September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52,750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20.34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20.34</w:t>
            </w:r>
          </w:p>
        </w:tc>
      </w:tr>
      <w:tr>
        <w:trPr>
          <w:trHeight w:val="99"/>
        </w:trPr>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Initial grant issued as a profits interest prior to the institution of the VAR Plan. Such interest was converted to a VAR grant with pre-existing terms upon creation of the VAR Plan in April 2011.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04"/>
        <w:spacing w:after="0" w:line="278" w:lineRule="auto"/>
        <w:rPr>
          <w:sz w:val="20"/>
          <w:szCs w:val="20"/>
          <w:color w:val="auto"/>
        </w:rPr>
      </w:pPr>
      <w:r>
        <w:rPr>
          <w:rFonts w:ascii="Arial" w:cs="Arial" w:eastAsia="Arial" w:hAnsi="Arial"/>
          <w:sz w:val="16"/>
          <w:szCs w:val="16"/>
          <w:color w:val="auto"/>
        </w:rPr>
        <w:t>In order to determine the fair value of our common stock underlying the option grants described in the table above, we first determined our business enterprise value, or BEV, and then allocated a portion of the BEV to each option grant with the assistance of our third party valuation specialist. Our BEV was estimated using the income approach using the discounted cash flow method, or DCF. We also considered the market-based approach using the comparable company method to check the reasonableness of the DCF value. The DCF method estimates enterprise value based on the estimated present value of future net cash flows the business is expected to generate over a forecasted period and an estimate of the present value of cash flows beyond that period, which is referred to as terminal value. The estimated present value is calculated using a discount rate known as the weighted average cost of capital, which accounts for the time value of money and the appropriate degree of risks inherent in the business. The market-based approach considers multiples of financial metrics based on both acquisitions and trading multiples of a selected peer group of companies. These multiples are then applied to our financial metrics to derive a range of indicated values. Our indicated BEV at each valuation date was allocated to the shares of common stock. Estimates of the volatility of our common stock were based on available information on the volatility of common stock of comparable, publicly traded companies.</w:t>
      </w:r>
    </w:p>
    <w:p>
      <w:pPr>
        <w:spacing w:after="0" w:line="176"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5"/>
          <w:szCs w:val="15"/>
          <w:color w:val="auto"/>
        </w:rPr>
        <w:t>The third-party valuations effective as of August 17, 2010, February 18, 2011, December 15, 2011, April 15, 2012, June 15, 2012 and September 17, 2012 all valued our business as a going concern using the discounted cash flow method and considered the comparable company method to check the reasonableness of the determined value, all as set forth in greater detail in the preceding paragraph. The discount rate used in each third-party valuation was 15% and was determined to be equal to an estimate of our weighted average cost of capital, or "WACC," using the CAPM approach. The third-party valuation effective as of December 15, 2011 also considered our potential value upon an initial public offering, subject to discounts relating to initial public offering trends in related industries and the projected timing of this offering. To calculate the value of our business as of December 15, 2011, the third-party valuation assigned a 60% weight to our discounted cash flow valuation and a 40% weight to the valuation based on what we believed our potential initial public offering value would be. The potential initial public offering value was weighted lower than the discounted cash flow value based on the following: (a) at the valuation date, we had yet to issue any audited financials; (b) at the valuation date, it was uncertain when we would file our initial registration statement on Form S-1 with the SEC in anticipation of an offering and (c) general market conditions for initial public offerings. Similarly, the third-party valuations effective as of April 15, 2012, June 15, 2012 and September 17, 2012 considered our potential value upon an initial public offering, subject to a discount relating to the projected timing of this offering. To calculate the value of our business as of April 15, 2012, the third-party valuation assigned a 25% weight to our discounted cash flow valuation, a 35% weight to our guideline company method valuation and a 40% weight to our potential initial public offering value. The valuation based on our potential initial public offering value was weighted lower than the collective discounted cash flow and guideline company value based on the following: (a) at the valuation date, we had yet to issue any audited financials; (b) at the valuation date, it was uncertain when we would file our initial registration statement on Form S-1 with the SEC in anticipation of our initial public offering and (c) general market conditions for initial public offerings. To calculate the value of our business as of June 15, 2012, the third-party valuation assigned a 10% weight to our discounted cash flow valuation, a 20% weight to our guideline company method valuation and a 70% weight to our potential initial public offering value. The weight assigned to our potential initial public offering value increased by 30% in the June 15, 2012 valuation as a result of our issuance of audited financials and the filing of our initial registration statement on Form S-1 with the SEC, which demonstrated an increased probability of an initial public offering. To calculate the value of our business as of September 17, 2012, the third-party valuation assigned a 2.5% weight to our discounted cash flow valuation, a 7.5% weight to our guideline company method valuation and a 90% weight to our potential initial public offering value. The weight assigned to our potential initial public offering value increased by 20% in the September 17, 2012 valuation as a result of the filing of amendments to our registration statement on Form S-1 with the SEC and certain other factors, which demonstrated an increased probability of an initial public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Significant factors considered by our board of directors or the compensation committee of our board of directors in determining the fair value of our common stock and exercise price at the grant dates before our IPO include:</w:t>
      </w:r>
    </w:p>
    <w:p>
      <w:pPr>
        <w:spacing w:after="0" w:line="170"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5"/>
          <w:szCs w:val="15"/>
          <w:i w:val="1"/>
          <w:iCs w:val="1"/>
          <w:color w:val="auto"/>
        </w:rPr>
        <w:t xml:space="preserve">November 2010. </w:t>
      </w:r>
      <w:r>
        <w:rPr>
          <w:rFonts w:ascii="Arial" w:cs="Arial" w:eastAsia="Arial" w:hAnsi="Arial"/>
          <w:sz w:val="15"/>
          <w:szCs w:val="15"/>
          <w:color w:val="auto"/>
        </w:rPr>
        <w:t>Based on a review of our key financial and business information and developments, the introduction of new functionality and certain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metrics, as well as the hiring of our President and Chief Operating Officer, and continued growth in our customer base and revenue, our board of directors established, based on its own independent determination, the fair market value to be $9.32 per share effective for the grants made in November 2010 and, consistent with the desire of the board of directors at that time to grant options with a per share exercise price at a premium to fair market value on the date of grant, approved grants with an exercise price of $12.50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62"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i w:val="1"/>
          <w:iCs w:val="1"/>
          <w:color w:val="auto"/>
        </w:rPr>
        <w:t xml:space="preserve">April 2011. </w:t>
      </w:r>
      <w:r>
        <w:rPr>
          <w:rFonts w:ascii="Arial" w:cs="Arial" w:eastAsia="Arial" w:hAnsi="Arial"/>
          <w:sz w:val="16"/>
          <w:szCs w:val="16"/>
          <w:color w:val="auto"/>
        </w:rPr>
        <w:t>A third party valuation commissioned by us, effective as of February 18, 2011, determined the fair market value to be $11.33 per share.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our key financial and business information and developments, including the introduction of new functionality and certain key operating metrics, as well as the hiring of our Chief Technology Officer, continued growth in our customer base and revenue, and growth in our collection,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grants made to prior grant recipients and, therefore, approved grants in April 2011 with an exercise price of $14.17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77" w:lineRule="exact"/>
        <w:rPr>
          <w:sz w:val="20"/>
          <w:szCs w:val="20"/>
          <w:color w:val="auto"/>
        </w:rPr>
      </w:pPr>
    </w:p>
    <w:p>
      <w:pPr>
        <w:jc w:val="both"/>
        <w:ind w:firstLine="446"/>
        <w:spacing w:after="0" w:line="278" w:lineRule="auto"/>
        <w:rPr>
          <w:sz w:val="20"/>
          <w:szCs w:val="20"/>
          <w:color w:val="auto"/>
        </w:rPr>
      </w:pPr>
      <w:r>
        <w:rPr>
          <w:rFonts w:ascii="Arial" w:cs="Arial" w:eastAsia="Arial" w:hAnsi="Arial"/>
          <w:sz w:val="16"/>
          <w:szCs w:val="16"/>
          <w:i w:val="1"/>
          <w:iCs w:val="1"/>
          <w:color w:val="auto"/>
        </w:rPr>
        <w:t xml:space="preserve">June-August 2011. </w:t>
      </w:r>
      <w:r>
        <w:rPr>
          <w:rFonts w:ascii="Arial" w:cs="Arial" w:eastAsia="Arial" w:hAnsi="Arial"/>
          <w:sz w:val="16"/>
          <w:szCs w:val="16"/>
          <w:color w:val="auto"/>
        </w:rPr>
        <w:t>Based on the valuation effective as of February 18, 2011 that deemed fair market value to be $11.33 per share and a review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business information and developments, including the introduction of new functionality and certain key operating metrics, as well as the hiring of key management including our Chief Financial Officer, continued growth in our customer base and revenue, the growth in our collection, and the commencement of initial discussions regarding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in the period of June-August 2011 with an exercise price of $15.00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64"/>
        <w:spacing w:after="0" w:line="281" w:lineRule="auto"/>
        <w:rPr>
          <w:sz w:val="20"/>
          <w:szCs w:val="20"/>
          <w:color w:val="auto"/>
        </w:rPr>
      </w:pPr>
      <w:r>
        <w:rPr>
          <w:rFonts w:ascii="Arial" w:cs="Arial" w:eastAsia="Arial" w:hAnsi="Arial"/>
          <w:sz w:val="16"/>
          <w:szCs w:val="16"/>
          <w:i w:val="1"/>
          <w:iCs w:val="1"/>
          <w:color w:val="auto"/>
        </w:rPr>
        <w:t xml:space="preserve">October 2011. </w:t>
      </w:r>
      <w:r>
        <w:rPr>
          <w:rFonts w:ascii="Arial" w:cs="Arial" w:eastAsia="Arial" w:hAnsi="Arial"/>
          <w:sz w:val="16"/>
          <w:szCs w:val="16"/>
          <w:color w:val="auto"/>
        </w:rPr>
        <w:t>Based on the valuation effective as of February 18, 2011 that deemed fair market value to be $11.33 per share a review of our key financial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information and developments, including the introduction of new functionality and certain key operating metrics, as well as the continued growth in our revenue and customer base, the initial release of our first mobile application, initial efforts to prepare for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approved grants with an exercise price of $16.00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41"/>
        <w:spacing w:after="0" w:line="300" w:lineRule="auto"/>
        <w:rPr>
          <w:sz w:val="20"/>
          <w:szCs w:val="20"/>
          <w:color w:val="auto"/>
        </w:rPr>
      </w:pPr>
      <w:r>
        <w:rPr>
          <w:rFonts w:ascii="Arial" w:cs="Arial" w:eastAsia="Arial" w:hAnsi="Arial"/>
          <w:sz w:val="15"/>
          <w:szCs w:val="15"/>
          <w:i w:val="1"/>
          <w:iCs w:val="1"/>
          <w:color w:val="auto"/>
        </w:rPr>
        <w:t xml:space="preserve">December 2011. </w:t>
      </w:r>
      <w:r>
        <w:rPr>
          <w:rFonts w:ascii="Arial" w:cs="Arial" w:eastAsia="Arial" w:hAnsi="Arial"/>
          <w:sz w:val="15"/>
          <w:szCs w:val="15"/>
          <w:color w:val="auto"/>
        </w:rPr>
        <w:t>Based on the valuation effective as of February 18, 2011 that deemed fair market value to be $11.33 per share and a review of our key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information and developments, particularly the introduction of new functionality and certain key operating metrics, as well as the achievement of our 2011 financial plan and the continued expansion of our customer base and revenue, and significant progress we made in our preparations for an initial public offering, our board of directors established, based on its own independent determination, the fair market value to be $16.67 per share effective for the grants made in December 2011 and, consistent with the desire of the board of directors at the time to grant options with a per share exercise price at a premium to fair market value on the date of grant, approved grants with an exercise price of $17.00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63" w:lineRule="exact"/>
        <w:rPr>
          <w:sz w:val="20"/>
          <w:szCs w:val="20"/>
          <w:color w:val="auto"/>
        </w:rPr>
      </w:pPr>
    </w:p>
    <w:p>
      <w:pPr>
        <w:jc w:val="both"/>
        <w:ind w:firstLine="422"/>
        <w:spacing w:after="0" w:line="260" w:lineRule="auto"/>
        <w:rPr>
          <w:sz w:val="20"/>
          <w:szCs w:val="20"/>
          <w:color w:val="auto"/>
        </w:rPr>
      </w:pPr>
      <w:r>
        <w:rPr>
          <w:rFonts w:ascii="Arial" w:cs="Arial" w:eastAsia="Arial" w:hAnsi="Arial"/>
          <w:sz w:val="17"/>
          <w:szCs w:val="17"/>
          <w:i w:val="1"/>
          <w:iCs w:val="1"/>
          <w:color w:val="auto"/>
        </w:rPr>
        <w:t xml:space="preserve">March-April 2012. </w:t>
      </w:r>
      <w:r>
        <w:rPr>
          <w:rFonts w:ascii="Arial" w:cs="Arial" w:eastAsia="Arial" w:hAnsi="Arial"/>
          <w:sz w:val="17"/>
          <w:szCs w:val="17"/>
          <w:color w:val="auto"/>
        </w:rPr>
        <w:t>Based on the valuation effective as of December 15, 2011 that deemed fair market value to be $16.67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including the introduction of new functionality and certain key operating metrics, as well as the continued growth in our revenue and customer base, an analysis of market value of competitors, and the expansion of our board of directors with the addition of four independent members, and progress we made in our preparations for an initial public offering, our board of directors determined that no event had occurred subsequent to the date of the December 15,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$17.50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92"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i w:val="1"/>
          <w:iCs w:val="1"/>
          <w:color w:val="auto"/>
        </w:rPr>
        <w:t xml:space="preserve">May 8-28, 2012. </w:t>
      </w:r>
      <w:r>
        <w:rPr>
          <w:rFonts w:ascii="Arial" w:cs="Arial" w:eastAsia="Arial" w:hAnsi="Arial"/>
          <w:sz w:val="17"/>
          <w:szCs w:val="17"/>
          <w:color w:val="auto"/>
        </w:rPr>
        <w:t>In connection with the grants made between May 8 and May 28, 2012, we received a draft valuation report, to be effective as of April 15,</w:t>
      </w:r>
      <w:r>
        <w:rPr>
          <w:rFonts w:ascii="Arial" w:cs="Arial" w:eastAsia="Arial" w:hAnsi="Arial"/>
          <w:sz w:val="17"/>
          <w:szCs w:val="17"/>
          <w:i w:val="1"/>
          <w:iCs w:val="1"/>
          <w:color w:val="auto"/>
        </w:rPr>
        <w:t xml:space="preserve"> </w:t>
      </w:r>
      <w:r>
        <w:rPr>
          <w:rFonts w:ascii="Arial" w:cs="Arial" w:eastAsia="Arial" w:hAnsi="Arial"/>
          <w:sz w:val="17"/>
          <w:szCs w:val="17"/>
          <w:color w:val="auto"/>
        </w:rPr>
        <w:t>2012, with a fair market value determination of $18.67 per share, which we expected to be finalized shortly thereafter. On each grant date between May 8 and May 28, 2012, our board of directors or our compensation committee, as applicable, based on that valuation report, determined the fair market value to be $18.67 per share. Our board of directors or our compensation committee, as applicable determined not to grant VARs with an exercise price that exceeded fair market value, and, therefore, approved grants with an exercise price of $18.67 per share. Our board of directors or our compensation committee, as applicable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jc w:val="both"/>
        <w:ind w:firstLine="372"/>
        <w:spacing w:after="0" w:line="263" w:lineRule="auto"/>
        <w:rPr>
          <w:sz w:val="20"/>
          <w:szCs w:val="20"/>
          <w:color w:val="auto"/>
        </w:rPr>
      </w:pPr>
      <w:r>
        <w:rPr>
          <w:rFonts w:ascii="Arial" w:cs="Arial" w:eastAsia="Arial" w:hAnsi="Arial"/>
          <w:sz w:val="17"/>
          <w:szCs w:val="17"/>
          <w:i w:val="1"/>
          <w:iCs w:val="1"/>
          <w:color w:val="auto"/>
        </w:rPr>
        <w:t xml:space="preserve">May 30, 2012. </w:t>
      </w:r>
      <w:r>
        <w:rPr>
          <w:rFonts w:ascii="Arial" w:cs="Arial" w:eastAsia="Arial" w:hAnsi="Arial"/>
          <w:sz w:val="17"/>
          <w:szCs w:val="17"/>
          <w:color w:val="auto"/>
        </w:rPr>
        <w:t>Based on the valuation effective as of April 15, 2012 that determined fair market value to be $18.67 per share and a review of our key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business information and developments, including the introduction of new functionality and certain key operating metrics, as well as the continued growth in our revenue and customer base, and the filing of our registration statement for our initial public offering,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auto"/>
        </w:rPr>
        <w:t xml:space="preserve">June 4-11, 2012. </w:t>
      </w:r>
      <w:r>
        <w:rPr>
          <w:rFonts w:ascii="Arial" w:cs="Arial" w:eastAsia="Arial" w:hAnsi="Arial"/>
          <w:sz w:val="17"/>
          <w:szCs w:val="17"/>
          <w:color w:val="auto"/>
        </w:rPr>
        <w:t>Based on the valuation effective as of April 15, 2012 that determined fair market value to be $18.67 per share and a review of our key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business information and developments, including the introduction of new functionality and certain key operating metrics, as well as the continued growth in our revenue and customer base,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 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7"/>
          <w:szCs w:val="17"/>
          <w:i w:val="1"/>
          <w:iCs w:val="1"/>
          <w:color w:val="auto"/>
        </w:rPr>
        <w:t xml:space="preserve">June 18-25, 2012. </w:t>
      </w:r>
      <w:r>
        <w:rPr>
          <w:rFonts w:ascii="Arial" w:cs="Arial" w:eastAsia="Arial" w:hAnsi="Arial"/>
          <w:sz w:val="17"/>
          <w:szCs w:val="17"/>
          <w:color w:val="auto"/>
        </w:rPr>
        <w:t>On May 30, 2012, our compensation committee authorized grants with an exercise price of $18.67 to two individuals who had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commenced employment, with such grants to be effective upon their respective employment start dates. Based on the valuation effective as of June 15, 2012 that determined fair market value to be $20.00 per share and a review of our key financial and business information and developments, including the introduction of new functionality and certain key operating metrics, as well as the continued growth in our revenue and customer base, our board of directors has determined that on the respective employment start dates of June 18, 2012 and June 25, 2012 for the two employees, the fair market value per share of our common stock was $20.00. Our board of directors did not consider the probability of completing a sale or merger or completing a dissolution or liquidation when determining the fair value and exercise price, as those scenarios were not considered likely in the near term. Our board of directors has taken action to increase the per share exercise price for each of these grants to $20.00.</w:t>
      </w:r>
    </w:p>
    <w:p>
      <w:pPr>
        <w:spacing w:after="0" w:line="187"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i w:val="1"/>
          <w:iCs w:val="1"/>
          <w:color w:val="auto"/>
        </w:rPr>
        <w:t xml:space="preserve">September 2012. </w:t>
      </w:r>
      <w:r>
        <w:rPr>
          <w:rFonts w:ascii="Arial" w:cs="Arial" w:eastAsia="Arial" w:hAnsi="Arial"/>
          <w:sz w:val="17"/>
          <w:szCs w:val="17"/>
          <w:color w:val="auto"/>
        </w:rPr>
        <w:t>Based on the valuation effective as of September 17, 2012 that determined fair market value to be $20.34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including the introduction of new functionality and certain key operating metrics, as well as the continued growth in our revenue and customer base, our compensation committee determined that no event had occurred subsequent to the date of the September 17, 2012 valuation report that would materially affect the value of the Company as set forth in such valuation. Our compensation committee determined not to grant VARs with an exercise price that exceeded fair market value, and, therefore, approved grants with an exercise price of $20.34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403"/>
        <w:spacing w:after="0" w:line="283" w:lineRule="auto"/>
        <w:rPr>
          <w:sz w:val="20"/>
          <w:szCs w:val="20"/>
          <w:color w:val="auto"/>
        </w:rPr>
      </w:pPr>
      <w:r>
        <w:rPr>
          <w:rFonts w:ascii="Arial" w:cs="Arial" w:eastAsia="Arial" w:hAnsi="Arial"/>
          <w:sz w:val="16"/>
          <w:szCs w:val="16"/>
          <w:color w:val="auto"/>
        </w:rPr>
        <w:t>We filed our income tax returns as a limited liability company, and were taxed as a "pass-through" partnership for federal and state income tax purposes for all periods prior to the Reorganization on October 5, 2012. For all periods prior to the Reorganization, we recognized no federal and state income taxes, as the members of the LLC, and not the company itself, were subject to income tax on their allocated share of our earnings. However, we were subject to taxation on allocable portions of our net income and other taxes based on various methodologies employed by taxing authorities in certain localities. We generally made monthly distributions to our members under the terms of the LLC's operating agreement, subject to our operating cash needs.</w:t>
      </w:r>
    </w:p>
    <w:p>
      <w:pPr>
        <w:spacing w:after="0" w:line="174" w:lineRule="exact"/>
        <w:rPr>
          <w:sz w:val="20"/>
          <w:szCs w:val="20"/>
          <w:color w:val="auto"/>
        </w:rPr>
      </w:pPr>
    </w:p>
    <w:p>
      <w:pPr>
        <w:jc w:val="both"/>
        <w:ind w:firstLine="460"/>
        <w:spacing w:after="0" w:line="282" w:lineRule="auto"/>
        <w:rPr>
          <w:sz w:val="20"/>
          <w:szCs w:val="20"/>
          <w:color w:val="auto"/>
        </w:rPr>
      </w:pPr>
      <w:r>
        <w:rPr>
          <w:rFonts w:ascii="Arial" w:cs="Arial" w:eastAsia="Arial" w:hAnsi="Arial"/>
          <w:sz w:val="17"/>
          <w:szCs w:val="17"/>
          <w:color w:val="auto"/>
        </w:rPr>
        <w:t>Effective upon the Reorganization, we became a Delaware corporation and, therefore, became subject to federal, state and additional city income taxes after October 6, 2012. As a result of this tax status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change, we recorded an incremental net deferred tax asset and a one-time non-cash tax benefit of $28.8 million in the fourth quarter of our fiscal year ended December 31, 2012. See Note 7 to our Consolidated Financial Statements included elsewhere in this prospectus.</w:t>
      </w:r>
    </w:p>
    <w:p>
      <w:pPr>
        <w:spacing w:after="0" w:line="170" w:lineRule="exact"/>
        <w:rPr>
          <w:sz w:val="20"/>
          <w:szCs w:val="20"/>
          <w:color w:val="auto"/>
        </w:rPr>
      </w:pPr>
    </w:p>
    <w:p>
      <w:pPr>
        <w:jc w:val="both"/>
        <w:ind w:firstLine="409"/>
        <w:spacing w:after="0" w:line="282" w:lineRule="auto"/>
        <w:rPr>
          <w:sz w:val="20"/>
          <w:szCs w:val="20"/>
          <w:color w:val="auto"/>
        </w:rPr>
      </w:pPr>
      <w:r>
        <w:rPr>
          <w:rFonts w:ascii="Arial" w:cs="Arial" w:eastAsia="Arial" w:hAnsi="Arial"/>
          <w:sz w:val="17"/>
          <w:szCs w:val="17"/>
          <w:color w:val="auto"/>
        </w:rPr>
        <w:t>We filed tax returns as a partnership for the period from January 1, 2012 through October 5, 2012 and will file tax returns as a corporation for the period from October 6, 2012 through December 31, 2012.</w:t>
      </w:r>
    </w:p>
    <w:p>
      <w:pPr>
        <w:spacing w:after="0" w:line="170"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if any, are adjusted in light of changing facts and circumstances, such as the outcome of a tax audit or lapses in statutes of limitations. Any reserve for the uncertain tax provision is included in the income tax provision. Penalties and interest, if any, on uncertain tax positions are also included in income tax expense.</w:t>
      </w:r>
    </w:p>
    <w:p>
      <w:pPr>
        <w:spacing w:after="0" w:line="162" w:lineRule="exact"/>
        <w:rPr>
          <w:sz w:val="20"/>
          <w:szCs w:val="20"/>
          <w:color w:val="auto"/>
        </w:rPr>
      </w:pPr>
    </w:p>
    <w:p>
      <w:pPr>
        <w:jc w:val="both"/>
        <w:ind w:firstLine="403"/>
        <w:spacing w:after="0" w:line="311" w:lineRule="auto"/>
        <w:rPr>
          <w:sz w:val="20"/>
          <w:szCs w:val="20"/>
          <w:color w:val="auto"/>
        </w:rPr>
      </w:pPr>
      <w:r>
        <w:rPr>
          <w:rFonts w:ascii="Arial" w:cs="Arial" w:eastAsia="Arial" w:hAnsi="Arial"/>
          <w:sz w:val="15"/>
          <w:szCs w:val="15"/>
          <w:color w:val="auto"/>
        </w:rPr>
        <w:t>We assessed the realizability of deferred tax assets and determined that based on the available evidence, including a history of taxable income and estimates of future taxable income, it is more likely than not that the deferred tax assets will be realized. We will continue to evaluate our ability to realize deferred tax assets on a quarterly basis.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year.</w:t>
      </w:r>
    </w:p>
    <w:p>
      <w:pPr>
        <w:spacing w:after="0" w:line="155" w:lineRule="exact"/>
        <w:rPr>
          <w:sz w:val="20"/>
          <w:szCs w:val="20"/>
          <w:color w:val="auto"/>
        </w:rPr>
      </w:pPr>
    </w:p>
    <w:p>
      <w:pPr>
        <w:jc w:val="both"/>
        <w:ind w:firstLine="515"/>
        <w:spacing w:after="0" w:line="282" w:lineRule="auto"/>
        <w:rPr>
          <w:sz w:val="20"/>
          <w:szCs w:val="20"/>
          <w:color w:val="auto"/>
        </w:rPr>
      </w:pPr>
      <w:r>
        <w:rPr>
          <w:rFonts w:ascii="Arial" w:cs="Arial" w:eastAsia="Arial" w:hAnsi="Arial"/>
          <w:sz w:val="17"/>
          <w:szCs w:val="17"/>
          <w:color w:val="auto"/>
        </w:rPr>
        <w:t>We are subject to certain compliance requirements for non-income taxes, including, but not limited to, payroll, value added and sales-based taxes. Where appropriate, we have made accruals for these matters, which are reflected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76"/>
        <w:spacing w:after="0" w:line="297" w:lineRule="auto"/>
        <w:rPr>
          <w:sz w:val="20"/>
          <w:szCs w:val="20"/>
          <w:color w:val="auto"/>
        </w:rPr>
      </w:pPr>
      <w:r>
        <w:rPr>
          <w:rFonts w:ascii="Arial" w:cs="Arial" w:eastAsia="Arial" w:hAnsi="Arial"/>
          <w:sz w:val="15"/>
          <w:szCs w:val="15"/>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 As a result of a combination of factors in the second quarter of 2012, we concluded that a triggering event had occurred in the Bigstockphoto, Inc., ("Bigstock") reporting unit indicating a potential impairment and a step 1 impairment test was performed as of June 30, 2012. As a result of performing the step 1 test for goodwill impairment in the second quarter of 2012, we concluded that the fair value of the Bigstock reporting unit exceeded the carrying value. Therefore, there was no requirement to perform step 2 of the analysis and we concluded that there is no impairment of goodwill for the Bigstock reporting unit. If the June 30, 2012 fair value estimate declined by as much as 20%, the estimated fair value of the Bigstock reporting unit would still exceed the carrying value. Based on the results of the goodwill impairment annual assessment as of October 1, 2012, we concluded that the fair value of its reporting unit is more than its carrying amount, and therefore no adjustment to the carrying value of goodwill was necessary. There were no impairments of goodwill in any of the periods presented in the consolidated financial statements. See Note 2, Goodwill and Intangibles, of the Notes to Consolidated Financial Statements included elsewhere in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expense the cost of advertising and promoting our products as incurred. The majority of our advertising costs are related to search engine marketing and other online advertising and, to a lesser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extent, tradeshow participation, print, advertising, affiliate marketing and general branding and market awareness efforts.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8" w:lineRule="exact"/>
        <w:rPr>
          <w:sz w:val="20"/>
          <w:szCs w:val="20"/>
          <w:color w:val="auto"/>
        </w:rPr>
      </w:pPr>
    </w:p>
    <w:p>
      <w:pPr>
        <w:jc w:val="both"/>
        <w:ind w:firstLine="385"/>
        <w:spacing w:after="0" w:line="278" w:lineRule="auto"/>
        <w:rPr>
          <w:sz w:val="20"/>
          <w:szCs w:val="20"/>
          <w:color w:val="auto"/>
        </w:rPr>
      </w:pPr>
      <w:r>
        <w:rPr>
          <w:rFonts w:ascii="Arial" w:cs="Arial" w:eastAsia="Arial" w:hAnsi="Arial"/>
          <w:sz w:val="16"/>
          <w:szCs w:val="16"/>
          <w:color w:val="auto"/>
        </w:rPr>
        <w:t>In connection with the audit of our consolidated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79" w:lineRule="exact"/>
        <w:rPr>
          <w:sz w:val="20"/>
          <w:szCs w:val="20"/>
          <w:color w:val="auto"/>
        </w:rPr>
      </w:pPr>
    </w:p>
    <w:p>
      <w:pPr>
        <w:jc w:val="both"/>
        <w:ind w:firstLine="374"/>
        <w:spacing w:after="0" w:line="299" w:lineRule="auto"/>
        <w:rPr>
          <w:sz w:val="20"/>
          <w:szCs w:val="20"/>
          <w:color w:val="auto"/>
        </w:rPr>
      </w:pPr>
      <w:r>
        <w:rPr>
          <w:rFonts w:ascii="Arial" w:cs="Arial" w:eastAsia="Arial" w:hAnsi="Arial"/>
          <w:sz w:val="15"/>
          <w:szCs w:val="15"/>
          <w:color w:val="auto"/>
        </w:rPr>
        <w:t>We began working to remediate this material weakness during fiscal years 2012 and 2013 by increasing the level of tax expertise within our finance department, by hiring an external accounting firm with the appropriate knowledge and ability to supplement internal resources in the review process and to fulfill our obligations to comply with the accounting and reporting requirements applicable to public companies and by updating our systems to collect the necessary data and taxes to comply with our required tax compliance processes. The actions that we are taking are subject to ongoing senior management review, as well as audit committee oversight. We were unable to fully remediate this material weakness during fiscal year 2012 and, therefore, the material weakness was not remediated as of December 31, 2012.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8" w:lineRule="exact"/>
        <w:rPr>
          <w:sz w:val="20"/>
          <w:szCs w:val="20"/>
          <w:color w:val="auto"/>
        </w:rPr>
      </w:pPr>
    </w:p>
    <w:p>
      <w:pPr>
        <w:jc w:val="both"/>
        <w:ind w:firstLine="527"/>
        <w:spacing w:after="0" w:line="282" w:lineRule="auto"/>
        <w:rPr>
          <w:sz w:val="20"/>
          <w:szCs w:val="20"/>
          <w:color w:val="auto"/>
        </w:rPr>
      </w:pPr>
      <w:r>
        <w:rPr>
          <w:rFonts w:ascii="Arial" w:cs="Arial" w:eastAsia="Arial" w:hAnsi="Arial"/>
          <w:sz w:val="17"/>
          <w:szCs w:val="17"/>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224" w:lineRule="exact"/>
        <w:rPr>
          <w:sz w:val="20"/>
          <w:szCs w:val="20"/>
          <w:color w:val="auto"/>
        </w:rPr>
      </w:pPr>
    </w:p>
    <w:p>
      <w:pPr>
        <w:jc w:val="both"/>
        <w:ind w:firstLine="466"/>
        <w:spacing w:after="0" w:line="263" w:lineRule="auto"/>
        <w:rPr>
          <w:sz w:val="20"/>
          <w:szCs w:val="20"/>
          <w:color w:val="auto"/>
        </w:rPr>
      </w:pPr>
      <w:r>
        <w:rPr>
          <w:rFonts w:ascii="Arial" w:cs="Arial" w:eastAsia="Arial" w:hAnsi="Arial"/>
          <w:sz w:val="17"/>
          <w:szCs w:val="17"/>
          <w:color w:val="auto"/>
        </w:rPr>
        <w:t>Our cash and cash equivalents consist of cash and money market accounts.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w:t>
      </w:r>
    </w:p>
    <w:p>
      <w:pPr>
        <w:spacing w:after="0" w:line="187" w:lineRule="exact"/>
        <w:rPr>
          <w:sz w:val="20"/>
          <w:szCs w:val="20"/>
          <w:color w:val="auto"/>
        </w:rPr>
      </w:pPr>
    </w:p>
    <w:p>
      <w:pPr>
        <w:jc w:val="both"/>
        <w:ind w:firstLine="380"/>
        <w:spacing w:after="0" w:line="315" w:lineRule="auto"/>
        <w:rPr>
          <w:sz w:val="20"/>
          <w:szCs w:val="20"/>
          <w:color w:val="auto"/>
        </w:rPr>
      </w:pPr>
      <w:r>
        <w:rPr>
          <w:rFonts w:ascii="Arial" w:cs="Arial" w:eastAsia="Arial" w:hAnsi="Arial"/>
          <w:sz w:val="16"/>
          <w:szCs w:val="16"/>
          <w:color w:val="auto"/>
        </w:rPr>
        <w:t>Between September 21, 2012 and March 25, 2013, we were party to a loan and security agreement that provided for a $12.0 million term loan facility. The term loan bore interest, at our option, at either the prime rate minus 0.75% or at LIBOR plus 2.00%. As of March 25, 2013, we paid off the remaining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outstanding balance on this loan and security agreement. As of March 25, 2013, and since that date, we have had no outstanding debt.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24" w:lineRule="exact"/>
        <w:rPr>
          <w:sz w:val="20"/>
          <w:szCs w:val="20"/>
          <w:color w:val="auto"/>
        </w:rPr>
      </w:pPr>
    </w:p>
    <w:p>
      <w:pPr>
        <w:jc w:val="both"/>
        <w:ind w:firstLine="393"/>
        <w:spacing w:after="0" w:line="300" w:lineRule="auto"/>
        <w:rPr>
          <w:sz w:val="20"/>
          <w:szCs w:val="20"/>
          <w:color w:val="auto"/>
        </w:rPr>
      </w:pPr>
      <w:r>
        <w:rPr>
          <w:rFonts w:ascii="Arial" w:cs="Arial" w:eastAsia="Arial" w:hAnsi="Arial"/>
          <w:sz w:val="15"/>
          <w:szCs w:val="15"/>
          <w:color w:val="auto"/>
        </w:rPr>
        <w:t>Revenue derived from customers residing outside North America as a percentage of total revenue was approximately 65% in each of 2010, 2011 and 2012, and 65% and 64% in the six months ended June 30, 2012 and 2013, respectively. Our sales to international customers are denominated in multiple currencies, including but not limited to the U.S. Dollar, the Euro, the British Pound and the Japanese Yen. Revenue denominated in foreign currencies as a percentage of total revenue was approximately 35% in each of 2010, 2011 and 2012, and 32% and 33% in the six months ended June 30, 2012 and 2013, respectively. We have foreign currency risks related to foreign-currency denominated revenue. All amounts owed and paid to our foreign contributors are denominated and paid in U.S. Dollars. Accordingly, changes in exchange rates, and in particular a strengthening of the U.S. Dollar, will negatively affect our revenue and other operating results as expressed in U.S. Dollars. Based on our 2012 and six months ended June 30, 2013 foreign currency denominated revenue, a 10% change in the exchange rate of the U.S. Dollar against all foreign currency denominated revenue would result in an approximately 3% and 3% impact on our revenue, respectively.</w:t>
      </w:r>
    </w:p>
    <w:p>
      <w:pPr>
        <w:spacing w:after="0" w:line="163"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Because the majority of our revenue and expenses are denominated in the U.S. Dollar, we have not experienced material fluctuations in our net income as a result of translation gains or losses. As we continue to expand internationally, our currency rate fluctuation risk associated with the exchange rate movement of the U.S. Dollar against other foreign currencies is expected to increase. We do not currently hedge our foreign currency risk exposure. We actively monitor the movement of the U.S. Dollar against various foreign currencies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During 2010, 2011 and 2012 and in the six months ended June 30, 2012 and 2013, our foreign currency transaction gains and losses were immaterial.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2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28" w:lineRule="exact"/>
        <w:rPr>
          <w:sz w:val="20"/>
          <w:szCs w:val="20"/>
          <w:color w:val="auto"/>
        </w:rPr>
      </w:pPr>
    </w:p>
    <w:p>
      <w:pPr>
        <w:jc w:val="both"/>
        <w:ind w:firstLine="462"/>
        <w:spacing w:after="0" w:line="282" w:lineRule="auto"/>
        <w:rPr>
          <w:sz w:val="20"/>
          <w:szCs w:val="20"/>
          <w:color w:val="auto"/>
        </w:rPr>
      </w:pPr>
      <w:r>
        <w:rPr>
          <w:rFonts w:ascii="Arial" w:cs="Arial" w:eastAsia="Arial" w:hAnsi="Arial"/>
          <w:sz w:val="17"/>
          <w:szCs w:val="17"/>
          <w:color w:val="auto"/>
        </w:rPr>
        <w:t>None of the recently issued accounting standards that have been issued or proposed by the FASB, the SEC and/or other standards-setting bodies that do not require adoption until a future date is expected to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6"/>
          <w:szCs w:val="16"/>
          <w:color w:val="auto"/>
        </w:rPr>
        <w:t>Shutterstock operates an industry-leading global marketplace for commercial digital imagery. Commercial digital imagery consists of licensed photographs, illustrations and video clips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from approximately $4 billion in 2011 to approximately $6 billion in 2016, based on a study conducted on our behalf by L.E.K. There has been a significant increase in the demand for commercial digital imagery as rapid technological advances have reduced the cost and effort required to create, license and use images. Our global online marketplace brings together users of commercial digital imagery with image creators from around the world. More than 750,000 active, paying users contributed to revenue in 2012, representing an increase of 36% compared to the prior year. More than 40,000 approved contributors make their images and video clips available in our collection, which has grown to more than 28 million images and more than 1 million video clips. This makes our collection one of the largest of its kind, and, in the twelve months ended December 31, 2012, we delivered more than 76 million paid downloads (including both commercial and editorial images) to our customers. We believe that we delivered the highest volume of commercial image downloads in 2012 of any single brand in our industry.</w:t>
      </w:r>
    </w:p>
    <w:p>
      <w:pPr>
        <w:spacing w:after="0" w:line="181"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auto"/>
        </w:rPr>
        <w:t>Our online marketplace provides a freely searchable collection of commercial digital imagery (i.e., stock photography, illustrations, vectors, video clips, templates and fonts) that our users can pay to license, download and incorporate into their work. We compensate contributors for each of their images or video clips that is downloaded. This marketplace model allows us to offer users a disruptive, low-cost and easy-to-use alternative to the time-consuming and expensive traditional methods of obtaining commercial imagery. It enables millions of small and medium-sized businesses, or SMBs, to affordably access commercial digital imagery, and allows larger enterprises and media agencies to more easily and efficiently satisfy their increasing image needs.</w:t>
      </w:r>
    </w:p>
    <w:p>
      <w:pPr>
        <w:spacing w:after="0" w:line="174"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imagery from contributors. This increased selection of imagery has in turn helped to attract more paying users. The success of this network effect is facilitated by the trust that users place in Shutterstock to maintain the integrity of our branded marketplace. Every contributor in our marketplace and every image we make available must pass our proprietary screening process and meet our standards of quality. In addition, and unlike the significant majority of free images available online, our rigorous vetting process enables us to provide confidence and indemnification to our users that the content in our collection has been appropriately licensed for commercial or editorial use.</w:t>
      </w:r>
    </w:p>
    <w:p>
      <w:pPr>
        <w:spacing w:after="0" w:line="15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make the licensing of images and video clips affordable, simple and easy in order to encourage a high volume of purchases and downloads. Our customers' average cost per download was $2.23 in 2012. We are a pioneer of the subscription-based usage model in our industry, whereby subscribers can download and use a large number of images in their creative process without concern for the incremental cost of each download. A significant majority of our downloads come from subscription-based users, who contribute approximately half of our revenue. We also offer simple and easy-to-use On Demand purchase options for users who purchase imagery when and as needed. As a result of our simple and affordable licensing models, we believe that we achieved the highest volume of commercial image downloads of any single brand in our industry in 2012. In addition to generating revenue, this high volume of download activity allows us to continually improve the quality and accuracy of our search algorithms, as well as to encourage the creation of new content to meet our users' needs.</w:t>
      </w:r>
    </w:p>
    <w:p>
      <w:pPr>
        <w:spacing w:after="0" w:line="175" w:lineRule="exact"/>
        <w:rPr>
          <w:sz w:val="20"/>
          <w:szCs w:val="20"/>
          <w:color w:val="auto"/>
        </w:rPr>
      </w:pPr>
    </w:p>
    <w:p>
      <w:pPr>
        <w:jc w:val="both"/>
        <w:ind w:firstLine="462"/>
        <w:spacing w:after="0" w:line="282" w:lineRule="auto"/>
        <w:rPr>
          <w:sz w:val="20"/>
          <w:szCs w:val="20"/>
          <w:color w:val="auto"/>
        </w:rPr>
      </w:pPr>
      <w:r>
        <w:rPr>
          <w:rFonts w:ascii="Arial" w:cs="Arial" w:eastAsia="Arial" w:hAnsi="Arial"/>
          <w:sz w:val="17"/>
          <w:szCs w:val="17"/>
          <w:color w:val="auto"/>
        </w:rPr>
        <w:t>Our revenue is diversified and predictable. More than 750,000 customers from more than 150 countries contributed to our revenue in 2012, with our top 25 customers in the aggregate accounting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less than 3% of our revenue. We have historically benefitted from a high degree of revenue retention from both subscription-based and On Demand customers. For example, in 2010, 2011 and 2012, we experienced year-to-year revenue retention of 96%, 102% and 100%, respectively. This means that customers that contributed to our revenue in 2011 contributed, in the aggregate, 100% as much revenue in 2012 as they did in 2011. Customers typically pay us upfront and then use their downloads in a predictable pattern over time, which results in favorable cash flow characteristics and has historically added predictability and stability to our financial performance.</w:t>
      </w:r>
    </w:p>
    <w:p>
      <w:pPr>
        <w:spacing w:after="0" w:line="187" w:lineRule="exact"/>
        <w:rPr>
          <w:sz w:val="20"/>
          <w:szCs w:val="20"/>
          <w:color w:val="auto"/>
        </w:rPr>
      </w:pPr>
    </w:p>
    <w:p>
      <w:pPr>
        <w:jc w:val="both"/>
        <w:ind w:firstLine="348"/>
        <w:spacing w:after="0" w:line="281" w:lineRule="auto"/>
        <w:rPr>
          <w:sz w:val="20"/>
          <w:szCs w:val="20"/>
          <w:color w:val="auto"/>
        </w:rPr>
      </w:pPr>
      <w:r>
        <w:rPr>
          <w:rFonts w:ascii="Arial" w:cs="Arial" w:eastAsia="Arial" w:hAnsi="Arial"/>
          <w:sz w:val="16"/>
          <w:szCs w:val="16"/>
          <w:color w:val="auto"/>
        </w:rPr>
        <w:t>We have achieved significant growth since our marketplace was launched in 2003. In 2011 and 2012, we generated revenue of $120.3 million and $169.6 million, respectively, representing year-over-year growth of 45.0% and 41.0%, respectively. In 2011 and 2012, we generated Adjusted EBITDA of $26.5 million and $34.9 million, respectively, Non-GAAP Net income of $23.9 million and $28.0 million, respectively, and Free Cash Flow of $36.1 million and $41.5 million, respectively. See "Summary Consolidated Financial Data—Non-GAAP Financial Measures." In 2011 and 2012, our net income was $21.9 million and $47.5 million, respectively. In 2012, our net income included a one-time tax benefit of $28.8 million related to the Reorganization. We are a global business; in 2012, 35% of our revenue came from North America, 37% came from Europe and 28% came from the rest of the world.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Images help businesses to communicate and engage with customers, market their products, and differentiate their brand. Companies invest in imagery for the same reasons they invest in marketing, advertising and media production: to increase the impact, engagement and differentiation of their communications. From the smallest start-ups to the largest multinationals, companies pay to license photographs, video clips and illustrations for use in print and digital marketing materials, corporate communications, external and internal websites, social networking sites, mobile applications, games and videos. Imagery is also widely used in publishing books, eBooks, magazines and news articles. The demand for paid imagery in a commercial context comes primarily from:</w:t>
      </w:r>
    </w:p>
    <w:p>
      <w:pPr>
        <w:spacing w:after="0" w:line="187" w:lineRule="exact"/>
        <w:rPr>
          <w:sz w:val="20"/>
          <w:szCs w:val="20"/>
          <w:color w:val="auto"/>
        </w:rPr>
      </w:pPr>
    </w:p>
    <w:p>
      <w:pPr>
        <w:ind w:left="1060" w:hanging="531"/>
        <w:spacing w:after="0"/>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firstLine="485"/>
        <w:spacing w:after="0" w:line="311" w:lineRule="auto"/>
        <w:rPr>
          <w:sz w:val="20"/>
          <w:szCs w:val="20"/>
          <w:color w:val="auto"/>
        </w:rPr>
      </w:pPr>
      <w:r>
        <w:rPr>
          <w:rFonts w:ascii="Arial" w:cs="Arial" w:eastAsia="Arial" w:hAnsi="Arial"/>
          <w:sz w:val="15"/>
          <w:szCs w:val="15"/>
          <w:color w:val="auto"/>
        </w:rPr>
        <w:t>These professional users of imagery are very selective about where they source their images; images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55" w:lineRule="exact"/>
        <w:rPr>
          <w:sz w:val="20"/>
          <w:szCs w:val="20"/>
          <w:color w:val="auto"/>
        </w:rPr>
      </w:pPr>
    </w:p>
    <w:p>
      <w:pPr>
        <w:jc w:val="both"/>
        <w:ind w:firstLine="344"/>
        <w:spacing w:after="0" w:line="262" w:lineRule="auto"/>
        <w:rPr>
          <w:sz w:val="20"/>
          <w:szCs w:val="20"/>
          <w:color w:val="auto"/>
        </w:rPr>
      </w:pPr>
      <w:r>
        <w:rPr>
          <w:rFonts w:ascii="Arial" w:cs="Arial" w:eastAsia="Arial" w:hAnsi="Arial"/>
          <w:sz w:val="17"/>
          <w:szCs w:val="17"/>
          <w:color w:val="auto"/>
        </w:rPr>
        <w:t>We estimate that the total market for commercial imagery was approximately $11 billion in 2011 and that it will grow to approximately $13 billion in 2016, based on a study conducted on our behalf in August 2012 by L.E.K. The commercial imagery market is comprised of custom imagery and stock imagery. Within the stock imagery market, L.E.K. defined three segments: the "traditional stock photography" segment, the "stock photography marketplace" segment and all other forms of stock imagery. The traditional segment is characterized by higher-touch customer relationships, negotiated image prices, and groups of professional photographers who create images exclusively for one agency, often on a salaried basis. The stock photography marketplace segment is characterized by self-serve ecommerce with simple, inexpensive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licensing options and a large number of contributors from around the world. The remaining segment is comprised of all other forms of stock imagery, including stock illustrations, vectors, video clips, templates and fonts. Shutterstock has traditionally participated in the stock photography marketplace segment along with the market for other forms of stock imagery, including stock illustrations, vectors and video clips.</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According to L.E.K., the market for stock imagery, or "pre-shot commercial digital imagery," will grow from approximately $4 billion in 2011 to approximately $6 billion by 2016. L.E.K. estimates that the stock photography marketplace segment along with the market for all other forms of stock imagery will grow 15-20% annually to a total of more than $3.5 billion in 2016. In the same period, L.E.K. estimates that the traditional segment will remain stable at approximately $2.3 billion.</w:t>
      </w:r>
    </w:p>
    <w:p>
      <w:pPr>
        <w:spacing w:after="0" w:line="145"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As the quality, quantity and awareness of pre-shot image licensing options continue to increase over time, we believe that pre-shot images will satisfy an increasing portion of the demand for custom commercial photography, which L.E.K. estimates to be a $7 billion market in 2016.</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Since imagery is often a component of an advertising campaign or media production, the demand for commercial digital imagery is largely driven by the global marketing and publishing industries. In 2011, more than $631 billion was spent in the global advertising industry, according to IDC. In that same period, IBISWorld estimates that more than $379 billion was spent in the global publishing industry (including books, newspapers and magazines). We believe that disruptive technological trends are expanding the role of commercial digital imagery within these industries and driving growth in the demand and supply of images.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Growth in Demand for Commercial Digital Imagery</w:t>
      </w:r>
    </w:p>
    <w:p>
      <w:pPr>
        <w:spacing w:after="0" w:line="224"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Businesses are increasing their use of visual communications because the tools of communication and creativity are becoming easier and less expensive to use. For example, in the last five years, the number of public websites has grown 43% annually to more than 670 million, according to Netcraft. We expect this growth to continue. According to BIA/Kelsey, more than 32% of small and medium-sized U.S. businesses, or SMBs, surveyed do not yet have a website. As technology continues to democratize visual communication, we believe that additional customers will come into the market for commercial digital imagery.</w:t>
      </w:r>
    </w:p>
    <w:p>
      <w:pPr>
        <w:spacing w:after="0" w:line="169"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6"/>
          <w:szCs w:val="16"/>
          <w:color w:val="auto"/>
        </w:rPr>
        <w:t>In addition to growth in the number of customers that can make use of licensed imagery, trends in the type and frequency of visual communications that customers produce are driving increased image demand per customer.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77"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6"/>
          <w:szCs w:val="16"/>
          <w:color w:val="auto"/>
        </w:rPr>
        <w:t>The historical expense and complexity of procuring high-quality imagery once meant that it was affordable only for the largest businesses. A commissioned shoot often cost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3"/>
        <w:spacing w:after="0" w:line="306" w:lineRule="auto"/>
        <w:rPr>
          <w:sz w:val="20"/>
          <w:szCs w:val="20"/>
          <w:color w:val="auto"/>
        </w:rPr>
      </w:pPr>
      <w:r>
        <w:rPr>
          <w:rFonts w:ascii="Arial" w:cs="Arial" w:eastAsia="Arial" w:hAnsi="Arial"/>
          <w:sz w:val="15"/>
          <w:szCs w:val="15"/>
          <w:color w:val="auto"/>
        </w:rPr>
        <w:t>The growth in image demand for use in print and web communications is being compounded by trends in mobile and tablet internet browsing. Just as traditional broadband penetration enabled bandwidth-intensive media like images to become increasingly popular on the internet, so too will the spread of mobile broadband drive images and video clips to become increasingly common elements of the mobile web. Mobile devices are becoming increasingly visual, with high-resolution screens and touch interfaces that are driving an expectation of higher quality and more visually compelling mobile content. As trends in mobile and tablet internet usage continue to drive demand for rich visual user experiences, we believe that there will be a resulting increase in demand for commercial digital imagery.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Low-Cost Supply of Commercial Digital Imagery</w:t>
      </w:r>
    </w:p>
    <w:p>
      <w:pPr>
        <w:spacing w:after="0" w:line="224"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7"/>
          <w:szCs w:val="17"/>
          <w:color w:val="auto"/>
        </w:rPr>
        <w:t>Over the last several years there has been a dramatic increase in the number of people equipped to create high-quality digital imagery. Only a few years ago, the industry for commercial images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camera phones, social media and mobile broadband, people around the world are becoming increasingly accustomed to creating and consuming compelling imagery.</w:t>
      </w:r>
    </w:p>
    <w:p>
      <w:pPr>
        <w:spacing w:after="0" w:line="18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 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images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willing to pay to license it.</w:t>
      </w:r>
    </w:p>
    <w:p>
      <w:pPr>
        <w:spacing w:after="0" w:line="175"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Importance of Online Marketplaces</w:t>
      </w:r>
    </w:p>
    <w:p>
      <w:pPr>
        <w:spacing w:after="0" w:line="224" w:lineRule="exact"/>
        <w:rPr>
          <w:sz w:val="20"/>
          <w:szCs w:val="20"/>
          <w:color w:val="auto"/>
        </w:rPr>
      </w:pPr>
    </w:p>
    <w:p>
      <w:pPr>
        <w:jc w:val="both"/>
        <w:ind w:firstLine="558"/>
        <w:spacing w:after="0" w:line="261" w:lineRule="auto"/>
        <w:rPr>
          <w:sz w:val="20"/>
          <w:szCs w:val="20"/>
          <w:color w:val="auto"/>
        </w:rPr>
      </w:pPr>
      <w:r>
        <w:rPr>
          <w:rFonts w:ascii="Arial" w:cs="Arial" w:eastAsia="Arial" w:hAnsi="Arial"/>
          <w:sz w:val="17"/>
          <w:szCs w:val="17"/>
          <w:color w:val="auto"/>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small and medium-sized businesses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Even with the advent of websites capable of sourcing and providing commercial digital imagery, a large number of challenges remain for users:</w:t>
      </w:r>
    </w:p>
    <w:p>
      <w:pPr>
        <w:spacing w:after="0" w:line="237" w:lineRule="exact"/>
        <w:rPr>
          <w:sz w:val="20"/>
          <w:szCs w:val="20"/>
          <w:color w:val="auto"/>
        </w:rPr>
      </w:pPr>
    </w:p>
    <w:p>
      <w:pPr>
        <w:ind w:left="106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selection. </w:t>
      </w:r>
      <w:r>
        <w:rPr>
          <w:rFonts w:ascii="Arial" w:cs="Arial" w:eastAsia="Arial" w:hAnsi="Arial"/>
          <w:sz w:val="17"/>
          <w:szCs w:val="17"/>
          <w:color w:val="auto"/>
        </w:rPr>
        <w:t>Many websites lack the broad and up-to-date collection required to satisfy the extensive variety of searches for digital imagery,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themselves a reflection of the myriad requirements of business communications across industries and geographies.</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Difficulty in finding images quickly. </w:t>
      </w:r>
      <w:r>
        <w:rPr>
          <w:rFonts w:ascii="Arial" w:cs="Arial" w:eastAsia="Arial" w:hAnsi="Arial"/>
          <w:sz w:val="17"/>
          <w:szCs w:val="17"/>
          <w:color w:val="auto"/>
        </w:rPr>
        <w:t>Websites that do have a broad range of images often lack sophisticated tagging, search functionality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algorithms that enable users to find relevant images efficiently. An increased pace of image usage by customers means that many users of commercial imagery are under pressure to find a greater number of high-quality images faster.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price. </w:t>
      </w:r>
      <w:r>
        <w:rPr>
          <w:rFonts w:ascii="Arial" w:cs="Arial" w:eastAsia="Arial" w:hAnsi="Arial"/>
          <w:sz w:val="17"/>
          <w:szCs w:val="17"/>
          <w:color w:val="auto"/>
        </w:rPr>
        <w:t>Traditional image agencies that have migrated online typically charge more than $100 per high resolution image. Commissioning a custom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 is even more expensive, often costing thousands or tens of thousands of dollars.</w:t>
      </w:r>
    </w:p>
    <w:p>
      <w:pPr>
        <w:spacing w:after="0" w:line="182"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pricing. </w:t>
      </w:r>
      <w:r>
        <w:rPr>
          <w:rFonts w:ascii="Arial" w:cs="Arial" w:eastAsia="Arial" w:hAnsi="Arial"/>
          <w:sz w:val="17"/>
          <w:szCs w:val="17"/>
          <w:color w:val="auto"/>
        </w:rPr>
        <w:t>On many websites, image prices can vary widely depending on criteria such as image size, file format, intended use, download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frequency and type of contributor. Furthermore, many sites denominate the price of their images in "credits" rather than cash pricing, making it difficult for users to evaluate how much they will actually pay for a given image. These complexities interfere with the creative process, adding an additional dimension beyond image relevance for users to consider during their image search process.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commercial quality. </w:t>
      </w:r>
      <w:r>
        <w:rPr>
          <w:rFonts w:ascii="Arial" w:cs="Arial" w:eastAsia="Arial" w:hAnsi="Arial"/>
          <w:sz w:val="17"/>
          <w:szCs w:val="17"/>
          <w:color w:val="auto"/>
        </w:rPr>
        <w:t>Many websites and search engines, particularly those that host and display images for free, lack effective processes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192" w:lineRule="exact"/>
        <w:rPr>
          <w:rFonts w:ascii="Arial" w:cs="Arial" w:eastAsia="Arial" w:hAnsi="Arial"/>
          <w:sz w:val="17"/>
          <w:szCs w:val="17"/>
          <w:color w:val="auto"/>
        </w:rPr>
      </w:pPr>
    </w:p>
    <w:p>
      <w:pPr>
        <w:jc w:val="both"/>
        <w:ind w:left="1060" w:hanging="531"/>
        <w:spacing w:after="0" w:line="280"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Need for appropriate licensing and legal protection. </w:t>
      </w:r>
      <w:r>
        <w:rPr>
          <w:rFonts w:ascii="Arial" w:cs="Arial" w:eastAsia="Arial" w:hAnsi="Arial"/>
          <w:sz w:val="16"/>
          <w:szCs w:val="16"/>
          <w:color w:val="auto"/>
        </w:rPr>
        <w:t>Complex copyright laws govern the use of images and video clips in a commercial context.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Typically, images and video clips that are available for free online are not appropriately licensed for commercial use. Most websites that host and display such content for free are not able to provide the trusted licensing assurances that come from closely evaluating the content that they make available. For example, most of these websites do not require a model release to be uploaded with each image that depicts a person. The need for appropriate content licensing has become more acute as the software to identify non-compliant imagery on the internet has become increasingly sophisticated, facilitating the monitoring of intellectual property rights. A growing number of users of commercial imagery require legal protections or indemnification from their content providers regarding proper licensing.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Contributors</w:t>
      </w:r>
    </w:p>
    <w:p>
      <w:pPr>
        <w:spacing w:after="0" w:line="224" w:lineRule="exact"/>
        <w:rPr>
          <w:sz w:val="20"/>
          <w:szCs w:val="20"/>
          <w:color w:val="auto"/>
        </w:rPr>
      </w:pPr>
    </w:p>
    <w:p>
      <w:pPr>
        <w:ind w:firstLine="372"/>
        <w:spacing w:after="0" w:line="282" w:lineRule="auto"/>
        <w:rPr>
          <w:sz w:val="20"/>
          <w:szCs w:val="20"/>
          <w:color w:val="auto"/>
        </w:rPr>
      </w:pPr>
      <w:r>
        <w:rPr>
          <w:rFonts w:ascii="Arial" w:cs="Arial" w:eastAsia="Arial" w:hAnsi="Arial"/>
          <w:sz w:val="17"/>
          <w:szCs w:val="17"/>
          <w:color w:val="auto"/>
        </w:rPr>
        <w:t>Creators of commercial digital imagery face significant obstacles to distributing their images to a large audience, discovering the kinds of content that customers demand, and monetizing their work efficiently, including:</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distribution and marketing reach. </w:t>
      </w:r>
      <w:r>
        <w:rPr>
          <w:rFonts w:ascii="Arial" w:cs="Arial" w:eastAsia="Arial" w:hAnsi="Arial"/>
          <w:sz w:val="17"/>
          <w:szCs w:val="17"/>
          <w:color w:val="auto"/>
        </w:rPr>
        <w:t>Many digital image creators lack the resources to promote their content to the millions of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who may be willing to pay for their images. Even if a contributor posts images on the web, it is expensive and difficult to generate meaningful traffic to the contributor's own website, especially when the content that a single contributor can offer represents a small fraction of the types of images a user might need.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ecommerce capabilities. </w:t>
      </w:r>
      <w:r>
        <w:rPr>
          <w:rFonts w:ascii="Arial" w:cs="Arial" w:eastAsia="Arial" w:hAnsi="Arial"/>
          <w:sz w:val="17"/>
          <w:szCs w:val="17"/>
          <w:color w:val="auto"/>
        </w:rPr>
        <w:t>Many digital image creators lack the resources to establish the sophisticated, global ecommerce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maximize their earnings. This is particularly true with respect to handling foreign languages, multiple currencies, diverse payment methods, customer support and fraud prevention.</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Cumbersome upload, tagging and approval processes. </w:t>
      </w:r>
      <w:r>
        <w:rPr>
          <w:rFonts w:ascii="Arial" w:cs="Arial" w:eastAsia="Arial" w:hAnsi="Arial"/>
          <w:sz w:val="17"/>
          <w:szCs w:val="17"/>
          <w:color w:val="auto"/>
        </w:rPr>
        <w:t>Contributors want to be able to upload and tag images quickly, easily and intuitively.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 can also be important to a contributor, particularly for newsworthy or time-sensitive imagery.</w:t>
      </w:r>
    </w:p>
    <w:p>
      <w:pPr>
        <w:spacing w:after="0" w:line="18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Inadequate feedback, tools and information. </w:t>
      </w:r>
      <w:r>
        <w:rPr>
          <w:rFonts w:ascii="Arial" w:cs="Arial" w:eastAsia="Arial" w:hAnsi="Arial"/>
          <w:sz w:val="16"/>
          <w:szCs w:val="16"/>
          <w:color w:val="auto"/>
        </w:rPr>
        <w:t>Digital image creators want to provide the content that users demand, but often lack the proper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analytics and feedback to know what kind of content will sell well. Many websites do not provide adequate tools or lack sufficient volume of user data to be able to help contributors manage their portfolio or improve the commercial relevance of the images they produce.</w:t>
      </w:r>
    </w:p>
    <w:p>
      <w:pPr>
        <w:spacing w:after="0" w:line="175"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Absence of community. </w:t>
      </w:r>
      <w:r>
        <w:rPr>
          <w:rFonts w:ascii="Arial" w:cs="Arial" w:eastAsia="Arial" w:hAnsi="Arial"/>
          <w:sz w:val="17"/>
          <w:szCs w:val="17"/>
          <w:color w:val="auto"/>
        </w:rPr>
        <w:t>As social media and social networks continue to evolve, digital image creators are increasingly seeking specialized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where they can learn from their peers and take satisfaction in sharing their work.</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for Our Users</w:t>
      </w:r>
    </w:p>
    <w:p>
      <w:pPr>
        <w:spacing w:after="0" w:line="248" w:lineRule="exact"/>
        <w:rPr>
          <w:sz w:val="20"/>
          <w:szCs w:val="20"/>
          <w:color w:val="auto"/>
        </w:rPr>
      </w:pPr>
    </w:p>
    <w:p>
      <w:pPr>
        <w:ind w:left="180" w:hanging="175"/>
        <w:spacing w:after="0"/>
        <w:tabs>
          <w:tab w:leader="none" w:pos="180" w:val="left"/>
        </w:tabs>
        <w:numPr>
          <w:ilvl w:val="0"/>
          <w:numId w:val="42"/>
        </w:numPr>
        <w:rPr>
          <w:rFonts w:ascii="Arial" w:cs="Arial" w:eastAsia="Arial" w:hAnsi="Arial"/>
          <w:sz w:val="19"/>
          <w:szCs w:val="19"/>
          <w:color w:val="auto"/>
        </w:rPr>
      </w:pPr>
      <w:r>
        <w:rPr>
          <w:rFonts w:ascii="Arial" w:cs="Arial" w:eastAsia="Arial" w:hAnsi="Arial"/>
          <w:sz w:val="15"/>
          <w:szCs w:val="15"/>
          <w:i w:val="1"/>
          <w:iCs w:val="1"/>
          <w:color w:val="auto"/>
        </w:rPr>
        <w:t>Millions of high-quality images and video clips available for commercial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5"/>
        <w:spacing w:after="0"/>
        <w:tabs>
          <w:tab w:leader="none" w:pos="180" w:val="left"/>
        </w:tabs>
        <w:numPr>
          <w:ilvl w:val="0"/>
          <w:numId w:val="43"/>
        </w:numPr>
        <w:rPr>
          <w:rFonts w:ascii="Arial" w:cs="Arial" w:eastAsia="Arial" w:hAnsi="Arial"/>
          <w:sz w:val="21"/>
          <w:szCs w:val="21"/>
          <w:color w:val="auto"/>
        </w:rPr>
      </w:pPr>
      <w:r>
        <w:rPr>
          <w:rFonts w:ascii="Arial" w:cs="Arial" w:eastAsia="Arial" w:hAnsi="Arial"/>
          <w:sz w:val="17"/>
          <w:szCs w:val="17"/>
          <w:i w:val="1"/>
          <w:iCs w:val="1"/>
          <w:color w:val="auto"/>
        </w:rPr>
        <w:t>Superior search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20"/>
        <w:spacing w:after="0" w:line="301" w:lineRule="auto"/>
        <w:rPr>
          <w:sz w:val="20"/>
          <w:szCs w:val="20"/>
          <w:color w:val="auto"/>
        </w:rPr>
      </w:pPr>
      <w:r>
        <w:rPr>
          <w:rFonts w:ascii="Arial" w:cs="Arial" w:eastAsia="Arial" w:hAnsi="Arial"/>
          <w:sz w:val="15"/>
          <w:szCs w:val="15"/>
          <w:color w:val="auto"/>
        </w:rPr>
        <w:t>We currently provide a licensable digital collection of more than 28 million images and more than 1 million video clips, one of the largest collections of its kind. In the twelve months ended December 31, 2012, we added an average of 1.4 million images and video clips per quarter. We source our content from over 40,000 approved contributors in more than 100 countries and provide a broad, non-exclusive commercial or editorial license allowing customers to use an image or video clip in perpetuity in any geography or medium.</w:t>
      </w:r>
    </w:p>
    <w:p>
      <w:pPr>
        <w:spacing w:after="0" w:line="164" w:lineRule="exact"/>
        <w:rPr>
          <w:sz w:val="20"/>
          <w:szCs w:val="20"/>
          <w:color w:val="auto"/>
        </w:rPr>
      </w:pPr>
    </w:p>
    <w:p>
      <w:pPr>
        <w:jc w:val="both"/>
        <w:ind w:left="320"/>
        <w:spacing w:after="0" w:line="280" w:lineRule="auto"/>
        <w:rPr>
          <w:sz w:val="20"/>
          <w:szCs w:val="20"/>
          <w:color w:val="auto"/>
        </w:rPr>
      </w:pPr>
      <w:r>
        <w:rPr>
          <w:rFonts w:ascii="Arial" w:cs="Arial" w:eastAsia="Arial" w:hAnsi="Arial"/>
          <w:sz w:val="16"/>
          <w:szCs w:val="16"/>
          <w:color w:val="auto"/>
        </w:rPr>
        <w:t>We consider our proprietary search interface and algorithms to be intuitive and efficient, allowing users with widely ranging search queries to quickly find the most suitable image for their needs. Our search algorithms automatically evolve based on customer usage data such as searches and downloads to produce more effective search results over time. We believe that, with one of the highest volumes of downloads of commercial content in 2012, we have the data to power the best search experience in our industry.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5420" w:space="200"/>
            <w:col w:w="5800"/>
          </w:cols>
          <w:pgMar w:left="240" w:top="131" w:right="23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180" w:hanging="175"/>
        <w:spacing w:after="0"/>
        <w:tabs>
          <w:tab w:leader="none" w:pos="180" w:val="left"/>
        </w:tabs>
        <w:numPr>
          <w:ilvl w:val="0"/>
          <w:numId w:val="44"/>
        </w:numPr>
        <w:rPr>
          <w:rFonts w:ascii="Arial" w:cs="Arial" w:eastAsia="Arial" w:hAnsi="Arial"/>
          <w:sz w:val="21"/>
          <w:szCs w:val="21"/>
          <w:color w:val="auto"/>
        </w:rPr>
      </w:pPr>
      <w:r>
        <w:rPr>
          <w:rFonts w:ascii="Arial" w:cs="Arial" w:eastAsia="Arial" w:hAnsi="Arial"/>
          <w:sz w:val="17"/>
          <w:szCs w:val="17"/>
          <w:i w:val="1"/>
          <w:iCs w:val="1"/>
          <w:color w:val="auto"/>
        </w:rPr>
        <w:t>Low cost of content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9" w:lineRule="exact"/>
        <w:rPr>
          <w:rFonts w:ascii="Arial" w:cs="Arial" w:eastAsia="Arial" w:hAnsi="Arial"/>
          <w:sz w:val="21"/>
          <w:szCs w:val="21"/>
          <w:color w:val="auto"/>
        </w:rPr>
      </w:pPr>
    </w:p>
    <w:p>
      <w:pPr>
        <w:ind w:left="180" w:hanging="175"/>
        <w:spacing w:after="0"/>
        <w:tabs>
          <w:tab w:leader="none" w:pos="180" w:val="left"/>
        </w:tabs>
        <w:numPr>
          <w:ilvl w:val="0"/>
          <w:numId w:val="44"/>
        </w:numPr>
        <w:rPr>
          <w:rFonts w:ascii="Arial" w:cs="Arial" w:eastAsia="Arial" w:hAnsi="Arial"/>
          <w:sz w:val="19"/>
          <w:szCs w:val="19"/>
          <w:color w:val="auto"/>
        </w:rPr>
      </w:pPr>
      <w:r>
        <w:rPr>
          <w:rFonts w:ascii="Arial" w:cs="Arial" w:eastAsia="Arial" w:hAnsi="Arial"/>
          <w:sz w:val="15"/>
          <w:szCs w:val="15"/>
          <w:i w:val="1"/>
          <w:iCs w:val="1"/>
          <w:color w:val="auto"/>
        </w:rPr>
        <w:t>Creative freedom through simple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175"/>
        <w:spacing w:after="0"/>
        <w:tabs>
          <w:tab w:leader="none" w:pos="180" w:val="left"/>
        </w:tabs>
        <w:numPr>
          <w:ilvl w:val="0"/>
          <w:numId w:val="45"/>
        </w:numPr>
        <w:rPr>
          <w:rFonts w:ascii="Arial" w:cs="Arial" w:eastAsia="Arial" w:hAnsi="Arial"/>
          <w:sz w:val="19"/>
          <w:szCs w:val="19"/>
          <w:color w:val="auto"/>
        </w:rPr>
      </w:pPr>
      <w:r>
        <w:rPr>
          <w:rFonts w:ascii="Arial" w:cs="Arial" w:eastAsia="Arial" w:hAnsi="Arial"/>
          <w:sz w:val="15"/>
          <w:szCs w:val="15"/>
          <w:i w:val="1"/>
          <w:iCs w:val="1"/>
          <w:color w:val="auto"/>
        </w:rPr>
        <w:t>100% vetted, commercial-quality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5"/>
        <w:spacing w:after="0"/>
        <w:tabs>
          <w:tab w:leader="none" w:pos="180" w:val="left"/>
        </w:tabs>
        <w:numPr>
          <w:ilvl w:val="0"/>
          <w:numId w:val="46"/>
        </w:numPr>
        <w:rPr>
          <w:rFonts w:ascii="Arial" w:cs="Arial" w:eastAsia="Arial" w:hAnsi="Arial"/>
          <w:sz w:val="21"/>
          <w:szCs w:val="21"/>
          <w:color w:val="auto"/>
        </w:rPr>
      </w:pPr>
      <w:r>
        <w:rPr>
          <w:rFonts w:ascii="Arial" w:cs="Arial" w:eastAsia="Arial" w:hAnsi="Arial"/>
          <w:sz w:val="17"/>
          <w:szCs w:val="17"/>
          <w:i w:val="1"/>
          <w:iCs w:val="1"/>
          <w:color w:val="auto"/>
        </w:rPr>
        <w:t>Appropriately licensed content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both"/>
        <w:ind w:left="320"/>
        <w:spacing w:after="0" w:line="262" w:lineRule="auto"/>
        <w:rPr>
          <w:sz w:val="20"/>
          <w:szCs w:val="20"/>
          <w:color w:val="auto"/>
        </w:rPr>
      </w:pPr>
      <w:r>
        <w:rPr>
          <w:rFonts w:ascii="Arial" w:cs="Arial" w:eastAsia="Arial" w:hAnsi="Arial"/>
          <w:sz w:val="17"/>
          <w:szCs w:val="17"/>
          <w:color w:val="auto"/>
        </w:rPr>
        <w:t>Our affordable pricing models enable users to download content for as little as $0.28 per download. Across our pricing plans, customers paid an average of $2.23 per download in 2012. We believe that our disruptive pricing models increase the number of businesses that can participate in the market for commercial imagery and that they increase the number of downloads that we deliver.</w:t>
      </w:r>
    </w:p>
    <w:p>
      <w:pPr>
        <w:spacing w:after="0" w:line="188" w:lineRule="exact"/>
        <w:rPr>
          <w:sz w:val="20"/>
          <w:szCs w:val="20"/>
          <w:color w:val="auto"/>
        </w:rPr>
      </w:pPr>
    </w:p>
    <w:p>
      <w:pPr>
        <w:jc w:val="both"/>
        <w:ind w:left="320"/>
        <w:spacing w:after="0" w:line="261" w:lineRule="auto"/>
        <w:rPr>
          <w:sz w:val="20"/>
          <w:szCs w:val="20"/>
          <w:color w:val="auto"/>
        </w:rPr>
      </w:pPr>
      <w:r>
        <w:rPr>
          <w:rFonts w:ascii="Arial" w:cs="Arial" w:eastAsia="Arial" w:hAnsi="Arial"/>
          <w:sz w:val="17"/>
          <w:szCs w:val="17"/>
          <w:color w:val="auto"/>
        </w:rPr>
        <w:t>Our subscription-based pricing model makes the creative process easier. Subscription users can download any image in our collection at any resolution we offer for use in their creative process without worrying about incremental cost. This provides greater creative freedom and helps improve their work product. For users who need less content, we offer simple, affordable, On Demand pricing, which is presented as a flat rate across all content and sizes that we offer.</w:t>
      </w:r>
    </w:p>
    <w:p>
      <w:pPr>
        <w:spacing w:after="0" w:line="190" w:lineRule="exact"/>
        <w:rPr>
          <w:sz w:val="20"/>
          <w:szCs w:val="20"/>
          <w:color w:val="auto"/>
        </w:rPr>
      </w:pPr>
    </w:p>
    <w:p>
      <w:pPr>
        <w:jc w:val="both"/>
        <w:ind w:left="320"/>
        <w:spacing w:after="0" w:line="301" w:lineRule="auto"/>
        <w:rPr>
          <w:sz w:val="20"/>
          <w:szCs w:val="20"/>
          <w:color w:val="auto"/>
        </w:rPr>
      </w:pPr>
      <w:r>
        <w:rPr>
          <w:rFonts w:ascii="Arial" w:cs="Arial" w:eastAsia="Arial" w:hAnsi="Arial"/>
          <w:sz w:val="15"/>
          <w:szCs w:val="15"/>
          <w:color w:val="auto"/>
        </w:rPr>
        <w:t>We are highly focused on maintaining the quality of our collection. Our content has been vetted by a member of our review team for standards of quality and relevance. We also leverage proprietary review technology to pre-filter images and video clips and enhance the productivity of our reviewers. Less than 20% of contributor applicants who applied in 2012 were approved as contributors to shutterstock.com, and less than 65% of our content uploaded by approved contributors in 2012 satisfied our rigorous acceptance requirements.</w:t>
      </w:r>
    </w:p>
    <w:p>
      <w:pPr>
        <w:spacing w:after="0" w:line="164" w:lineRule="exact"/>
        <w:rPr>
          <w:sz w:val="20"/>
          <w:szCs w:val="20"/>
          <w:color w:val="auto"/>
        </w:rPr>
      </w:pPr>
    </w:p>
    <w:p>
      <w:pPr>
        <w:jc w:val="both"/>
        <w:ind w:left="320"/>
        <w:spacing w:after="0" w:line="278" w:lineRule="auto"/>
        <w:rPr>
          <w:sz w:val="20"/>
          <w:szCs w:val="20"/>
          <w:color w:val="auto"/>
        </w:rPr>
      </w:pPr>
      <w:r>
        <w:rPr>
          <w:rFonts w:ascii="Arial" w:cs="Arial" w:eastAsia="Arial" w:hAnsi="Arial"/>
          <w:sz w:val="16"/>
          <w:szCs w:val="16"/>
          <w:color w:val="auto"/>
        </w:rPr>
        <w:t>We provide images and video clips that are appropriately licensed for commercial and editorial use. Our review process is designed to ensure that every image and video clip is appropriately licensed for its intended use. For example, a model release is required for all images and video clips that include a person with recognizable features and a property release is required for images of certain types of property and public places with photography policies. The strength of our review process enables us to offer $10,000 of indemnification protection to every customer to cover legal costs or damages that may arise from their use of Shutterstock content. In certain cases, we offer greater indemnification levels through custom contracts.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4900" w:space="720"/>
            <w:col w:w="580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for Our Contributors</w:t>
      </w:r>
    </w:p>
    <w:p>
      <w:pPr>
        <w:spacing w:after="0" w:line="225" w:lineRule="exact"/>
        <w:rPr>
          <w:sz w:val="20"/>
          <w:szCs w:val="20"/>
          <w:color w:val="auto"/>
        </w:rPr>
      </w:pPr>
    </w:p>
    <w:p>
      <w:pPr>
        <w:ind w:left="180" w:hanging="175"/>
        <w:spacing w:after="0"/>
        <w:tabs>
          <w:tab w:leader="none" w:pos="180" w:val="left"/>
        </w:tabs>
        <w:numPr>
          <w:ilvl w:val="0"/>
          <w:numId w:val="47"/>
        </w:numPr>
        <w:rPr>
          <w:rFonts w:ascii="Arial" w:cs="Arial" w:eastAsia="Arial" w:hAnsi="Arial"/>
          <w:sz w:val="21"/>
          <w:szCs w:val="21"/>
          <w:color w:val="auto"/>
        </w:rPr>
      </w:pPr>
      <w:r>
        <w:rPr>
          <w:rFonts w:ascii="Arial" w:cs="Arial" w:eastAsia="Arial" w:hAnsi="Arial"/>
          <w:sz w:val="17"/>
          <w:szCs w:val="17"/>
          <w:i w:val="1"/>
          <w:iCs w:val="1"/>
          <w:color w:val="auto"/>
        </w:rPr>
        <w:t>Distribution to the largest, global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hanging="175"/>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17"/>
          <w:szCs w:val="17"/>
          <w:i w:val="1"/>
          <w:iCs w:val="1"/>
          <w:color w:val="auto"/>
        </w:rPr>
        <w:t>Global ecommerce capabilities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0" w:lineRule="exact"/>
        <w:rPr>
          <w:rFonts w:ascii="Arial" w:cs="Arial" w:eastAsia="Arial" w:hAnsi="Arial"/>
          <w:sz w:val="21"/>
          <w:szCs w:val="21"/>
          <w:color w:val="auto"/>
        </w:rPr>
      </w:pPr>
    </w:p>
    <w:p>
      <w:pPr>
        <w:ind w:left="180" w:hanging="175"/>
        <w:spacing w:after="0"/>
        <w:tabs>
          <w:tab w:leader="none" w:pos="180" w:val="left"/>
        </w:tabs>
        <w:numPr>
          <w:ilvl w:val="0"/>
          <w:numId w:val="48"/>
        </w:numPr>
        <w:rPr>
          <w:rFonts w:ascii="Arial" w:cs="Arial" w:eastAsia="Arial" w:hAnsi="Arial"/>
          <w:sz w:val="19"/>
          <w:szCs w:val="19"/>
          <w:color w:val="auto"/>
        </w:rPr>
      </w:pPr>
      <w:r>
        <w:rPr>
          <w:rFonts w:ascii="Arial" w:cs="Arial" w:eastAsia="Arial" w:hAnsi="Arial"/>
          <w:sz w:val="15"/>
          <w:szCs w:val="15"/>
          <w:i w:val="1"/>
          <w:iCs w:val="1"/>
          <w:color w:val="auto"/>
        </w:rPr>
        <w:t>Efficient uploading, tagging and review process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180" w:hanging="175"/>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17"/>
          <w:szCs w:val="17"/>
          <w:i w:val="1"/>
          <w:iCs w:val="1"/>
          <w:color w:val="auto"/>
        </w:rPr>
        <w:t>Robust feedback, tools and information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7" w:lineRule="exact"/>
        <w:rPr>
          <w:rFonts w:ascii="Arial" w:cs="Arial" w:eastAsia="Arial" w:hAnsi="Arial"/>
          <w:sz w:val="21"/>
          <w:szCs w:val="21"/>
          <w:color w:val="auto"/>
        </w:rPr>
      </w:pPr>
    </w:p>
    <w:p>
      <w:pPr>
        <w:ind w:left="180" w:hanging="175"/>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17"/>
          <w:szCs w:val="17"/>
          <w:i w:val="1"/>
          <w:iCs w:val="1"/>
          <w:color w:val="auto"/>
        </w:rPr>
        <w:t>Specialized community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20"/>
        <w:spacing w:after="0" w:line="278" w:lineRule="auto"/>
        <w:rPr>
          <w:sz w:val="20"/>
          <w:szCs w:val="20"/>
          <w:color w:val="auto"/>
        </w:rPr>
      </w:pPr>
      <w:r>
        <w:rPr>
          <w:rFonts w:ascii="Arial" w:cs="Arial" w:eastAsia="Arial" w:hAnsi="Arial"/>
          <w:sz w:val="16"/>
          <w:szCs w:val="16"/>
          <w:color w:val="auto"/>
        </w:rPr>
        <w:t>Our global marketplace provides image creators with access to millions of image users searching for imagery to license. Our flagship website operates globally in 20 languages, allowing users around the world to easily search and access our entire collection of images and video clips online. In 2012, shutterstock.com received an average of more than 10 million monthly unique visitors and more than 65 million monthly page views according to comScore Media Metrix, and we delivered more than 76 million paid downloads. According to industry surveys, contributors who have images available on our site typically generate more income through Shutterstock than through any other sites with which they are registered.</w:t>
      </w:r>
    </w:p>
    <w:p>
      <w:pPr>
        <w:spacing w:after="0" w:line="176"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Our global ecommerce platform allows us to process payments from users across the world in 10 currencies, and pay our contributors monthly. Our users can currently transact on our flagship website in 20 languages, and we provide fraud protection, refunds and other types of customer support via phone and email on behalf of our contributors.</w:t>
      </w:r>
    </w:p>
    <w:p>
      <w:pPr>
        <w:spacing w:after="0" w:line="187" w:lineRule="exact"/>
        <w:rPr>
          <w:sz w:val="20"/>
          <w:szCs w:val="20"/>
          <w:color w:val="auto"/>
        </w:rPr>
      </w:pPr>
    </w:p>
    <w:p>
      <w:pPr>
        <w:jc w:val="both"/>
        <w:ind w:left="320"/>
        <w:spacing w:after="0" w:line="262" w:lineRule="auto"/>
        <w:rPr>
          <w:sz w:val="20"/>
          <w:szCs w:val="20"/>
          <w:color w:val="auto"/>
        </w:rPr>
      </w:pPr>
      <w:r>
        <w:rPr>
          <w:rFonts w:ascii="Arial" w:cs="Arial" w:eastAsia="Arial" w:hAnsi="Arial"/>
          <w:sz w:val="17"/>
          <w:szCs w:val="17"/>
          <w:color w:val="auto"/>
        </w:rPr>
        <w:t>Based on user feedback and competitive benchmarking, we believe that we have the most efficient upload, tagging and review process of all of the major competitors in our industry. We are committed to continuously finding new and innovative ways to improve our contributor interface and to providing short upload and review times—we typically process content within 72 hours of upload.</w:t>
      </w:r>
    </w:p>
    <w:p>
      <w:pPr>
        <w:spacing w:after="0" w:line="188"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We provide valuable tools and insights to our contributors. Our contributors can monitor download activity by image and geography, as well as by self-defined image themes. We also provide data on search trends, allowing content creators to see which images and subjects are popular on our site, and to plan new content themes accordingly.</w:t>
      </w:r>
    </w:p>
    <w:p>
      <w:pPr>
        <w:spacing w:after="0" w:line="187" w:lineRule="exact"/>
        <w:rPr>
          <w:sz w:val="20"/>
          <w:szCs w:val="20"/>
          <w:color w:val="auto"/>
        </w:rPr>
      </w:pPr>
    </w:p>
    <w:p>
      <w:pPr>
        <w:jc w:val="both"/>
        <w:ind w:left="320"/>
        <w:spacing w:after="0" w:line="283" w:lineRule="auto"/>
        <w:rPr>
          <w:sz w:val="20"/>
          <w:szCs w:val="20"/>
          <w:color w:val="auto"/>
        </w:rPr>
      </w:pPr>
      <w:r>
        <w:rPr>
          <w:rFonts w:ascii="Arial" w:cs="Arial" w:eastAsia="Arial" w:hAnsi="Arial"/>
          <w:sz w:val="16"/>
          <w:szCs w:val="16"/>
          <w:color w:val="auto"/>
        </w:rPr>
        <w:t>We operate a forum for the photographers, videographers and illustrators that make up our contributor community, allowing them to share tips with one another and to showcase their work. Our strict acceptance tests for new submissions provide contributors with a sense of challenge, accomplishment and exclusivity that makes our forums more useful and valuable.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4900" w:space="720"/>
            <w:col w:w="580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7"/>
          <w:szCs w:val="17"/>
          <w:color w:val="auto"/>
        </w:rPr>
        <w:t>In addition to the compelling value propositions and solutions that we offer to users and contributors, we believe that the following competitive advantages separate us from our competitors:</w:t>
      </w:r>
    </w:p>
    <w:p>
      <w:pPr>
        <w:spacing w:after="0" w:line="170"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b w:val="1"/>
          <w:bCs w:val="1"/>
          <w:i w:val="1"/>
          <w:iCs w:val="1"/>
          <w:color w:val="auto"/>
        </w:rPr>
        <w:t xml:space="preserve">A Leading Global Marketplace with Strong Network Effects. </w:t>
      </w:r>
      <w:r>
        <w:rPr>
          <w:rFonts w:ascii="Arial" w:cs="Arial" w:eastAsia="Arial" w:hAnsi="Arial"/>
          <w:sz w:val="16"/>
          <w:szCs w:val="16"/>
          <w:color w:val="auto"/>
        </w:rPr>
        <w:t>Our content collection is currently one of the largest in the commercial digital imagery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over 28 million images and more than 1 million video clips, from more than 40,000 contributors. In 2012, our contributors added more than five million new images to shutterstock.com. In the same twelve month period, shutterstock.com received an average of more than 10 million monthly unique visitors and more than 65 million monthly page views according to comScore Media Metrix. We believe that the growth of our content collection and the growth in our site traffic support one another through a strong network effect—a broader selection of images and video clips from our contributors attracts more image users; this larger audience of paying users increases the amount spent in our marketplace and attracts more content submissions from a greater number of contributors.</w:t>
      </w:r>
    </w:p>
    <w:p>
      <w:pPr>
        <w:spacing w:after="0" w:line="176"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Since 2003, our users have executed hundreds of millions of searches and made more than 300 million paid image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downloads from our collection. In 2012, we delivered more than 76 million paid downloads (including both commercial and editorial images) to our customers. We believe that we delivered the highest volume of commercial image downloads in 2012 of any single brand in our industry. This high volume of data, including data about the searches and downloads that our users execute, enables us to continuously improve our search algorithms. Furthermore, unlike the significant majority of images available for free online, each image in our collection is tagged by its contributor with approximately 35 relevant keywords. Currently, the Shutterstock collection contains more than 995 million contributor-generated image tags. This behavioral and keyword data, along with our investments in technology and our many years of experience in developing search algorithms designed specifically for the commercial digital imagery industry, increase the chances that our users find the image they require. We believe that a successful search experience is a critical determinant of customer satisfaction, and that our success in this area attracts more users to our websites.</w:t>
      </w:r>
    </w:p>
    <w:p>
      <w:pPr>
        <w:spacing w:after="0" w:line="192"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Since inception, we have aimed to deliver exceptional value to our users through simple and flexible pricing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average cost per download was $2.23 in 2012. We were a pioneer of the subscription-based payment model in our industry. Our subscription plans generate an important sense of creative freedom for our professional users, enabling them to try out multiple images or video clips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 According to industry surveys, our contributors typically generate more income from their work through Shutterstock than through any other image provider.</w:t>
      </w:r>
    </w:p>
    <w:p>
      <w:pPr>
        <w:spacing w:after="0" w:line="190" w:lineRule="exact"/>
        <w:rPr>
          <w:sz w:val="20"/>
          <w:szCs w:val="20"/>
          <w:color w:val="auto"/>
        </w:rPr>
      </w:pPr>
    </w:p>
    <w:p>
      <w:pPr>
        <w:jc w:val="both"/>
        <w:ind w:firstLine="455"/>
        <w:spacing w:after="0" w:line="261"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appropriately licensed, high-quality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and video clips. Our rigorous review process for new images ensures the integrity and quality of content in our collection. Each image and video clip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indemnification protection that covers up to $10,000 should any legal costs or direct damages for claims arise from the use of an image or footage clip licensed through Shutterstock. In some cases, we offer even greater or unlimited levels of indemnification through custom contracts. We offer indemnification as a signal to our customers that they can trust the quality and licensability of content available through our marketplace; this sets us apart from many competitors and free sources of imagery.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We believe that there is a significant opportunity to grow our marketplace by increasing awareness of our brand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proposition. For example, as of our last comprehensive customer survey, more than 70% of our customers work at companies with 20 employees or fewer; however, our active user base of U.S. SMBs currently represents less than 1% of the approximately 24 million SMBs that BIA/Kelsey estimates exist in the United States alone. We view this as a marketing opportunity. A significant portion of our growth to date has been driven by word of mouth recommendations. We plan to continue to foster word of mouth by continuing to grow our collection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collection by increasing awareness among potential contributors of the opportunity to share their creative work with a broader audience and generate income through Shutterstock.</w:t>
      </w:r>
    </w:p>
    <w:p>
      <w:pPr>
        <w:spacing w:after="0" w:line="187"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We intend to build on our market-leading position by providing the best online experience for digital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image users and contributors. With one of the largest collections of images in the industry, and one of the highest volumes of commercial image downloads, we believe that we have more information on the marketplace and user needs than any of our competitors. We intend to use this data to continue to improve the quality of our search algorithms and user experience. We also plan to enhance the tools we offer contributors to help them establish their portfolio on our site, track their performance and explore opportunities to create content that customers need. We plan to continue to improve the speed and usefulness of feedback that we provide contributors on the images that they submit, and facilitate new ways for them to participate in an engaged community of their peers. Lastly, we intend to roll out new product offerings and product extensions that we believe will create deeper relationships with our core communities and attract new users to our sites.</w:t>
      </w:r>
    </w:p>
    <w:p>
      <w:pPr>
        <w:spacing w:after="0" w:line="164" w:lineRule="exact"/>
        <w:rPr>
          <w:sz w:val="20"/>
          <w:szCs w:val="20"/>
          <w:color w:val="auto"/>
        </w:rPr>
      </w:pPr>
    </w:p>
    <w:p>
      <w:pPr>
        <w:jc w:val="both"/>
        <w:ind w:firstLine="364"/>
        <w:spacing w:after="0" w:line="261" w:lineRule="auto"/>
        <w:rPr>
          <w:sz w:val="20"/>
          <w:szCs w:val="20"/>
          <w:color w:val="auto"/>
        </w:rPr>
      </w:pPr>
      <w:r>
        <w:rPr>
          <w:rFonts w:ascii="Arial" w:cs="Arial" w:eastAsia="Arial" w:hAnsi="Arial"/>
          <w:sz w:val="17"/>
          <w:szCs w:val="17"/>
          <w:b w:val="1"/>
          <w:bCs w:val="1"/>
          <w:i w:val="1"/>
          <w:iCs w:val="1"/>
          <w:color w:val="auto"/>
        </w:rPr>
        <w:t xml:space="preserve">Increase Localization. </w:t>
      </w:r>
      <w:r>
        <w:rPr>
          <w:rFonts w:ascii="Arial" w:cs="Arial" w:eastAsia="Arial" w:hAnsi="Arial"/>
          <w:sz w:val="17"/>
          <w:szCs w:val="17"/>
          <w:color w:val="auto"/>
        </w:rPr>
        <w:t>We are a global company, with users in more than 150 countries, contributors in more than 100 countries and a website that is available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 languages. We 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customs, objects and ethnicities. We plan to increase the geographical diversity of our contributor community so that we can provide the images demanded by our increasingly global user base.</w:t>
      </w:r>
    </w:p>
    <w:p>
      <w:pPr>
        <w:spacing w:after="0" w:line="190" w:lineRule="exact"/>
        <w:rPr>
          <w:sz w:val="20"/>
          <w:szCs w:val="20"/>
          <w:color w:val="auto"/>
        </w:rPr>
      </w:pPr>
    </w:p>
    <w:p>
      <w:pPr>
        <w:jc w:val="both"/>
        <w:ind w:firstLine="380"/>
        <w:spacing w:after="0" w:line="278"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SMBs purchasing online,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of whom did not previously have access to low-cost commercial digital imagery. As of our last comprehensive customer survey, conducted in June 2011, less than 10% of our customers worked at companies with more than 500 employees. Furthermore, in 2012, less than 10% of our revenue was generated through our direct sales organization, which focuses on sales to media agencies and large enterprises. We believe that we have a strong value proposition for media agencies and large enterprises, which account for a significant portion of the existing market for commercial digital imagery. These companies have historically purchased commercial imagery via sales-driven relationships and are used to complex licensing, limited image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recently began building a direct sales team and distinctive product offerings to target media agencies and large enterprises. We plan to expand our efforts in this area.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5"/>
          <w:szCs w:val="15"/>
          <w:b w:val="1"/>
          <w:bCs w:val="1"/>
          <w:i w:val="1"/>
          <w:iCs w:val="1"/>
          <w:color w:val="auto"/>
        </w:rPr>
        <w:t xml:space="preserve">Pursue Emerging Content Types. </w:t>
      </w:r>
      <w:r>
        <w:rPr>
          <w:rFonts w:ascii="Arial" w:cs="Arial" w:eastAsia="Arial" w:hAnsi="Arial"/>
          <w:sz w:val="15"/>
          <w:szCs w:val="15"/>
          <w:color w:val="auto"/>
        </w:rPr>
        <w:t>Alternative content types such as video footage represent significant opportunities for growth. According to MagnaGlobal,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global online video advertising spending is expected to increase 27% annually from $3.1 billion in 2010 to $10.2 billion in 2015. Video has become a mainstream online activity globally, and is forecasted to expand to 62% of all consumer internet traffic by 2015, according to Cisco's Visual Networking Index. As user demand is increasing, the cost for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market. In addition to video, we see opportunities in other emerging digital content areas that may be relevant to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jc w:val="both"/>
        <w:ind w:firstLine="446"/>
        <w:spacing w:after="0" w:line="280" w:lineRule="auto"/>
        <w:rPr>
          <w:sz w:val="20"/>
          <w:szCs w:val="20"/>
          <w:color w:val="auto"/>
        </w:rPr>
      </w:pPr>
      <w:r>
        <w:rPr>
          <w:rFonts w:ascii="Arial" w:cs="Arial" w:eastAsia="Arial" w:hAnsi="Arial"/>
          <w:sz w:val="16"/>
          <w:szCs w:val="16"/>
          <w:color w:val="auto"/>
        </w:rPr>
        <w:t>We provide licensed content that our users purchase to enhance their visual communications. Our collection is currently one of the largest in the commercial digital imagery industry, with over 28 million images and more than 1 million video clips. We offer a variety of content types, including photography, illustrations, vector art and video footage. Users can search our collection and preview watermarked versions of our content at no cost. They can then pay to license and download the images they need, either on a subscription basis or on a per-download basis. Shutterstock images are provided under a royalty-free non-exclusive license and, as an assurance of the integrity of our content, users are generally covered by up to $10,000 in indemnification protection against any legal costs or damages that may arise from the licensed use of our images. Each image is available for high-resolution digital download and has been vetted by our team of reviewers to ensure that it meets our standards of quality and can be appropriately licensed for commercial or editorial use.</w:t>
      </w:r>
    </w:p>
    <w:p>
      <w:pPr>
        <w:spacing w:after="0" w:line="175" w:lineRule="exact"/>
        <w:rPr>
          <w:sz w:val="20"/>
          <w:szCs w:val="20"/>
          <w:color w:val="auto"/>
        </w:rPr>
      </w:pPr>
    </w:p>
    <w:p>
      <w:pPr>
        <w:jc w:val="both"/>
        <w:ind w:firstLine="642"/>
        <w:spacing w:after="0" w:line="280" w:lineRule="auto"/>
        <w:rPr>
          <w:sz w:val="20"/>
          <w:szCs w:val="20"/>
          <w:color w:val="auto"/>
        </w:rPr>
      </w:pPr>
      <w:r>
        <w:rPr>
          <w:rFonts w:ascii="Arial" w:cs="Arial" w:eastAsia="Arial" w:hAnsi="Arial"/>
          <w:sz w:val="16"/>
          <w:szCs w:val="16"/>
          <w:b w:val="1"/>
          <w:bCs w:val="1"/>
          <w:i w:val="1"/>
          <w:iCs w:val="1"/>
          <w:color w:val="auto"/>
        </w:rPr>
        <w:t xml:space="preserve">Photographs. </w:t>
      </w:r>
      <w:r>
        <w:rPr>
          <w:rFonts w:ascii="Arial" w:cs="Arial" w:eastAsia="Arial" w:hAnsi="Arial"/>
          <w:sz w:val="16"/>
          <w:szCs w:val="16"/>
          <w:color w:val="auto"/>
        </w:rPr>
        <w:t>We offer high quality photographs that cover a wide variety of subjects, including animals/wildlife, the arts, backgrounds/textures,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beauty/fashion, buildings/landmarks, business/finance, celebrities, education, food and 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 fewer than 10% of our total images, cannot be used to promote a product or service; instead these images are licensed for use in editorial settings such as newspapers, blogs and magazines. Photographs are available in a variety of sizes including small files that are appropriate for mobile browsing and large files appropriate for large format prints and high-resolution displays. Currently, photographs make up approximately 69% of our collection.</w:t>
      </w:r>
    </w:p>
    <w:p>
      <w:pPr>
        <w:spacing w:after="0" w:line="175" w:lineRule="exact"/>
        <w:rPr>
          <w:sz w:val="20"/>
          <w:szCs w:val="20"/>
          <w:color w:val="auto"/>
        </w:rPr>
      </w:pPr>
    </w:p>
    <w:p>
      <w:pPr>
        <w:jc w:val="both"/>
        <w:ind w:firstLine="465"/>
        <w:spacing w:after="0" w:line="287" w:lineRule="auto"/>
        <w:rPr>
          <w:sz w:val="20"/>
          <w:szCs w:val="20"/>
          <w:color w:val="auto"/>
        </w:rPr>
      </w:pPr>
      <w:r>
        <w:rPr>
          <w:rFonts w:ascii="Arial" w:cs="Arial" w:eastAsia="Arial" w:hAnsi="Arial"/>
          <w:sz w:val="16"/>
          <w:szCs w:val="16"/>
          <w:b w:val="1"/>
          <w:bCs w:val="1"/>
          <w:i w:val="1"/>
          <w:iCs w:val="1"/>
          <w:color w:val="auto"/>
        </w:rPr>
        <w:t xml:space="preserve">Illustrations and Vector Art. </w:t>
      </w:r>
      <w:r>
        <w:rPr>
          <w:rFonts w:ascii="Arial" w:cs="Arial" w:eastAsia="Arial" w:hAnsi="Arial"/>
          <w:sz w:val="16"/>
          <w:szCs w:val="16"/>
          <w:color w:val="auto"/>
        </w:rPr>
        <w:t>In addition to photographic images, we also offer images that have been created using illustration tools and software.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Currently, illustrations and vector art make up approximately 27% of our collection.</w:t>
      </w:r>
    </w:p>
    <w:p>
      <w:pPr>
        <w:spacing w:after="0" w:line="169"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b w:val="1"/>
          <w:bCs w:val="1"/>
          <w:i w:val="1"/>
          <w:iCs w:val="1"/>
          <w:color w:val="auto"/>
        </w:rPr>
        <w:t xml:space="preserve">Video Footage. </w:t>
      </w:r>
      <w:r>
        <w:rPr>
          <w:rFonts w:ascii="Arial" w:cs="Arial" w:eastAsia="Arial" w:hAnsi="Arial"/>
          <w:sz w:val="16"/>
          <w:szCs w:val="16"/>
          <w:color w:val="auto"/>
        </w:rPr>
        <w:t>For users engaged in producing video advertisements, commercial motion pictures, television programming, video games, interactive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other video-based media, we also provide video footage. Footage clips are available in a variety of formats and sizes, including High Definition (HD). Currently, our video footage collection contains more than one million video clips and makes up approximately 4% of our collection.</w:t>
      </w:r>
    </w:p>
    <w:p>
      <w:pPr>
        <w:spacing w:after="0" w:line="163"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b w:val="1"/>
          <w:bCs w:val="1"/>
          <w:i w:val="1"/>
          <w:iCs w:val="1"/>
          <w:color w:val="auto"/>
        </w:rPr>
        <w:t xml:space="preserve">Curated, High-End Content. </w:t>
      </w:r>
      <w:r>
        <w:rPr>
          <w:rFonts w:ascii="Arial" w:cs="Arial" w:eastAsia="Arial" w:hAnsi="Arial"/>
          <w:sz w:val="16"/>
          <w:szCs w:val="16"/>
          <w:color w:val="auto"/>
        </w:rPr>
        <w:t>For users looking for imagery from top photographers and illustrators around the world, our Offset brand provides authentic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imagery and a straightforward licensing process. Artists featured on the site include assignment photographers Maura McEvoy and David Prince,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illustrators Jacob Thomas and Rian Hughes. Offset also features work from established and respected collections including National Geographic and Huber Images.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Every image has been hand-curated for inclusion in a specific category, such as commercial lifestyle, food, travel and fashion.</w:t>
      </w:r>
    </w:p>
    <w:p>
      <w:pPr>
        <w:spacing w:after="0" w:line="218" w:lineRule="exact"/>
        <w:rPr>
          <w:sz w:val="20"/>
          <w:szCs w:val="20"/>
          <w:color w:val="auto"/>
        </w:rPr>
      </w:pPr>
    </w:p>
    <w:p>
      <w:pPr>
        <w:jc w:val="both"/>
        <w:ind w:firstLine="425"/>
        <w:spacing w:after="0" w:line="311" w:lineRule="auto"/>
        <w:rPr>
          <w:sz w:val="20"/>
          <w:szCs w:val="20"/>
          <w:color w:val="auto"/>
        </w:rPr>
      </w:pPr>
      <w:r>
        <w:rPr>
          <w:rFonts w:ascii="Arial" w:cs="Arial" w:eastAsia="Arial" w:hAnsi="Arial"/>
          <w:sz w:val="15"/>
          <w:szCs w:val="15"/>
          <w:b w:val="1"/>
          <w:bCs w:val="1"/>
          <w:i w:val="1"/>
          <w:iCs w:val="1"/>
          <w:color w:val="auto"/>
        </w:rPr>
        <w:t xml:space="preserve">Online Learning Platform. </w:t>
      </w:r>
      <w:r>
        <w:rPr>
          <w:rFonts w:ascii="Arial" w:cs="Arial" w:eastAsia="Arial" w:hAnsi="Arial"/>
          <w:sz w:val="15"/>
          <w:szCs w:val="15"/>
          <w:color w:val="auto"/>
        </w:rPr>
        <w:t>For digital professionals looking to improve their skills, our Skillfeed platform provides an online marketplace of curated video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courses accessed through a subscription plan. Skillfeed features more than 10,000 videos from over 100 instructors, and includes tutorials on subjects ranging from graphic design, video and photo editing, to professional skills such as Microsoft Excel and web development. Skillfeed offers comprehensive courses, with videos of 20 minutes or more, designed to develop in-depth professional skills, as well as shorter courses designed to provide new tips and techniques on a range of topics.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w:t>
      </w:r>
    </w:p>
    <w:p>
      <w:pPr>
        <w:spacing w:after="0" w:line="228"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7"/>
          <w:szCs w:val="17"/>
          <w:color w:val="auto"/>
        </w:rPr>
        <w:t>Shutterstock strives to offer simple, straightforward purchase options that remove complexity from a customer's workflow. We currently offer the following options:</w:t>
      </w:r>
    </w:p>
    <w:p>
      <w:pPr>
        <w:spacing w:after="0" w:line="170" w:lineRule="exact"/>
        <w:rPr>
          <w:sz w:val="20"/>
          <w:szCs w:val="20"/>
          <w:color w:val="auto"/>
        </w:rPr>
      </w:pPr>
    </w:p>
    <w:p>
      <w:pPr>
        <w:jc w:val="both"/>
        <w:ind w:firstLine="367"/>
        <w:spacing w:after="0" w:line="283" w:lineRule="auto"/>
        <w:rPr>
          <w:sz w:val="20"/>
          <w:szCs w:val="20"/>
          <w:color w:val="auto"/>
        </w:rPr>
      </w:pPr>
      <w:r>
        <w:rPr>
          <w:rFonts w:ascii="Arial" w:cs="Arial" w:eastAsia="Arial" w:hAnsi="Arial"/>
          <w:sz w:val="16"/>
          <w:szCs w:val="16"/>
          <w:b w:val="1"/>
          <w:bCs w:val="1"/>
          <w:i w:val="1"/>
          <w:iCs w:val="1"/>
          <w:color w:val="auto"/>
        </w:rPr>
        <w:t xml:space="preserve">Subscription: </w:t>
      </w:r>
      <w:r>
        <w:rPr>
          <w:rFonts w:ascii="Arial" w:cs="Arial" w:eastAsia="Arial" w:hAnsi="Arial"/>
          <w:sz w:val="16"/>
          <w:szCs w:val="16"/>
          <w:color w:val="auto"/>
        </w:rPr>
        <w:t>Our signature and highest grossing purchase option is our 25-a-day subscription. This purchase option allows a user to download up to a total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 photos, vectors or illustrations per day under our Standard License, regardless of image size. Subscription customers can download and experiment with multiple images at no extra cost, which removes friction from their creative process. Subscriptions can be purchased in 30 day, 90 day, 180 day and 365 day increments and are paid in advance. Additionally, the subscription package for our new online learning marketplace, Skillfeed, allows users to access unlimited videos for a single monthly price. Subscription purchase options currently represent approximately 50% of our revenue.</w:t>
      </w:r>
    </w:p>
    <w:p>
      <w:pPr>
        <w:spacing w:after="0" w:line="174"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b w:val="1"/>
          <w:bCs w:val="1"/>
          <w:i w:val="1"/>
          <w:iCs w:val="1"/>
          <w:color w:val="auto"/>
        </w:rPr>
        <w:t xml:space="preserve">On Demand: </w:t>
      </w:r>
      <w:r>
        <w:rPr>
          <w:rFonts w:ascii="Arial" w:cs="Arial" w:eastAsia="Arial" w:hAnsi="Arial"/>
          <w:sz w:val="16"/>
          <w:szCs w:val="16"/>
          <w:color w:val="auto"/>
        </w:rPr>
        <w:t>Customers can also buy images in fixed packages. For example, we offer On Demand packages that include one image, five images, 25 or 60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with various resolution under our Standard License. We charge the same price for illustrations and vectors as we do for photographs and we do not charge more for a full resolution image than a small image. This offers customers the simplicity of being able to license any size of any still image in our collection for the same price. Once a customer purchases images On Demand from us, he or she has up to one year to download those images before they expire. While the significant majority of On Demand revenue comes from our Standard License packages, other forms of On Demand purchases include Enhanced Licenses (for customers who need broader licensing rights than are offered under our Standard License) and images licensed through Bigstock and Offset. Together, all of our On Demand purchase options currently represent approximately 35% of revenue.</w:t>
      </w:r>
    </w:p>
    <w:p>
      <w:pPr>
        <w:spacing w:after="0" w:line="175"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7"/>
          <w:szCs w:val="17"/>
          <w:b w:val="1"/>
          <w:bCs w:val="1"/>
          <w:i w:val="1"/>
          <w:iCs w:val="1"/>
          <w:color w:val="auto"/>
        </w:rPr>
        <w:t xml:space="preserve">Other Purchase Options: </w:t>
      </w:r>
      <w:r>
        <w:rPr>
          <w:rFonts w:ascii="Arial" w:cs="Arial" w:eastAsia="Arial" w:hAnsi="Arial"/>
          <w:sz w:val="17"/>
          <w:szCs w:val="17"/>
          <w:color w:val="auto"/>
        </w:rPr>
        <w:t>We provide a number of other purchase options which together represent approximately 15% of our revenue. These purchase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custom accounts (for customers that need multi-seat access, invoicing, unlimited indemnification or a higher volume of images) and video footage (which are sold individually and in fixed packages).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Users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We serve a wide variety of companies across numerous industries, organizational sizes and geographies. As of December 31, 2012, our customer database contained more than three million user accounts. Of these, more than 750,000 users contributed to revenue in 2012. Due to our large number of customers and the way that our products are sold, we do not have any material customer concentration; our largest single customer made up less than 2% of revenue in 2012. Our users tend to fit into three categories: businesses, marketing agencies and media organizations.</w:t>
      </w:r>
    </w:p>
    <w:p>
      <w:pPr>
        <w:spacing w:after="0" w:line="185" w:lineRule="exact"/>
        <w:rPr>
          <w:sz w:val="20"/>
          <w:szCs w:val="20"/>
          <w:color w:val="auto"/>
        </w:rPr>
      </w:pPr>
    </w:p>
    <w:p>
      <w:pPr>
        <w:jc w:val="both"/>
        <w:ind w:firstLine="341"/>
        <w:spacing w:after="0" w:line="352" w:lineRule="auto"/>
        <w:rPr>
          <w:sz w:val="20"/>
          <w:szCs w:val="20"/>
          <w:color w:val="auto"/>
        </w:rPr>
      </w:pPr>
      <w:r>
        <w:rPr>
          <w:rFonts w:ascii="Arial" w:cs="Arial" w:eastAsia="Arial" w:hAnsi="Arial"/>
          <w:sz w:val="15"/>
          <w:szCs w:val="15"/>
          <w:b w:val="1"/>
          <w:bCs w:val="1"/>
          <w:i w:val="1"/>
          <w:iCs w:val="1"/>
          <w:color w:val="auto"/>
        </w:rPr>
        <w:t xml:space="preserve">Businesses. </w:t>
      </w:r>
      <w:r>
        <w:rPr>
          <w:rFonts w:ascii="Arial" w:cs="Arial" w:eastAsia="Arial" w:hAnsi="Arial"/>
          <w:sz w:val="15"/>
          <w:szCs w:val="15"/>
          <w:color w:val="auto"/>
        </w:rPr>
        <w:t>Business customers require high-quality, commercially-licensed digital imagery for a wide range of communication materials. Such communication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materials may be intended for internal or external use and include websites, print and digital advertisements, annual reports, brochures, employee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communications, newsletters, email marketing campaigns and presentations. Shutterstock's business users range from sole proprietors to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companies.</w:t>
      </w:r>
    </w:p>
    <w:p>
      <w:pPr>
        <w:spacing w:after="0" w:line="247"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b w:val="1"/>
          <w:bCs w:val="1"/>
          <w:i w:val="1"/>
          <w:iCs w:val="1"/>
          <w:color w:val="auto"/>
        </w:rPr>
        <w:t xml:space="preserve">Marketing Agencies. </w:t>
      </w:r>
      <w:r>
        <w:rPr>
          <w:rFonts w:ascii="Arial" w:cs="Arial" w:eastAsia="Arial" w:hAnsi="Arial"/>
          <w:sz w:val="17"/>
          <w:szCs w:val="17"/>
          <w:color w:val="auto"/>
        </w:rPr>
        <w:t>Marketing agencies require high-quality, commercially-licensed digital imagery to incorporate in the work they produce for their clients'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communications. Whether providing graphic design, web design, interactive design, advertising, public relations, communications or marketing services, Shutterstock's marketing users range from independent freelancers to the largest global agencies.</w:t>
      </w:r>
    </w:p>
    <w:p>
      <w:pPr>
        <w:spacing w:after="0" w:line="179"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b w:val="1"/>
          <w:bCs w:val="1"/>
          <w:i w:val="1"/>
          <w:iCs w:val="1"/>
          <w:color w:val="auto"/>
        </w:rPr>
        <w:t xml:space="preserve">Media Organizations. </w:t>
      </w:r>
      <w:r>
        <w:rPr>
          <w:rFonts w:ascii="Arial" w:cs="Arial" w:eastAsia="Arial" w:hAnsi="Arial"/>
          <w:sz w:val="17"/>
          <w:szCs w:val="17"/>
          <w:color w:val="auto"/>
        </w:rPr>
        <w:t>Media professionals require high-quality, commercially-licensed digital imagery to incorporate in the content they produce,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newspapers, books, magazines, digital publications, television and film. They also require high quality images to market their products effectively. Shutterstock's media users range from independent bloggers to multi-national publishing and broadcast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Content Contributors and Content Review Process</w:t>
      </w:r>
    </w:p>
    <w:p>
      <w:pPr>
        <w:spacing w:after="0" w:line="22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The content we provide to our users is created by a community of contributors from around the world and is vetted by our specialized team of image and video clip reviewers. Whether photographers, videographers, illustrators or designers, our community of more than 40,000 approved contributors range from part-time enthusiasts to full-time professionals, and all of them must meet high standards in order to work with Shutterstock.</w:t>
      </w:r>
    </w:p>
    <w:p>
      <w:pPr>
        <w:spacing w:after="0" w:line="179" w:lineRule="exact"/>
        <w:rPr>
          <w:sz w:val="20"/>
          <w:szCs w:val="20"/>
          <w:color w:val="auto"/>
        </w:rPr>
      </w:pPr>
    </w:p>
    <w:p>
      <w:pPr>
        <w:jc w:val="both"/>
        <w:ind w:firstLine="404"/>
        <w:spacing w:after="0" w:line="300" w:lineRule="auto"/>
        <w:rPr>
          <w:sz w:val="20"/>
          <w:szCs w:val="20"/>
          <w:color w:val="auto"/>
        </w:rPr>
      </w:pPr>
      <w:r>
        <w:rPr>
          <w:rFonts w:ascii="Arial" w:cs="Arial" w:eastAsia="Arial" w:hAnsi="Arial"/>
          <w:sz w:val="15"/>
          <w:szCs w:val="15"/>
          <w:color w:val="auto"/>
        </w:rPr>
        <w:t>In order to become a contributor, an individual must submit an application that includes a portfolio of images or video clips. Of more than 495,000 contributor accounts that had been created as of December 31, 2012, less than 10% were approved. Once accepted by Shutterstock's review team, contributors can upload as many images as they would like; however, every submitted image is reviewed and either accepted or rejected by our team to ensure that images in our collection meet certain standards of aesthetic and technical quality. As of December 31, 2012, approximately 43 million images had been submitted to our review team by approved contributors and, of those, only 23 million, or approximately 50%, were approved and made available in our marketplace. Each image that is rejected by our review team is tagged with at least one rejection reason that is communicated to the submitting contributor to help him or her to improve and to give insight into our review standards. Such rejection reasons include focus, composition, poor lighting, trademark infringement and limited commercial value. We combine proprietary technology and highly trained content review staff to deliver sophisticated yet efficient image review—we typically process images within 72 hours of upload.</w:t>
      </w:r>
    </w:p>
    <w:p>
      <w:pPr>
        <w:spacing w:after="0" w:line="163"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auto"/>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currently have over 995 million contributor generated keywords in our database, with approximately 35 keywords per image.</w:t>
      </w:r>
    </w:p>
    <w:p>
      <w:pPr>
        <w:spacing w:after="0" w:line="163" w:lineRule="exact"/>
        <w:rPr>
          <w:sz w:val="20"/>
          <w:szCs w:val="20"/>
          <w:color w:val="auto"/>
        </w:rPr>
      </w:pPr>
    </w:p>
    <w:p>
      <w:pPr>
        <w:jc w:val="both"/>
        <w:ind w:firstLine="453"/>
        <w:spacing w:after="0" w:line="287" w:lineRule="auto"/>
        <w:rPr>
          <w:sz w:val="20"/>
          <w:szCs w:val="20"/>
          <w:color w:val="auto"/>
        </w:rPr>
      </w:pPr>
      <w:r>
        <w:rPr>
          <w:rFonts w:ascii="Arial" w:cs="Arial" w:eastAsia="Arial" w:hAnsi="Arial"/>
          <w:sz w:val="16"/>
          <w:szCs w:val="16"/>
          <w:color w:val="auto"/>
        </w:rPr>
        <w:t>All content accepted into our collection are added to our website where they are available for search, selection, license and download. Contributors are paid monthly based on how many times their images or video clips have been licensed in the previous month. Contributors may choose to remove their images or video clips from our collection at any time. Due to our large number of contributors, we do not have any material content supply concentration; the content contributed by our five highest-earning contributors was together responsible for less than 4% of downloads in 2012.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Shutterstock provides different earnings structures for photographs, illustrations and vector art, and for video footage:</w:t>
      </w:r>
    </w:p>
    <w:p>
      <w:pPr>
        <w:spacing w:after="0" w:line="224" w:lineRule="exact"/>
        <w:rPr>
          <w:sz w:val="20"/>
          <w:szCs w:val="20"/>
          <w:color w:val="auto"/>
        </w:rPr>
      </w:pPr>
    </w:p>
    <w:p>
      <w:pPr>
        <w:jc w:val="both"/>
        <w:ind w:firstLine="420"/>
        <w:spacing w:after="0" w:line="352" w:lineRule="auto"/>
        <w:rPr>
          <w:sz w:val="20"/>
          <w:szCs w:val="20"/>
          <w:color w:val="auto"/>
        </w:rPr>
      </w:pPr>
      <w:r>
        <w:rPr>
          <w:rFonts w:ascii="Arial" w:cs="Arial" w:eastAsia="Arial" w:hAnsi="Arial"/>
          <w:sz w:val="15"/>
          <w:szCs w:val="15"/>
          <w:b w:val="1"/>
          <w:bCs w:val="1"/>
          <w:i w:val="1"/>
          <w:iCs w:val="1"/>
          <w:color w:val="auto"/>
        </w:rPr>
        <w:t xml:space="preserve">Photographs, Illustrations and Vector Art. </w:t>
      </w:r>
      <w:r>
        <w:rPr>
          <w:rFonts w:ascii="Arial" w:cs="Arial" w:eastAsia="Arial" w:hAnsi="Arial"/>
          <w:sz w:val="15"/>
          <w:szCs w:val="15"/>
          <w:color w:val="auto"/>
        </w:rPr>
        <w:t>Contributors of photographs, illustrations and vector art are paid based on the number of times that their images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been licensed and downloaded. The significant majority of image downloads are licensed under our Standard License. The amount that a contributor of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photograph or vector receives per Standard License typically ranges from $0.25 per image downloaded to $5.70 per image downloaded. The exact amount is determined by our published earnings schedule and depends on the lifetime earnings of the contributor on our website and the purchase option under which an image was licensed. When images are licensed under our Enhanced License, the contributor of that image earns $28.00 per image downloaded. When images are licensed under other purchase options or license types, contributors earn between 20% and 30% of the sale price of each image based on his or her lifetime earnings as a contributor.</w:t>
      </w:r>
    </w:p>
    <w:p>
      <w:pPr>
        <w:spacing w:after="0" w:line="187"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b w:val="1"/>
          <w:bCs w:val="1"/>
          <w:i w:val="1"/>
          <w:iCs w:val="1"/>
          <w:color w:val="auto"/>
        </w:rPr>
        <w:t xml:space="preserve">Video Footage. </w:t>
      </w:r>
      <w:r>
        <w:rPr>
          <w:rFonts w:ascii="Arial" w:cs="Arial" w:eastAsia="Arial" w:hAnsi="Arial"/>
          <w:sz w:val="17"/>
          <w:szCs w:val="17"/>
          <w:color w:val="auto"/>
        </w:rPr>
        <w:t>Contributors of video footage are also paid based on the number of times that their video clips have been licensed and downloaded. When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video clip is downloaded the contributor is typically paid 30% of the sale price with certain minimum amounts per download.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Infrastructure</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Our business is built on a foundation of technology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79" w:lineRule="exact"/>
        <w:rPr>
          <w:sz w:val="20"/>
          <w:szCs w:val="20"/>
          <w:color w:val="auto"/>
        </w:rPr>
      </w:pPr>
    </w:p>
    <w:p>
      <w:pPr>
        <w:jc w:val="both"/>
        <w:ind w:firstLine="577"/>
        <w:spacing w:after="0" w:line="322" w:lineRule="auto"/>
        <w:rPr>
          <w:sz w:val="20"/>
          <w:szCs w:val="20"/>
          <w:color w:val="auto"/>
        </w:rPr>
      </w:pPr>
      <w:r>
        <w:rPr>
          <w:rFonts w:ascii="Arial" w:cs="Arial" w:eastAsia="Arial" w:hAnsi="Arial"/>
          <w:sz w:val="15"/>
          <w:szCs w:val="15"/>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45" w:lineRule="exact"/>
        <w:rPr>
          <w:sz w:val="20"/>
          <w:szCs w:val="20"/>
          <w:color w:val="auto"/>
        </w:rPr>
      </w:pPr>
    </w:p>
    <w:p>
      <w:pPr>
        <w:jc w:val="both"/>
        <w:ind w:firstLine="439"/>
        <w:spacing w:after="0" w:line="263" w:lineRule="auto"/>
        <w:rPr>
          <w:sz w:val="20"/>
          <w:szCs w:val="20"/>
          <w:color w:val="auto"/>
        </w:rPr>
      </w:pPr>
      <w:r>
        <w:rPr>
          <w:rFonts w:ascii="Arial" w:cs="Arial" w:eastAsia="Arial" w:hAnsi="Arial"/>
          <w:sz w:val="17"/>
          <w:szCs w:val="17"/>
          <w:color w:val="auto"/>
        </w:rPr>
        <w:t>Our customer-facing software enables users to search millions of digital images and then select, organize, pay for, license and download the images that they would like to use. Our proprietary search algorithms evolve automatically based on behavioral data, which means that each search and download that a user performs on our website gives our search engine more information with which to improve. Having delivered over 300 million paid downloads since 2003, the data that we have collected and the search technology that it powers are an important and proprietary asset. We have also invested in making our ecommerce platform a global one, allowing customers to search and make purchases in 20 languages and 10 currencies.</w:t>
      </w:r>
    </w:p>
    <w:p>
      <w:pPr>
        <w:spacing w:after="0" w:line="187" w:lineRule="exact"/>
        <w:rPr>
          <w:sz w:val="20"/>
          <w:szCs w:val="20"/>
          <w:color w:val="auto"/>
        </w:rPr>
      </w:pPr>
    </w:p>
    <w:p>
      <w:pPr>
        <w:jc w:val="both"/>
        <w:ind w:firstLine="428"/>
        <w:spacing w:after="0" w:line="283" w:lineRule="auto"/>
        <w:rPr>
          <w:sz w:val="20"/>
          <w:szCs w:val="20"/>
          <w:color w:val="auto"/>
        </w:rPr>
      </w:pPr>
      <w:r>
        <w:rPr>
          <w:rFonts w:ascii="Arial" w:cs="Arial" w:eastAsia="Arial" w:hAnsi="Arial"/>
          <w:sz w:val="16"/>
          <w:szCs w:val="16"/>
          <w:color w:val="auto"/>
        </w:rPr>
        <w:t>Our contributor-facing software enables users to apply to become a contributor, upload and tag images and video clips,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that customers will want to license, and is another example of how we combine software and large-scale proprietary datasets to deliver value to our users.</w:t>
      </w:r>
    </w:p>
    <w:p>
      <w:pPr>
        <w:spacing w:after="0" w:line="174"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auto"/>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69"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Our systems infrastructure is hosted by industry-leading third-party hosting providers that offer 24-hour monitoring, high-speed network access, auxiliary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monitoring, coupled with remote-content monitoring, allow our systems to maintain a high level of uptime and availability with high-performance delivery.</w:t>
      </w:r>
    </w:p>
    <w:p>
      <w:pPr>
        <w:spacing w:after="0" w:line="224" w:lineRule="exact"/>
        <w:rPr>
          <w:sz w:val="20"/>
          <w:szCs w:val="20"/>
          <w:color w:val="auto"/>
        </w:rPr>
      </w:pPr>
    </w:p>
    <w:p>
      <w:pPr>
        <w:jc w:val="both"/>
        <w:ind w:firstLine="410"/>
        <w:spacing w:after="0" w:line="287" w:lineRule="auto"/>
        <w:rPr>
          <w:sz w:val="20"/>
          <w:szCs w:val="20"/>
          <w:color w:val="auto"/>
        </w:rPr>
      </w:pPr>
      <w:r>
        <w:rPr>
          <w:rFonts w:ascii="Arial" w:cs="Arial" w:eastAsia="Arial" w:hAnsi="Arial"/>
          <w:sz w:val="16"/>
          <w:szCs w:val="16"/>
          <w:color w:val="auto"/>
        </w:rPr>
        <w:t>Our development teams employ Agile Development methodologies to increase the speed and effectiveness of our technology efforts; we focus on iterative and incremental development processes through which cross-functional teams release software code nearly every day and manage their own progress in two-week cycles known as "sprints." We view our investments in technology as being core to our long-term success and we intend to continue to investigate, develop and make capital investments in technology and operational systems that support our current business and new areas of potential business expansion.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Brands</w:t>
      </w:r>
    </w:p>
    <w:p>
      <w:pPr>
        <w:spacing w:after="0" w:line="228" w:lineRule="exact"/>
        <w:rPr>
          <w:sz w:val="20"/>
          <w:szCs w:val="20"/>
          <w:color w:val="auto"/>
        </w:rPr>
      </w:pPr>
    </w:p>
    <w:p>
      <w:pPr>
        <w:jc w:val="both"/>
        <w:ind w:firstLine="351"/>
        <w:spacing w:after="0" w:line="300" w:lineRule="auto"/>
        <w:rPr>
          <w:sz w:val="20"/>
          <w:szCs w:val="20"/>
          <w:color w:val="auto"/>
        </w:rPr>
      </w:pPr>
      <w:r>
        <w:rPr>
          <w:rFonts w:ascii="Arial" w:cs="Arial" w:eastAsia="Arial" w:hAnsi="Arial"/>
          <w:sz w:val="15"/>
          <w:szCs w:val="15"/>
          <w:color w:val="auto"/>
        </w:rPr>
        <w:t>Shutterstock is our flagship brand and the significant majority of our revenue is generated via shutterstock.com. We also operate a business called Bigstock which Shutterstock acquired in 2009. Additionally, we launched Offset and Skillfeed in 2013. Offset is a new brand featuring a collection of curated imagery from top photographers and illustrators featuring the works from established and respected collection including, but not limited to, National Geographic and Huber Images. Skillfeed is a new online marketplace that offers a collection of curated video learning courses for digital professionals through a simple, affordable subscription plan. We have maintained these as separate brands in order to allow us to target different customer segments. While Shutterstock generates the majority of its revenue from higher-volume image users and subscription-based pricing models, Bigstock focuses on the needs of lower-volume, more cost-conscious image users and Offset focuses on high-end advertising agencies and commercial buyers. Shutterstock's collection currently contains more than 28 million images and more than 1 million video clips. This figure does not include Bigstock's collection which contains more than 13 million images, many of which are also available through Shutterstock.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28"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 quality content, intuitive and efficient interfaces and market-leading value.</w:t>
      </w:r>
    </w:p>
    <w:p>
      <w:pPr>
        <w:spacing w:after="0" w:line="185"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addition to generating more revenue, the resources we devote to marketing help us generate more earnings for our contributors. This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Customer Support</w:t>
      </w:r>
    </w:p>
    <w:p>
      <w:pPr>
        <w:spacing w:after="0" w:line="228"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The significant majority of our revenue is generated via self-serve ecommerce. We encourage our users to take advantage of the comprehensive search capabilities of our websites, our credit card-based payment options and the immediate digital delivery of licensed images. We believe the ability to search for, select, license and download content over the internet offers our users convenience and speed, and enables us to achieve greater economies of scale.</w:t>
      </w:r>
    </w:p>
    <w:p>
      <w:pPr>
        <w:spacing w:after="0" w:line="163"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Direct communication with our customers, however, remains a significant component of our customer support and sales strategy. Our customer support and sales team, which is headquartered in New York City, is available to assist users via email and by phone in 10 languages. In addition to handling inbound customer support and sales inquiries, we also reach out proactively to potential high volume customers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offer them custom accounts to meet their needs. Outbound sales activities currently contribute a small but growing percentage of Shutterstock's overall revenue.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Rights and Intellectual Property</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Product Rights and Indemnification. </w:t>
      </w:r>
      <w:r>
        <w:rPr>
          <w:rFonts w:ascii="Arial" w:cs="Arial" w:eastAsia="Arial" w:hAnsi="Arial"/>
          <w:sz w:val="17"/>
          <w:szCs w:val="17"/>
          <w:color w:val="auto"/>
        </w:rPr>
        <w:t>All of the images that Shutterstock makes available to users are offered under a royalty-free license. This means that once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customer has purchased an image license, that customer can use the associated image in accordance with the license terms in perpetuity without having to pay any ongoing royalties. Typically, the image license is non-exclusive, meaning that multiple customers can license the same image. Furthermore, we do not require that contributors of content to our sites provide their content to us on an exclusive basis.</w:t>
      </w:r>
    </w:p>
    <w:p>
      <w:pPr>
        <w:spacing w:after="0" w:line="185" w:lineRule="exact"/>
        <w:rPr>
          <w:sz w:val="20"/>
          <w:szCs w:val="20"/>
          <w:color w:val="auto"/>
        </w:rPr>
      </w:pPr>
    </w:p>
    <w:p>
      <w:pPr>
        <w:jc w:val="both"/>
        <w:ind w:firstLine="425"/>
        <w:spacing w:after="0" w:line="297" w:lineRule="auto"/>
        <w:rPr>
          <w:sz w:val="20"/>
          <w:szCs w:val="20"/>
          <w:color w:val="auto"/>
        </w:rPr>
      </w:pPr>
      <w:r>
        <w:rPr>
          <w:rFonts w:ascii="Arial" w:cs="Arial" w:eastAsia="Arial" w:hAnsi="Arial"/>
          <w:sz w:val="15"/>
          <w:szCs w:val="15"/>
          <w:color w:val="auto"/>
        </w:rPr>
        <w:t>Shutterstock represents to our users that unaltered images downloaded and used in compliance with our websites' terms of service and applicable law will not infringe any copyright, trademark or other intellectual property right, nor will such unaltered images violate any third parties' rights of privacy or publicity, violate any U.S. law, be defamatory or libelous, or be pornographic or obscene. Furthermore, provided that a user has not breached Shutterstock's license agreement, Shutterstock agrees to defend, indemnify, and hold users harmless from liability for damages up to $10,000 per user. We also offer some of our customers custom contracts with either greater indemnification amounts or unlimited indemnification. Such indemnification applies only to claims for damages directly attributable to Shutterstock's breach of the foregoing representations, and includes expenses arising out of any actual or threatened lawsuit, claim, or legal proceeding alleging that the possession, distribution, or use of images downloaded and used by users pursuant to our terms of service violate Shutterstock's representations. To date, Shutterstock has not incurred any material financial costs as a result of this indemnification. Since 2009, we have received approximately 35 customer claims for indemnification, and following investigation of such claims, fewer than one-third resulted in our making a cash payment to settle such intellectual property disputes. Aggregate amounts paid to date to settle customer indemnification claims have not been material. No claims for indemnification have been asserted by any customer with unlimited indemnification protection. We maintain commercially reasonable insurance to protect against the costs of intellectual property litigation.</w:t>
      </w:r>
    </w:p>
    <w:p>
      <w:pPr>
        <w:spacing w:after="0" w:line="16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We protect our intellectual property through a combination of patents, trademarks and domain name registrations, copyrights and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secrets.</w:t>
      </w:r>
    </w:p>
    <w:p>
      <w:pPr>
        <w:spacing w:after="0" w:line="170" w:lineRule="exact"/>
        <w:rPr>
          <w:sz w:val="20"/>
          <w:szCs w:val="20"/>
          <w:color w:val="auto"/>
        </w:rPr>
      </w:pPr>
    </w:p>
    <w:p>
      <w:pPr>
        <w:jc w:val="both"/>
        <w:ind w:firstLine="544"/>
        <w:spacing w:after="0" w:line="283" w:lineRule="auto"/>
        <w:rPr>
          <w:sz w:val="20"/>
          <w:szCs w:val="20"/>
          <w:color w:val="auto"/>
        </w:rPr>
      </w:pPr>
      <w:r>
        <w:rPr>
          <w:rFonts w:ascii="Arial" w:cs="Arial" w:eastAsia="Arial" w:hAnsi="Arial"/>
          <w:sz w:val="16"/>
          <w:szCs w:val="16"/>
          <w:color w:val="auto"/>
        </w:rPr>
        <w:t>We own numerous trademarks that are important to our business. Our trademarks registered in the United States and several other jurisdictions include: Shutterstock, Offset, Skillfeed, Bigstock and Big Stock Photo are trademarks or logs appearing in this prospectus and are the property of Shutterstock, Inc. or one of our subsidiaries. We will pursue additional trademark registrations to the extent that we create any additional registrable trademarks or logos. We are the registered holder of a variety of domestic and international domain names that include "Shutterstock," "Bigstock," "Offset," "Skillfeed," and multiple variations thereof. We have successfully recovered infringing domain names in the past and will continue to enforce our rights in the future.</w:t>
      </w:r>
    </w:p>
    <w:p>
      <w:pPr>
        <w:spacing w:after="0" w:line="174" w:lineRule="exact"/>
        <w:rPr>
          <w:sz w:val="20"/>
          <w:szCs w:val="20"/>
          <w:color w:val="auto"/>
        </w:rPr>
      </w:pPr>
    </w:p>
    <w:p>
      <w:pPr>
        <w:jc w:val="both"/>
        <w:ind w:firstLine="453"/>
        <w:spacing w:after="0" w:line="265"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consultants, contractors, and vendors. Our employees and certain contractors are also subject to nondisclosure agreements containing an intellectual property assignment provision. In this way, we have historically chosen to protect our software and other technological intellectual property as trade secrets. We further control the use of our proprietary technology and intellectual property through provisions in our websites' terms of 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for commercial digital imagery is highly competitive. We believe that the principal competitive factors are:</w:t>
      </w:r>
    </w:p>
    <w:p>
      <w:pPr>
        <w:spacing w:after="0" w:line="237" w:lineRule="exact"/>
        <w:rPr>
          <w:sz w:val="20"/>
          <w:szCs w:val="20"/>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quality, relevance and breadth of the images in a company's collections;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accessibility of imagery, in the form of the speed and ease of search and fulfillment;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 use of current and emerging marketing channels;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 use of current and emerging technology;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pricing and licensing models, policies and practices;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brand name recognition;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company reputation;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customer service and customer relationships;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security, reliability and data protection; and</w:t>
      </w:r>
    </w:p>
    <w:p>
      <w:pPr>
        <w:spacing w:after="0" w:line="237" w:lineRule="exact"/>
        <w:rPr>
          <w:rFonts w:ascii="Arial" w:cs="Arial" w:eastAsia="Arial" w:hAnsi="Arial"/>
          <w:sz w:val="17"/>
          <w:szCs w:val="17"/>
          <w:color w:val="auto"/>
        </w:rPr>
      </w:pPr>
    </w:p>
    <w:p>
      <w:pPr>
        <w:ind w:left="340" w:right="1700" w:firstLine="189"/>
        <w:spacing w:after="0" w:line="515" w:lineRule="auto"/>
        <w:tabs>
          <w:tab w:leader="none" w:pos="10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global nature of a company's interfaces and marketing efforts, including local languages, currencies, and payment methods. Some of our current and potential significant competitors include:</w:t>
      </w:r>
    </w:p>
    <w:p>
      <w:pPr>
        <w:spacing w:after="0" w:line="26"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T3 Media;</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381"/>
        <w:spacing w:after="0" w:line="282" w:lineRule="auto"/>
        <w:rPr>
          <w:sz w:val="20"/>
          <w:szCs w:val="20"/>
          <w:color w:val="auto"/>
        </w:rPr>
      </w:pPr>
      <w:r>
        <w:rPr>
          <w:rFonts w:ascii="Arial" w:cs="Arial" w:eastAsia="Arial" w:hAnsi="Arial"/>
          <w:sz w:val="17"/>
          <w:szCs w:val="17"/>
          <w:color w:val="auto"/>
        </w:rPr>
        <w:t>Lastly, we compete with the alternative of creating one's own imagery or choosing not to consume licensed images because it is too expensive or because one is not aware of how to do so.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8" w:lineRule="exact"/>
        <w:rPr>
          <w:sz w:val="20"/>
          <w:szCs w:val="20"/>
          <w:color w:val="auto"/>
        </w:rPr>
      </w:pPr>
    </w:p>
    <w:p>
      <w:pPr>
        <w:jc w:val="both"/>
        <w:ind w:firstLine="363"/>
        <w:spacing w:after="0" w:line="306" w:lineRule="auto"/>
        <w:rPr>
          <w:sz w:val="20"/>
          <w:szCs w:val="20"/>
          <w:color w:val="auto"/>
        </w:rPr>
      </w:pPr>
      <w:r>
        <w:rPr>
          <w:rFonts w:ascii="Arial" w:cs="Arial" w:eastAsia="Arial" w:hAnsi="Arial"/>
          <w:sz w:val="15"/>
          <w:szCs w:val="15"/>
          <w:color w:val="auto"/>
        </w:rPr>
        <w:t>The legal environment of the internet is evolving rapidly in the United States and elsewhere. The development of new laws and regulations, the manner in which existing laws and regulations will be applied to the internet in general, and how the foregoing will relate to our business in particular, is unclear in many cases. For example, there is uncertainty regarding how laws and regulations will apply in the online context and to different business models, including with respect to such topics as privacy, data management and protection, defamation, ecommerce, pricing, credit card fraud, advertising, taxation, sweepstakes, promotions, subscription-based billing, content regulation, quality of products and services, outsourcing, and intellectual property ownership and infringement, among others.</w:t>
      </w:r>
    </w:p>
    <w:p>
      <w:pPr>
        <w:spacing w:after="0" w:line="159"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Numerous laws have been adopted at the national and state level in the United States that could have an impact on online commerce generally and on our business. These laws include, for example, the following:</w:t>
      </w:r>
    </w:p>
    <w:p>
      <w:pPr>
        <w:spacing w:after="0" w:line="183" w:lineRule="exact"/>
        <w:rPr>
          <w:sz w:val="20"/>
          <w:szCs w:val="20"/>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Controlling the Assault of Non-Solicited Pornography and Marketing Act of 2003 and similar laws adopted by a number of states-regulate the format, functionality and distribution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commercial solicitation e-mails, create criminal penalties for unmarked sexually-oriented material, and control other online marketing practices.</w:t>
      </w:r>
    </w:p>
    <w:p>
      <w:pPr>
        <w:spacing w:after="0" w:line="249" w:lineRule="exact"/>
        <w:rPr>
          <w:sz w:val="20"/>
          <w:szCs w:val="20"/>
          <w:color w:val="auto"/>
        </w:rPr>
      </w:pPr>
    </w:p>
    <w:p>
      <w:pPr>
        <w:jc w:val="both"/>
        <w:ind w:left="1060" w:hanging="531"/>
        <w:spacing w:after="0" w:line="265"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Children's Online Privacy Protection Act and the Prosecutorial Remedies and Other Tools to End Exploitation of Children Today Act of 2003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Many states have adopted, and other states are expected to enact, statutes that require companies to report certain breaches of the security of personal data to affected individuals, to regulatory agencies, to law enforcement officials and to other third parties. Federal legislation has also been proposed for national standards and procedures governing data breach management.,</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Federal and state rules and regulations also govern online service providers' data collection and use policies and practices, including with respect to the disclosure of consumer data to third parties such as direct marketers.</w:t>
      </w:r>
    </w:p>
    <w:p>
      <w:pPr>
        <w:spacing w:after="0" w:line="170"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7"/>
          <w:szCs w:val="17"/>
          <w:color w:val="auto"/>
        </w:rPr>
        <w:t>Given the broad spectrum of legal and regulatory uncertainties, we expect new laws and regulations to be adopted over time that are likely to be-applicable to the internet and to our activities. Any existing or new legislation applicable to Shutterstock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187"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5"/>
          <w:szCs w:val="15"/>
          <w:color w:val="auto"/>
        </w:rPr>
        <w:t>We post privacy policies on our websites concerning our data collection and use practices. Allegations that our policy disclosures are inadequate or that we have failed to comply with our posted privacy policies, or otherwise violated Federal Trade Commission requirements or other privacy-related laws and regulations, could result in proceedings by governmental or regulatory bodies or private parties that could potentially harm our business, results of operations and financial condition. In addition, there is a risk that privacy and data protection laws may be interpreted and applied differently in certain jurisdictions, in ways that are not consistent with our current practices, which could also potentially harm our business, results of operations and financial condition. In this regard, there are a large number of legislative and regulatory proposals before the United States Congress, various state legislative bodies, and government agencies regarding privacy and other consumer issues that may affect our business. It is not possible to predict whether or when such rules and regulations may be adopted, and certain proposals, if adopted, could harm our business by, among other things, decreasing user registrations and revenue, increasing the cost of compliance, impeding the development of new products or services, and limiting potential sources of revenue such as online advertising. These decreases could be caused by, among other possible provisions, the required display of specific disclaimers, requirements to obtain consent from users for certain activities, or other requirements before users can utilize our services. In addition, we may be subject to claims of liability or responsibility for the actions of third parties with whom we interact or upon whom we rely in relation to various services, including but not limited to vendors and business partners. These third parties may be vulnerable to threats such as computer hacking, cyber-terrorism or other unauthorized attempts by access, modify or delete our or our customers' information or business asserts that they service or maintain on our behalf.</w:t>
      </w:r>
    </w:p>
    <w:p>
      <w:pPr>
        <w:spacing w:after="0" w:line="171"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In addition, various non-U.S. jurisdictions impose laws and regulations regarding a broad spectrum of privacy, data management and other matters related to online businesses and ecommerce. Non-U.S. laws and regulations are often more restrictive than those in the United States. Due to the global nature of the internet, it is possible that the governments of other states and countries might attempt to regulate our online activities such as digital transmissions, or to prosecute us for alleged violations of their laws. We might unintentionally violate such laws; such laws or their interpretation or application may be modified;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firstLine="427"/>
        <w:spacing w:after="0" w:line="262" w:lineRule="auto"/>
        <w:rPr>
          <w:sz w:val="20"/>
          <w:szCs w:val="20"/>
          <w:color w:val="auto"/>
        </w:rPr>
      </w:pPr>
      <w:r>
        <w:rPr>
          <w:rFonts w:ascii="Arial" w:cs="Arial" w:eastAsia="Arial" w:hAnsi="Arial"/>
          <w:sz w:val="17"/>
          <w:szCs w:val="17"/>
          <w:color w:val="auto"/>
        </w:rPr>
        <w:t>Although we are not currently a party to any material litigation, 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5"/>
          <w:szCs w:val="15"/>
          <w:color w:val="auto"/>
        </w:rPr>
        <w:t>As of June 30, 2013, we employed 295 full-time employees, including 87 engaged in product development, 104 engaged in sales, marketing and support, 63 engaged in content operations, and 42 engaged in general and administrative functions. Of these employees, 275 were located in the United States, primarily in New York, New York. In addition to our full-time employees, we also employ the services of a number of contractors, including 61 contractors focused on content review as of June 30, 2013. Of these contractors, 17 contractors were located in the United States, and 44 were located outside of the United States, primarily in Canada and Europe. None of our employees is represented by a labor union, and we consider our company culture and employee relations to be strong.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In November 2008, we entered into a lease effective through November 2013 for approximately 12,000 square feet of office space in New York City to house our principal offices. In November 2010, we entered into a sublease effective through June 2015 for an additional 12,000 square feet of office space in the same building. In March 2012, we amended our lease to add 7,800 square feet of space in the same building, effective through November 2013.</w:t>
      </w:r>
    </w:p>
    <w:p>
      <w:pPr>
        <w:spacing w:after="0" w:line="163"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7"/>
          <w:szCs w:val="17"/>
          <w:color w:val="auto"/>
        </w:rPr>
        <w:t>On March 21, 2013, we entered into an operating lease agreement for approximately 78,000 square feet to lease new office facilities in New York City. The lease commencement date shall be the later of August 1, 2013 and the date we take possession. The lease term is eleven years from the commencement date and aggregate future minimum lease payments are approximately $42.2 million. The Company also entered into a letter of credit of $1.8 million as a security deposit for the leased facilities. The letter of credit was collateralized by $1.8 million of cash as of June 30, 2013, and, as such, is reported as restricted cash on the consolidated balance sheet.</w:t>
      </w:r>
    </w:p>
    <w:p>
      <w:pPr>
        <w:spacing w:after="0" w:line="187" w:lineRule="exact"/>
        <w:rPr>
          <w:sz w:val="20"/>
          <w:szCs w:val="20"/>
          <w:color w:val="auto"/>
        </w:rPr>
      </w:pPr>
    </w:p>
    <w:p>
      <w:pPr>
        <w:jc w:val="both"/>
        <w:ind w:firstLine="483"/>
        <w:spacing w:after="0" w:line="282" w:lineRule="auto"/>
        <w:rPr>
          <w:sz w:val="20"/>
          <w:szCs w:val="20"/>
          <w:color w:val="auto"/>
        </w:rPr>
      </w:pPr>
      <w:r>
        <w:rPr>
          <w:rFonts w:ascii="Arial" w:cs="Arial" w:eastAsia="Arial" w:hAnsi="Arial"/>
          <w:sz w:val="17"/>
          <w:szCs w:val="17"/>
          <w:color w:val="auto"/>
        </w:rPr>
        <w:t>We believe that our existing facilities are adequate for our current needs and that suitable additional or alternative space will be available on commercially reasonable terms to meet our future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3940" w:type="dxa"/>
            <w:vAlign w:val="bottom"/>
            <w:gridSpan w:val="2"/>
          </w:tcPr>
          <w:p>
            <w:pPr>
              <w:spacing w:after="0"/>
              <w:rPr>
                <w:sz w:val="13"/>
                <w:szCs w:val="13"/>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Age</w:t>
            </w:r>
          </w:p>
        </w:tc>
        <w:tc>
          <w:tcPr>
            <w:tcW w:w="220" w:type="dxa"/>
            <w:vAlign w:val="bottom"/>
          </w:tcPr>
          <w:p>
            <w:pPr>
              <w:spacing w:after="0"/>
              <w:rPr>
                <w:sz w:val="13"/>
                <w:szCs w:val="13"/>
                <w:color w:val="auto"/>
              </w:rPr>
            </w:pPr>
          </w:p>
        </w:tc>
        <w:tc>
          <w:tcPr>
            <w:tcW w:w="410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Position(s)</w:t>
            </w:r>
          </w:p>
        </w:tc>
      </w:tr>
      <w:tr>
        <w:trPr>
          <w:trHeight w:val="194"/>
        </w:trPr>
        <w:tc>
          <w:tcPr>
            <w:tcW w:w="432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7"/>
                <w:szCs w:val="17"/>
                <w:color w:val="auto"/>
              </w:rPr>
              <w:t>Jonathan Oringer</w:t>
            </w:r>
          </w:p>
        </w:tc>
        <w:tc>
          <w:tcPr>
            <w:tcW w:w="7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39</w:t>
            </w:r>
          </w:p>
        </w:tc>
        <w:tc>
          <w:tcPr>
            <w:tcW w:w="41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Founder, Chief Executive Officer and Chairman of the</w:t>
            </w:r>
          </w:p>
        </w:tc>
      </w:tr>
      <w:tr>
        <w:trPr>
          <w:trHeight w:val="218"/>
        </w:trPr>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Board</w:t>
            </w:r>
          </w:p>
        </w:tc>
      </w:tr>
      <w:tr>
        <w:trPr>
          <w:trHeight w:val="210"/>
        </w:trPr>
        <w:tc>
          <w:tcPr>
            <w:tcW w:w="4320" w:type="dxa"/>
            <w:vAlign w:val="bottom"/>
            <w:gridSpan w:val="3"/>
          </w:tcPr>
          <w:p>
            <w:pPr>
              <w:ind w:left="20"/>
              <w:spacing w:after="0"/>
              <w:rPr>
                <w:sz w:val="20"/>
                <w:szCs w:val="20"/>
                <w:color w:val="auto"/>
              </w:rPr>
            </w:pPr>
            <w:r>
              <w:rPr>
                <w:rFonts w:ascii="Arial" w:cs="Arial" w:eastAsia="Arial" w:hAnsi="Arial"/>
                <w:sz w:val="17"/>
                <w:szCs w:val="17"/>
                <w:color w:val="auto"/>
              </w:rPr>
              <w:t>Thilo Semmelbauer</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47</w:t>
            </w:r>
          </w:p>
        </w:tc>
        <w:tc>
          <w:tcPr>
            <w:tcW w:w="4100" w:type="dxa"/>
            <w:vAlign w:val="bottom"/>
          </w:tcPr>
          <w:p>
            <w:pPr>
              <w:ind w:left="20"/>
              <w:spacing w:after="0"/>
              <w:rPr>
                <w:sz w:val="20"/>
                <w:szCs w:val="20"/>
                <w:color w:val="auto"/>
              </w:rPr>
            </w:pPr>
            <w:r>
              <w:rPr>
                <w:rFonts w:ascii="Arial" w:cs="Arial" w:eastAsia="Arial" w:hAnsi="Arial"/>
                <w:sz w:val="17"/>
                <w:szCs w:val="17"/>
                <w:color w:val="auto"/>
              </w:rPr>
              <w:t>President and Chief Operating Officer</w:t>
            </w:r>
          </w:p>
        </w:tc>
      </w:tr>
      <w:tr>
        <w:trPr>
          <w:trHeight w:val="210"/>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Timothy E. Bixby</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4320" w:type="dxa"/>
            <w:vAlign w:val="bottom"/>
            <w:gridSpan w:val="3"/>
          </w:tcPr>
          <w:p>
            <w:pPr>
              <w:ind w:left="20"/>
              <w:spacing w:after="0"/>
              <w:rPr>
                <w:sz w:val="20"/>
                <w:szCs w:val="20"/>
                <w:color w:val="auto"/>
              </w:rPr>
            </w:pPr>
            <w:r>
              <w:rPr>
                <w:rFonts w:ascii="Arial" w:cs="Arial" w:eastAsia="Arial" w:hAnsi="Arial"/>
                <w:sz w:val="17"/>
                <w:szCs w:val="17"/>
                <w:color w:val="auto"/>
              </w:rPr>
              <w:t>James Chou</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52</w:t>
            </w:r>
          </w:p>
        </w:tc>
        <w:tc>
          <w:tcPr>
            <w:tcW w:w="410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9"/>
        </w:trPr>
        <w:tc>
          <w:tcPr>
            <w:tcW w:w="43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Steven Berns</w:t>
            </w:r>
            <w:r>
              <w:rPr>
                <w:rFonts w:ascii="Arial" w:cs="Arial" w:eastAsia="Arial" w:hAnsi="Arial"/>
                <w:sz w:val="28"/>
                <w:szCs w:val="28"/>
                <w:color w:val="auto"/>
                <w:vertAlign w:val="superscript"/>
              </w:rPr>
              <w:t>(1)(2)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432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Jeff Epstein</w:t>
            </w:r>
            <w:r>
              <w:rPr>
                <w:rFonts w:ascii="Arial" w:cs="Arial" w:eastAsia="Arial" w:hAnsi="Arial"/>
                <w:sz w:val="28"/>
                <w:szCs w:val="28"/>
                <w:color w:val="auto"/>
                <w:vertAlign w:val="superscript"/>
              </w:rPr>
              <w:t>(1)(3)</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57</w:t>
            </w:r>
          </w:p>
        </w:tc>
        <w:tc>
          <w:tcPr>
            <w:tcW w:w="41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43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Thomas R. Evans</w:t>
            </w:r>
            <w:r>
              <w:rPr>
                <w:rFonts w:ascii="Arial" w:cs="Arial" w:eastAsia="Arial" w:hAnsi="Arial"/>
                <w:sz w:val="28"/>
                <w:szCs w:val="28"/>
                <w:color w:val="auto"/>
                <w:vertAlign w:val="superscript"/>
              </w:rPr>
              <w:t>(1)(2)(3)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4320" w:type="dxa"/>
            <w:vAlign w:val="bottom"/>
            <w:gridSpan w:val="3"/>
          </w:tcPr>
          <w:p>
            <w:pPr>
              <w:ind w:left="20"/>
              <w:spacing w:after="0"/>
              <w:rPr>
                <w:sz w:val="20"/>
                <w:szCs w:val="20"/>
                <w:color w:val="auto"/>
              </w:rPr>
            </w:pPr>
            <w:r>
              <w:rPr>
                <w:rFonts w:ascii="Arial" w:cs="Arial" w:eastAsia="Arial" w:hAnsi="Arial"/>
                <w:sz w:val="17"/>
                <w:szCs w:val="17"/>
                <w:color w:val="auto"/>
              </w:rPr>
              <w:t>Jeffrey Lieberman</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39</w:t>
            </w:r>
          </w:p>
        </w:tc>
        <w:tc>
          <w:tcPr>
            <w:tcW w:w="41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43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Jonathan Miller</w:t>
            </w:r>
            <w:r>
              <w:rPr>
                <w:rFonts w:ascii="Arial" w:cs="Arial" w:eastAsia="Arial" w:hAnsi="Arial"/>
                <w:sz w:val="28"/>
                <w:szCs w:val="28"/>
                <w:color w:val="auto"/>
                <w:vertAlign w:val="superscript"/>
              </w:rPr>
              <w:t>(2)(3)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05"/>
        </w:trPr>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0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Member of Audit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Member of Compensation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Member of Nominating and Corporate Governance Committee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24" w:lineRule="exact"/>
        <w:rPr>
          <w:sz w:val="20"/>
          <w:szCs w:val="20"/>
          <w:color w:val="auto"/>
        </w:rPr>
      </w:pPr>
    </w:p>
    <w:p>
      <w:pPr>
        <w:jc w:val="both"/>
        <w:ind w:firstLine="420"/>
        <w:spacing w:after="0" w:line="263" w:lineRule="auto"/>
        <w:rPr>
          <w:sz w:val="20"/>
          <w:szCs w:val="20"/>
          <w:color w:val="auto"/>
        </w:rPr>
      </w:pPr>
      <w:r>
        <w:rPr>
          <w:rFonts w:ascii="Arial" w:cs="Arial" w:eastAsia="Arial" w:hAnsi="Arial"/>
          <w:sz w:val="17"/>
          <w:szCs w:val="17"/>
          <w:b w:val="1"/>
          <w:bCs w:val="1"/>
          <w:i w:val="1"/>
          <w:iCs w:val="1"/>
          <w:color w:val="auto"/>
        </w:rPr>
        <w:t xml:space="preserve">Jonathan Oringer </w:t>
      </w:r>
      <w:r>
        <w:rPr>
          <w:rFonts w:ascii="Arial" w:cs="Arial" w:eastAsia="Arial" w:hAnsi="Arial"/>
          <w:sz w:val="17"/>
          <w:szCs w:val="17"/>
          <w:color w:val="auto"/>
        </w:rPr>
        <w:t>has served as our Founder, Chief Executive Officer and Chairman of our board of directions since founding the company in 2003.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Shutterstock, Mr. Oringer served as a director of several private companies. Mr. Oringer holds a B.S. in computer science and mathematics from State University of New York at Stony Brook and an M.S. in computer science from Columbia University. The board of directors believes that Mr. Oringer's experience in the commercial digital imagery industry, his experience with entrepreneurial and technology companies and his extensive knowledge of our company as its founder qualify him to serve as chairman of our board of directors.</w:t>
      </w:r>
    </w:p>
    <w:p>
      <w:pPr>
        <w:spacing w:after="0" w:line="187"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6"/>
          <w:szCs w:val="16"/>
          <w:b w:val="1"/>
          <w:bCs w:val="1"/>
          <w:i w:val="1"/>
          <w:iCs w:val="1"/>
          <w:color w:val="auto"/>
        </w:rPr>
        <w:t xml:space="preserve">Thilo Semmelbauer </w:t>
      </w:r>
      <w:r>
        <w:rPr>
          <w:rFonts w:ascii="Arial" w:cs="Arial" w:eastAsia="Arial" w:hAnsi="Arial"/>
          <w:sz w:val="16"/>
          <w:szCs w:val="16"/>
          <w:color w:val="auto"/>
        </w:rPr>
        <w:t>has served as our President and Chief Operating Officer since April 2010. Prior to joining Shutterstock, Mr. Semmelbauer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of TheLadders.com, Inc., a career management company, from June 2009 to March 2010. Prior to TheLadders, Mr. Semmelbauer was with Weight Watchers International for eight years, serving as Global Chief Operating Officer from December 2006 to July 2008, Chief Operating Officer, North America, from March 2004 to December 2006, and Co-Founder and President of WeightWatchers.com from February 2000 to March 2004. Prior to Weight Watchers, Mr. Semmelbauer served as a Principal at The Boston Consulting Group. Mr. Semmelbauer holds an A.B. in engineering and computer science from Dartmouth College and a Master of Science in management and electrical engineering from Massachusetts Institute of Technology.</w:t>
      </w:r>
    </w:p>
    <w:p>
      <w:pPr>
        <w:spacing w:after="0" w:line="176"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b w:val="1"/>
          <w:bCs w:val="1"/>
          <w:i w:val="1"/>
          <w:iCs w:val="1"/>
          <w:color w:val="auto"/>
        </w:rPr>
        <w:t xml:space="preserve">Timothy E. Bixby </w:t>
      </w:r>
      <w:r>
        <w:rPr>
          <w:rFonts w:ascii="Arial" w:cs="Arial" w:eastAsia="Arial" w:hAnsi="Arial"/>
          <w:sz w:val="17"/>
          <w:szCs w:val="17"/>
          <w:color w:val="auto"/>
        </w:rPr>
        <w:t>has served as our Chief Financial Officer since June 2011. Prior to joining Shutterstock, Mr. Bixby served as the Chief Financial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LivePerson, Inc., a provider of hosted software products that facilitate real-time sales and customer service, from June 1999 to May 2011, and as President of LivePerson from March 2001 to May 2011. Prior to LivePerson, Mr. Bixby served as Vice President of Finance for Universal Music &amp; Video Distribution Inc., a manufacturer and distributor of recorded music and video products. Mr. Bixby holds an A.B. in mathematics from Dartmouth College and an M.B.A. from Harvard University.</w:t>
      </w:r>
    </w:p>
    <w:p>
      <w:pPr>
        <w:spacing w:after="0" w:line="187" w:lineRule="exact"/>
        <w:rPr>
          <w:sz w:val="20"/>
          <w:szCs w:val="20"/>
          <w:color w:val="auto"/>
        </w:rPr>
      </w:pPr>
    </w:p>
    <w:p>
      <w:pPr>
        <w:jc w:val="both"/>
        <w:ind w:firstLine="367"/>
        <w:spacing w:after="0" w:line="282" w:lineRule="auto"/>
        <w:rPr>
          <w:sz w:val="20"/>
          <w:szCs w:val="20"/>
          <w:color w:val="auto"/>
        </w:rPr>
      </w:pPr>
      <w:r>
        <w:rPr>
          <w:rFonts w:ascii="Arial" w:cs="Arial" w:eastAsia="Arial" w:hAnsi="Arial"/>
          <w:sz w:val="17"/>
          <w:szCs w:val="17"/>
          <w:b w:val="1"/>
          <w:bCs w:val="1"/>
          <w:i w:val="1"/>
          <w:iCs w:val="1"/>
          <w:color w:val="auto"/>
        </w:rPr>
        <w:t xml:space="preserve">James Chou </w:t>
      </w:r>
      <w:r>
        <w:rPr>
          <w:rFonts w:ascii="Arial" w:cs="Arial" w:eastAsia="Arial" w:hAnsi="Arial"/>
          <w:sz w:val="17"/>
          <w:szCs w:val="17"/>
          <w:color w:val="auto"/>
        </w:rPr>
        <w:t>has served as our Chief Technology Officer since February 2011. Prior to joining Shutterstock, Mr. Chou served as Senior Vice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Officer of American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Greetings Interactive, the interactive media division of American Greetings Corporation, from November 2008 to September 2010. Prior to American Greetings, Mr. Chou was Executive Vice President, Technology, at Apani Networks, a provider of internet security software, from June 2004 to October 2008. Mr. Chou has also held positions at Apple, Inc., JP Morgan Chase &amp; Co., and Accenture Plc. Mr. Chou holds a B.S. in electrical engineering from State University of New York at Buffalo and an M.B.A. from Duke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Directors</w:t>
      </w:r>
    </w:p>
    <w:p>
      <w:pPr>
        <w:spacing w:after="0" w:line="224"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6"/>
          <w:szCs w:val="16"/>
          <w:b w:val="1"/>
          <w:bCs w:val="1"/>
          <w:i w:val="1"/>
          <w:iCs w:val="1"/>
          <w:color w:val="auto"/>
        </w:rPr>
        <w:t xml:space="preserve">Steven Berns </w:t>
      </w:r>
      <w:r>
        <w:rPr>
          <w:rFonts w:ascii="Arial" w:cs="Arial" w:eastAsia="Arial" w:hAnsi="Arial"/>
          <w:sz w:val="16"/>
          <w:szCs w:val="16"/>
          <w:color w:val="auto"/>
        </w:rPr>
        <w:t>has served as a member of our board of directors since March 2012. Since June 2013, Mr. Berns has served as Executive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Tribune Company. From February 2010 to June 2013, Mr. Berns served as the Executive Vice President and Chief Financial Officer of Revlon, Inc., and he served as its Treasurer from May 2009 to February 2010. Mr. Berns previously served as Chief Financial Officer of Tradeweb, LLC from November 2007 to May 2009. From November 2005 until July 2007, Mr. Berns served as President, Chief Financial Officer and Director of MDC Partners Inc, and from September 2004 to November 2005, Mr. Berns served as its Vice Chairman and Executive Vice President. Prior to that, Mr. Berns was the Senior Vice President and Treasurer of The Interpublic Group of Companies, Inc. from August 1999 until September 2004. Before that, Mr. Berns held a variety of positions in finance with Revlon, Inc. from April 1992 until August 1999. Prior to joining Revlon, Inc., Mr. Berns worked at Paramount Communications Inc. and at a predecessor public accounting firm of Deloitte &amp; Touche. Mr. Berns formerly served as a director of LivePerson, Inc. Mr. Berns holds a B.S. from Lehigh University and an M.B.A. from New York University and is a Certified Public Accountant. The Board believes that Mr. Berns' financial and business expertise, including his background as a senior executive at one of the world's largest advertising holding companies, chief financial officer of several corporations, and his service on the boards of directors and audit committees of public companies, qualifies him to serve as a member of our board of directors.</w:t>
      </w:r>
    </w:p>
    <w:p>
      <w:pPr>
        <w:spacing w:after="0" w:line="181"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b w:val="1"/>
          <w:bCs w:val="1"/>
          <w:i w:val="1"/>
          <w:iCs w:val="1"/>
          <w:color w:val="auto"/>
        </w:rPr>
        <w:t xml:space="preserve">Jeff Epstein </w:t>
      </w:r>
      <w:r>
        <w:rPr>
          <w:rFonts w:ascii="Arial" w:cs="Arial" w:eastAsia="Arial" w:hAnsi="Arial"/>
          <w:sz w:val="16"/>
          <w:szCs w:val="16"/>
          <w:color w:val="auto"/>
        </w:rPr>
        <w:t>has served as a member of our board of directors since April 2012. Mr. Epstein is an Operating Partner at Bessemer Venture Partners, which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in November 2011, and is a Senior Advisor at Oak Hill Capital Partners, which he joined in August 2011. Mr. Epstein has served as a director of priceline.com since April 2003 and of Global Eagle Entertainment since January 2013. Mr. Epstein was Executive Vice President and Chief Financial Officer of Oracle Corporation from September 2008 to April 2011. From June 2007 to October 2008, Mr. Epstein was a director of MDC Partners Inc. Mr. Epstein was Executive Vice President and Chief Financial Officer of Oberon Media from April 2007 to June 2008. Mr. Epstein is currently a director of Kaiser Foundation Hospitals and Health Plan. Mr. Epstein holds a B.A. from Yale University and an M.B.A. from Stanford University. The board of directors believes that Mr. Epstein's financial and business expertise, including his background as chief financial officer of the world's largest enterprise software company, and his service as a senior executive at companies in the internet and advertising industries, qualifies him to serve as a member of our board of directors.</w:t>
      </w:r>
    </w:p>
    <w:p>
      <w:pPr>
        <w:spacing w:after="0" w:line="177"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b w:val="1"/>
          <w:bCs w:val="1"/>
          <w:i w:val="1"/>
          <w:iCs w:val="1"/>
          <w:color w:val="auto"/>
        </w:rPr>
        <w:t xml:space="preserve">Thomas R. Evans </w:t>
      </w:r>
      <w:r>
        <w:rPr>
          <w:rFonts w:ascii="Arial" w:cs="Arial" w:eastAsia="Arial" w:hAnsi="Arial"/>
          <w:sz w:val="17"/>
          <w:szCs w:val="17"/>
          <w:color w:val="auto"/>
        </w:rPr>
        <w:t>has served as a member of our board of directors since March 2012. Mr. Evans has served as President and Chief Executive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director of Bankrate, Inc. since 2004. From August 1999 to August 2003, Mr. Evans served as Chairman and Chief Executive Officer of Official Payments Corp., specializing in processing consumer credit card payments for government taxes, fees and fines. From 1998 to 1999, Mr. Evans was President and Chief Executive Officer of GeoCities Inc., a community of personal websites. From 1991 to 1998, Mr. Evans was President and Publisher of </w:t>
      </w:r>
      <w:r>
        <w:rPr>
          <w:rFonts w:ascii="Arial" w:cs="Arial" w:eastAsia="Arial" w:hAnsi="Arial"/>
          <w:sz w:val="17"/>
          <w:szCs w:val="17"/>
          <w:i w:val="1"/>
          <w:iCs w:val="1"/>
          <w:color w:val="auto"/>
        </w:rPr>
        <w:t>U.S. News &amp; World Report</w:t>
      </w:r>
      <w:r>
        <w:rPr>
          <w:rFonts w:ascii="Arial" w:cs="Arial" w:eastAsia="Arial" w:hAnsi="Arial"/>
          <w:sz w:val="17"/>
          <w:szCs w:val="17"/>
          <w:color w:val="auto"/>
        </w:rPr>
        <w:t xml:space="preserve">. In addition to his duties at </w:t>
      </w:r>
      <w:r>
        <w:rPr>
          <w:rFonts w:ascii="Arial" w:cs="Arial" w:eastAsia="Arial" w:hAnsi="Arial"/>
          <w:sz w:val="17"/>
          <w:szCs w:val="17"/>
          <w:i w:val="1"/>
          <w:iCs w:val="1"/>
          <w:color w:val="auto"/>
        </w:rPr>
        <w:t>U.S. News &amp; World Report</w:t>
      </w:r>
      <w:r>
        <w:rPr>
          <w:rFonts w:ascii="Arial" w:cs="Arial" w:eastAsia="Arial" w:hAnsi="Arial"/>
          <w:sz w:val="17"/>
          <w:szCs w:val="17"/>
          <w:color w:val="auto"/>
        </w:rPr>
        <w:t xml:space="preserve">, Mr. Evans served as President of </w:t>
      </w:r>
      <w:r>
        <w:rPr>
          <w:rFonts w:ascii="Arial" w:cs="Arial" w:eastAsia="Arial" w:hAnsi="Arial"/>
          <w:sz w:val="17"/>
          <w:szCs w:val="17"/>
          <w:i w:val="1"/>
          <w:iCs w:val="1"/>
          <w:color w:val="auto"/>
        </w:rPr>
        <w:t>The Atlantic Monthly</w:t>
      </w:r>
      <w:r>
        <w:rPr>
          <w:rFonts w:ascii="Arial" w:cs="Arial" w:eastAsia="Arial" w:hAnsi="Arial"/>
          <w:sz w:val="17"/>
          <w:szCs w:val="17"/>
          <w:color w:val="auto"/>
        </w:rPr>
        <w:t xml:space="preserve"> (1996-1998) and as President and Publisher of </w:t>
      </w:r>
      <w:r>
        <w:rPr>
          <w:rFonts w:ascii="Arial" w:cs="Arial" w:eastAsia="Arial" w:hAnsi="Arial"/>
          <w:sz w:val="17"/>
          <w:szCs w:val="17"/>
          <w:i w:val="1"/>
          <w:iCs w:val="1"/>
          <w:color w:val="auto"/>
        </w:rPr>
        <w:t>Fast Company</w:t>
      </w:r>
      <w:r>
        <w:rPr>
          <w:rFonts w:ascii="Arial" w:cs="Arial" w:eastAsia="Arial" w:hAnsi="Arial"/>
          <w:sz w:val="17"/>
          <w:szCs w:val="17"/>
          <w:color w:val="auto"/>
        </w:rPr>
        <w:t xml:space="preserve"> (1995-1998), a magazine launched in 1995. Mr. Evans also serves as a director of Future Fuel Corp. and previously served as a director of Navisite, Inc. Mr. Evans holds a B.S. in business administration from Arizona State University. The board of directors believes that Mr. Evans' business experience, particularly as a senior executive in the internet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media industries, and his service on the board of directors of public companies, qualifies him to serve as a member of our board of directors.</w:t>
      </w:r>
    </w:p>
    <w:p>
      <w:pPr>
        <w:spacing w:after="0" w:line="224"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b w:val="1"/>
          <w:bCs w:val="1"/>
          <w:i w:val="1"/>
          <w:iCs w:val="1"/>
          <w:color w:val="auto"/>
        </w:rPr>
        <w:t xml:space="preserve">Jeffrey Lieberman </w:t>
      </w:r>
      <w:r>
        <w:rPr>
          <w:rFonts w:ascii="Arial" w:cs="Arial" w:eastAsia="Arial" w:hAnsi="Arial"/>
          <w:sz w:val="16"/>
          <w:szCs w:val="16"/>
          <w:color w:val="auto"/>
        </w:rPr>
        <w:t>has served as a member of our board of directors since June 2007. Mr. Lieberman is a Managing Director of the venture capital firm Insight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or Insight, where he has been employed since June 1998. Prior to joining Insight, Mr. Lieberman was a management consultant at the New York office of McKinsey &amp; Company, where he focused on strategic and operating issues in the financial services, technology and consumer products industries. Mr. Lieberman also serves as a director of several private companies. Mr. Lieberman holds a BAS in systems engineering and in BA in economics from the Engineering School and Wharton School of the University of Pennsylvania respectively. The board of directors believes that Mr. Lieberman's experience with digital media, entertainment and online technology companies, his extensive knowledge of our company as one of our original investors, and his service on the board of directors of other companies qualifies him to serve as a member of our board of directors.</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6"/>
          <w:szCs w:val="16"/>
          <w:b w:val="1"/>
          <w:bCs w:val="1"/>
          <w:i w:val="1"/>
          <w:iCs w:val="1"/>
          <w:color w:val="auto"/>
        </w:rPr>
        <w:t xml:space="preserve">Jonathan Miller </w:t>
      </w:r>
      <w:r>
        <w:rPr>
          <w:rFonts w:ascii="Arial" w:cs="Arial" w:eastAsia="Arial" w:hAnsi="Arial"/>
          <w:sz w:val="16"/>
          <w:szCs w:val="16"/>
          <w:color w:val="auto"/>
        </w:rPr>
        <w:t>has served as a member of our board of directors since March 2012. Mr. Miller served as the Chairman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Media Group at News Corp. and was its Chief Digital Officer from April 2009 to September 2012. Mr. Miller was the Founder and Partner at Velocity Interactive Group, an investment firm focusing on internet and digital media, from its inception in February 2007 to April 2009. Prior to founding Velocity, Mr. Miller served as the Chief Executive Officer of America Online, Inc., or AOL. Prior to joining AOL, Mr. Miller served as Chief Executive Officer and President of USA Information and Services. Mr. Miller previously served as a director of LiveNation Entertainment, Inc. and Ticketmaster prior to its merger with LiveNation. Mr. Miller is a trustee of the American Film Institute and The Paley Center for Media. Mr. Miller holds a B.A. from Harvard College. The board of directors believes that Mr. Miller's business expertise, particularly as a senior executive at some of the largest digital media companies in the world, and his service on the boards of directors of various public companies, qualifies him to serve as a member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8"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Our board of directors currently consists of six members. Our bylaws permit our board of directors to establish by resolution the authorized number of directors, and six directors are currently authorized.</w:t>
      </w:r>
    </w:p>
    <w:p>
      <w:pPr>
        <w:spacing w:after="0" w:line="170"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accordance with our amended and restated certificate of incorporation, our board of directors is divided into three classes with staggered three-year terms. At each annual meeting of stockholders, the successors to directors whose terms have expired will be elected to serve from the time of election and qualification until the third annual meeting following election. Our directors are divided among the three classes as follows:</w:t>
      </w:r>
    </w:p>
    <w:p>
      <w:pPr>
        <w:spacing w:after="0" w:line="192"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Class I directors are Messrs. Oringer and Lieberman, and their terms will expire at the 2016 annual meeting of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Class II directors are Messrs. Epstein and Miller, and their terms will expire at the 2014 annual meeting of stockholders;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Class III directors are Messrs. Berns and Evans, and their terms will expire at the 2015 annual meeting of stockholders.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division of our board of directors into three classes with staggered three-year terms may delay or prevent a change of our management or a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firstLine="383"/>
        <w:spacing w:after="0" w:line="282" w:lineRule="auto"/>
        <w:rPr>
          <w:sz w:val="20"/>
          <w:szCs w:val="20"/>
          <w:color w:val="auto"/>
        </w:rPr>
      </w:pPr>
      <w:r>
        <w:rPr>
          <w:rFonts w:ascii="Arial" w:cs="Arial" w:eastAsia="Arial" w:hAnsi="Arial"/>
          <w:sz w:val="17"/>
          <w:szCs w:val="17"/>
          <w:color w:val="auto"/>
        </w:rPr>
        <w:t>Our common stock is listed on the New York Stock Exchange, or the NYSE. Under the rules of the NYSE, independent directors must comprise a majority of a listed company's board of directors.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 the rules of the NYSE require that, subject to specified exceptions, each member of a listed company's audit, compensation and nominating and governance committees be independent. Audit committee members must also satisfy the independence criteria set forth in Rule 10A-3 under the Exchange Act.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9"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63"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each of Messrs. Berns, Epstein, Evans, Lieberman and Miller, representing five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17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Our board of directors also determined that Messrs. Berns, Evans and Epstein who comprise our audit committee, Messrs. Berns, Evans and Miller who comprise our compensation committee and Messrs. Epstein, Evans and Miller who comprise our nominating and corporate governance committee, satisfy the independence standards for those committees established by applicable SEC rules and the rules of the NYSE.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4" w:lineRule="exact"/>
        <w:rPr>
          <w:sz w:val="20"/>
          <w:szCs w:val="20"/>
          <w:color w:val="auto"/>
        </w:rPr>
      </w:pPr>
    </w:p>
    <w:p>
      <w:pPr>
        <w:jc w:val="both"/>
        <w:ind w:firstLine="427"/>
        <w:spacing w:after="0" w:line="260" w:lineRule="auto"/>
        <w:rPr>
          <w:sz w:val="20"/>
          <w:szCs w:val="20"/>
          <w:color w:val="auto"/>
        </w:rPr>
      </w:pPr>
      <w:r>
        <w:rPr>
          <w:rFonts w:ascii="Arial" w:cs="Arial" w:eastAsia="Arial" w:hAnsi="Arial"/>
          <w:sz w:val="17"/>
          <w:szCs w:val="17"/>
          <w:color w:val="auto"/>
        </w:rPr>
        <w:t>Our audit committee is comprised of Messrs. Berns, Evans and Epstein, each of whom is a non-employee member of our board of directors. Mr. Berns is our audit committee chairman and is our audit committee financial expert, as currently defined under the SEC rules. Our board of directors has adopted a charter for our audit committee, which is available on our website. Our audit committee assists our board in its oversight of our corporate accounting and financial reporting process and internal controls over financial reporting. Our audit committee evaluates the independent registered public accounting firm's qualifications, independence and performance; appoints and provides for the compensation of the independent registered public accounting firm; approves the retention of the independent registered public accounting firm to perform any proposed permissible professional services; meets with management and the independent auditor to discuss our annual financial statements; instructs the independent auditor to report to the audit committee on all of our critical accounting policies; reviews and discusses with management and the independent auditor management's report on internal control over financial reporting, and the independent auditor's audit of the effectiveness of our internal control over financial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reporting; and discusses with management and the independent auditor the results of our annual audits and the reviews of our quarterly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24"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17"/>
          <w:szCs w:val="17"/>
          <w:color w:val="auto"/>
        </w:rPr>
        <w:t>Our compensation committee is comprised of Messrs. Berns, Evans and Miller each of whom is a non-employee member of our board of directors. Mr. Evans is our compensation committee chairman. Our board of directors has adopted a charter for our compensation committee, which is available on our website. Our compensation committee establishes and reviews policies and practices relating to the compensation and benefits of our officers, including establishing goals and objectives relevant to compensation of our chief executive officer and other senior officers, evaluating the performance of these officers in light of those goals and objectives and determining compensation of these officers based on such evaluations. The compensation committee also administers the issuance of stock options and other awards under our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24" w:lineRule="exact"/>
        <w:rPr>
          <w:sz w:val="20"/>
          <w:szCs w:val="20"/>
          <w:color w:val="auto"/>
        </w:rPr>
      </w:pPr>
    </w:p>
    <w:p>
      <w:pPr>
        <w:jc w:val="both"/>
        <w:ind w:firstLine="375"/>
        <w:spacing w:after="0" w:line="280" w:lineRule="auto"/>
        <w:rPr>
          <w:sz w:val="20"/>
          <w:szCs w:val="20"/>
          <w:color w:val="auto"/>
        </w:rPr>
      </w:pPr>
      <w:r>
        <w:rPr>
          <w:rFonts w:ascii="Arial" w:cs="Arial" w:eastAsia="Arial" w:hAnsi="Arial"/>
          <w:sz w:val="16"/>
          <w:szCs w:val="16"/>
          <w:color w:val="auto"/>
        </w:rPr>
        <w:t>Our nominating and corporate governance committee is comprised of Messrs. Evans, Epstein and Miller, each of whom is a non-employee member of our board of directors. Mr. Miller is the chairman of our nominating and corporate governance committee. Our board of directors has adopted a charter for our nominating and governance committee, which is available on our website. Our nominating and corporate governance committee is responsible for making recommendations regarding candidates for directorships and the composition of our board. Our nominating and governance committee is also responsible for reviewing with the board, on an annual basis, the qualifications, attributes and skills of board members, and the skills and characteristics of the board as a whole, in determining whether to recommend incumbent directors in the class subject to election for reelection. In addition, the nominating and corporate governance committee is responsible for developing and recommending our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402"/>
        <w:spacing w:after="0" w:line="270" w:lineRule="auto"/>
        <w:rPr>
          <w:sz w:val="20"/>
          <w:szCs w:val="20"/>
          <w:color w:val="auto"/>
        </w:rPr>
      </w:pPr>
      <w:r>
        <w:rPr>
          <w:rFonts w:ascii="Arial" w:cs="Arial" w:eastAsia="Arial" w:hAnsi="Arial"/>
          <w:sz w:val="17"/>
          <w:szCs w:val="17"/>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7"/>
          <w:szCs w:val="17"/>
          <w:color w:val="auto"/>
        </w:rPr>
        <w:t>We have adopted a code of business conduct and ethics that applies to all of our employees, including our executive officers and directors, and those employees responsible for financial reporting. The code of business conduct and ethics is available on our website at www.shutterstock.com. We expect that, to the extent required by law, any amendments to the code, or any waivers of its requirements, will be disclosed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Prior to January 1, 2012, we did not provide any compensation to non-employee members of our board of directors for service on our board of directors and none of our non-employee directors received any cash or equity compensation during the year ended December 31, 2011. We did, however, reimburse our directors for their expenses incurred in connection with attending board and committee meetings and fulfilling their duties as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480" w:type="dxa"/>
            <w:vAlign w:val="bottom"/>
            <w:gridSpan w:val="3"/>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700" w:type="dxa"/>
            <w:vAlign w:val="bottom"/>
            <w:gridSpan w:val="4"/>
          </w:tcPr>
          <w:p>
            <w:pPr>
              <w:ind w:left="340"/>
              <w:spacing w:after="0"/>
              <w:rPr>
                <w:sz w:val="20"/>
                <w:szCs w:val="20"/>
                <w:color w:val="auto"/>
              </w:rPr>
            </w:pPr>
            <w:r>
              <w:rPr>
                <w:rFonts w:ascii="Arial" w:cs="Arial" w:eastAsia="Arial" w:hAnsi="Arial"/>
                <w:sz w:val="17"/>
                <w:szCs w:val="17"/>
                <w:color w:val="auto"/>
              </w:rPr>
              <w:t>Effective January 1, 2012, our non-employee directors are entitled to the following compensation:</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Annual retainer</w:t>
            </w:r>
          </w:p>
        </w:tc>
        <w:tc>
          <w:tcPr>
            <w:tcW w:w="2000" w:type="dxa"/>
            <w:vAlign w:val="bottom"/>
            <w:shd w:val="clear" w:color="auto" w:fill="CCEEFF"/>
          </w:tcPr>
          <w:p>
            <w:pPr>
              <w:jc w:val="center"/>
              <w:ind w:left="515"/>
              <w:spacing w:after="0"/>
              <w:rPr>
                <w:sz w:val="20"/>
                <w:szCs w:val="20"/>
                <w:color w:val="auto"/>
              </w:rPr>
            </w:pPr>
            <w:r>
              <w:rPr>
                <w:rFonts w:ascii="Arial" w:cs="Arial" w:eastAsia="Arial" w:hAnsi="Arial"/>
                <w:sz w:val="17"/>
                <w:szCs w:val="17"/>
                <w:color w:val="auto"/>
                <w:w w:val="91"/>
              </w:rPr>
              <w:t>$15,000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Annual retainer for board committee chairperson</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Audit committee</w:t>
            </w:r>
          </w:p>
        </w:tc>
        <w:tc>
          <w:tcPr>
            <w:tcW w:w="2000" w:type="dxa"/>
            <w:vAlign w:val="bottom"/>
            <w:shd w:val="clear" w:color="auto" w:fill="CCEEFF"/>
          </w:tcPr>
          <w:p>
            <w:pPr>
              <w:jc w:val="center"/>
              <w:ind w:left="515"/>
              <w:spacing w:after="0"/>
              <w:rPr>
                <w:sz w:val="20"/>
                <w:szCs w:val="20"/>
                <w:color w:val="auto"/>
              </w:rPr>
            </w:pPr>
            <w:r>
              <w:rPr>
                <w:rFonts w:ascii="Arial" w:cs="Arial" w:eastAsia="Arial" w:hAnsi="Arial"/>
                <w:sz w:val="17"/>
                <w:szCs w:val="17"/>
                <w:color w:val="auto"/>
                <w:w w:val="91"/>
              </w:rPr>
              <w:t>$10,000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7"/>
                <w:szCs w:val="17"/>
                <w:color w:val="auto"/>
              </w:rPr>
              <w:t>Compensation committee</w:t>
            </w:r>
          </w:p>
        </w:tc>
        <w:tc>
          <w:tcPr>
            <w:tcW w:w="2000" w:type="dxa"/>
            <w:vAlign w:val="bottom"/>
          </w:tcPr>
          <w:p>
            <w:pPr>
              <w:jc w:val="center"/>
              <w:ind w:left="535"/>
              <w:spacing w:after="0"/>
              <w:rPr>
                <w:sz w:val="20"/>
                <w:szCs w:val="20"/>
                <w:color w:val="auto"/>
              </w:rPr>
            </w:pPr>
            <w:r>
              <w:rPr>
                <w:rFonts w:ascii="Arial" w:cs="Arial" w:eastAsia="Arial" w:hAnsi="Arial"/>
                <w:sz w:val="17"/>
                <w:szCs w:val="17"/>
                <w:color w:val="auto"/>
                <w:w w:val="88"/>
              </w:rPr>
              <w:t>$5,000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Attendance fee per board or committee meeting</w:t>
            </w:r>
          </w:p>
        </w:tc>
        <w:tc>
          <w:tcPr>
            <w:tcW w:w="2000" w:type="dxa"/>
            <w:vAlign w:val="bottom"/>
            <w:shd w:val="clear" w:color="auto" w:fill="CCEEFF"/>
          </w:tcPr>
          <w:p>
            <w:pPr>
              <w:jc w:val="center"/>
              <w:ind w:left="535"/>
              <w:spacing w:after="0"/>
              <w:rPr>
                <w:sz w:val="20"/>
                <w:szCs w:val="20"/>
                <w:color w:val="auto"/>
              </w:rPr>
            </w:pPr>
            <w:r>
              <w:rPr>
                <w:rFonts w:ascii="Arial" w:cs="Arial" w:eastAsia="Arial" w:hAnsi="Arial"/>
                <w:sz w:val="17"/>
                <w:szCs w:val="17"/>
                <w:color w:val="auto"/>
                <w:w w:val="88"/>
              </w:rPr>
              <w:t>$1,000</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Equity award for new directors</w:t>
            </w:r>
            <w:r>
              <w:rPr>
                <w:rFonts w:ascii="Arial" w:cs="Arial" w:eastAsia="Arial" w:hAnsi="Arial"/>
                <w:sz w:val="28"/>
                <w:szCs w:val="28"/>
                <w:color w:val="auto"/>
                <w:vertAlign w:val="superscript"/>
              </w:rPr>
              <w:t>(1)</w:t>
            </w:r>
          </w:p>
        </w:tc>
        <w:tc>
          <w:tcPr>
            <w:tcW w:w="2000" w:type="dxa"/>
            <w:vAlign w:val="bottom"/>
          </w:tcPr>
          <w:p>
            <w:pPr>
              <w:ind w:left="640"/>
              <w:spacing w:after="0"/>
              <w:rPr>
                <w:sz w:val="20"/>
                <w:szCs w:val="20"/>
                <w:color w:val="auto"/>
              </w:rPr>
            </w:pPr>
            <w:r>
              <w:rPr>
                <w:rFonts w:ascii="Arial" w:cs="Arial" w:eastAsia="Arial" w:hAnsi="Arial"/>
                <w:sz w:val="17"/>
                <w:szCs w:val="17"/>
                <w:color w:val="auto"/>
                <w:w w:val="90"/>
              </w:rPr>
              <w:t>20,000 units/shares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240" w:hanging="523"/>
        <w:spacing w:after="0" w:line="239" w:lineRule="auto"/>
        <w:tabs>
          <w:tab w:leader="none" w:pos="2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Initial equity awards for new directors are granted with an exercise price equal to or greater than the fair market value on the date of grant and are subject to vesting over a period of four years, with one fourth of these awards vesting one year after grant date, and the remaining three fourths vesting in equal quarterly installments over the subsequent three year period. Prior to the Reorganization, these equity awards were made in the form of VARs and, subsequent to the Reorganization, they have been made, and will continue to be made, in the form of stock options.</w:t>
      </w:r>
    </w:p>
    <w:p>
      <w:pPr>
        <w:spacing w:after="0" w:line="191" w:lineRule="exact"/>
        <w:rPr>
          <w:sz w:val="20"/>
          <w:szCs w:val="20"/>
          <w:color w:val="auto"/>
        </w:rPr>
      </w:pPr>
    </w:p>
    <w:p>
      <w:pPr>
        <w:ind w:firstLine="405"/>
        <w:spacing w:after="0" w:line="282" w:lineRule="auto"/>
        <w:rPr>
          <w:sz w:val="20"/>
          <w:szCs w:val="20"/>
          <w:color w:val="auto"/>
        </w:rPr>
      </w:pPr>
      <w:r>
        <w:rPr>
          <w:rFonts w:ascii="Arial" w:cs="Arial" w:eastAsia="Arial" w:hAnsi="Arial"/>
          <w:sz w:val="17"/>
          <w:szCs w:val="17"/>
          <w:color w:val="auto"/>
        </w:rPr>
        <w:t>In addition, we reimburse our non-employee directors for reasonable travel expenses and other out-of-pocket costs incurred in connection with attending board and committee meetings and fulfilling their duties as members of our board of directors.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compensation received by each director (other than Jonathan Oringer, whose compensation is set forth under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Compensation—Summary Compensation Table" below) during fiscal year 2012:</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Change in</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Pension Value</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and Nonqualified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7"/>
              </w:rPr>
              <w:t>Fees Earned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Non-Equity</w:t>
            </w:r>
          </w:p>
        </w:tc>
        <w:tc>
          <w:tcPr>
            <w:tcW w:w="12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Deferred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7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0"/>
              </w:rPr>
              <w:t>Stock</w:t>
            </w:r>
          </w:p>
        </w:tc>
        <w:tc>
          <w:tcPr>
            <w:tcW w:w="88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3"/>
              </w:rPr>
              <w:t>Incentive Plan</w:t>
            </w:r>
          </w:p>
        </w:tc>
        <w:tc>
          <w:tcPr>
            <w:tcW w:w="12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8"/>
              </w:rPr>
              <w:t>Compensation</w:t>
            </w:r>
          </w:p>
        </w:tc>
        <w:tc>
          <w:tcPr>
            <w:tcW w:w="11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8"/>
              </w:rPr>
              <w:t>All Other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or Paid in</w:t>
            </w:r>
          </w:p>
        </w:tc>
        <w:tc>
          <w:tcPr>
            <w:tcW w:w="7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Earnings</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90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820" w:type="dxa"/>
            <w:vAlign w:val="bottom"/>
            <w:gridSpan w:val="2"/>
          </w:tcPr>
          <w:p>
            <w:pPr>
              <w:spacing w:after="0"/>
              <w:rPr>
                <w:sz w:val="14"/>
                <w:szCs w:val="14"/>
                <w:color w:val="auto"/>
              </w:rPr>
            </w:pPr>
          </w:p>
        </w:tc>
        <w:tc>
          <w:tcPr>
            <w:tcW w:w="840" w:type="dxa"/>
            <w:vAlign w:val="bottom"/>
            <w:tcBorders>
              <w:bottom w:val="single" w:sz="8" w:color="auto"/>
            </w:tcBorders>
            <w:gridSpan w:val="2"/>
          </w:tcPr>
          <w:p>
            <w:pPr>
              <w:jc w:val="center"/>
              <w:spacing w:after="0" w:line="171" w:lineRule="exact"/>
              <w:rPr>
                <w:sz w:val="20"/>
                <w:szCs w:val="20"/>
                <w:color w:val="auto"/>
              </w:rPr>
            </w:pPr>
            <w:r>
              <w:rPr>
                <w:rFonts w:ascii="Arial" w:cs="Arial" w:eastAsia="Arial" w:hAnsi="Arial"/>
                <w:sz w:val="12"/>
                <w:szCs w:val="12"/>
                <w:b w:val="1"/>
                <w:bCs w:val="1"/>
                <w:color w:val="auto"/>
                <w:w w:val="95"/>
              </w:rPr>
              <w:t>Cash ($)</w:t>
            </w:r>
            <w:r>
              <w:rPr>
                <w:rFonts w:ascii="Arial" w:cs="Arial" w:eastAsia="Arial" w:hAnsi="Arial"/>
                <w:sz w:val="19"/>
                <w:szCs w:val="19"/>
                <w:b w:val="1"/>
                <w:bCs w:val="1"/>
                <w:color w:val="auto"/>
                <w:w w:val="95"/>
                <w:vertAlign w:val="superscript"/>
              </w:rPr>
              <w:t>(1)</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(2)</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Steven Berns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36,317</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$ 152,160</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$ 188,477</w:t>
            </w:r>
          </w:p>
        </w:tc>
        <w:tc>
          <w:tcPr>
            <w:tcW w:w="0" w:type="dxa"/>
            <w:vAlign w:val="bottom"/>
          </w:tcPr>
          <w:p>
            <w:pPr>
              <w:spacing w:after="0"/>
              <w:rPr>
                <w:sz w:val="1"/>
                <w:szCs w:val="1"/>
                <w:color w:val="auto"/>
              </w:rPr>
            </w:pPr>
          </w:p>
        </w:tc>
      </w:tr>
      <w:tr>
        <w:trPr>
          <w:trHeight w:val="210"/>
        </w:trPr>
        <w:tc>
          <w:tcPr>
            <w:tcW w:w="2200" w:type="dxa"/>
            <w:vAlign w:val="bottom"/>
            <w:gridSpan w:val="3"/>
          </w:tcPr>
          <w:p>
            <w:pPr>
              <w:spacing w:after="0"/>
              <w:rPr>
                <w:sz w:val="20"/>
                <w:szCs w:val="20"/>
                <w:color w:val="auto"/>
              </w:rPr>
            </w:pPr>
            <w:r>
              <w:rPr>
                <w:rFonts w:ascii="Arial" w:cs="Arial" w:eastAsia="Arial" w:hAnsi="Arial"/>
                <w:sz w:val="17"/>
                <w:szCs w:val="17"/>
                <w:color w:val="auto"/>
              </w:rPr>
              <w:t>Jeff Epstein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26,489</w:t>
            </w:r>
          </w:p>
        </w:tc>
        <w:tc>
          <w:tcPr>
            <w:tcW w:w="7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$ 151,572</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$ 178,061</w:t>
            </w:r>
          </w:p>
        </w:tc>
        <w:tc>
          <w:tcPr>
            <w:tcW w:w="0" w:type="dxa"/>
            <w:vAlign w:val="bottom"/>
          </w:tcPr>
          <w:p>
            <w:pPr>
              <w:spacing w:after="0"/>
              <w:rPr>
                <w:sz w:val="1"/>
                <w:szCs w:val="1"/>
                <w:color w:val="auto"/>
              </w:rPr>
            </w:pPr>
          </w:p>
        </w:tc>
      </w:tr>
      <w:tr>
        <w:trPr>
          <w:trHeight w:val="210"/>
        </w:trPr>
        <w:tc>
          <w:tcPr>
            <w:tcW w:w="2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Thomas R. Evans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31,167</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$ 152,160</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$ 183,327</w:t>
            </w:r>
          </w:p>
        </w:tc>
        <w:tc>
          <w:tcPr>
            <w:tcW w:w="0" w:type="dxa"/>
            <w:vAlign w:val="bottom"/>
          </w:tcPr>
          <w:p>
            <w:pPr>
              <w:spacing w:after="0"/>
              <w:rPr>
                <w:sz w:val="1"/>
                <w:szCs w:val="1"/>
                <w:color w:val="auto"/>
              </w:rPr>
            </w:pPr>
          </w:p>
        </w:tc>
      </w:tr>
      <w:tr>
        <w:trPr>
          <w:trHeight w:val="249"/>
        </w:trPr>
        <w:tc>
          <w:tcPr>
            <w:tcW w:w="2200" w:type="dxa"/>
            <w:vAlign w:val="bottom"/>
            <w:gridSpan w:val="3"/>
          </w:tcPr>
          <w:p>
            <w:pPr>
              <w:spacing w:after="0" w:line="249" w:lineRule="exact"/>
              <w:rPr>
                <w:sz w:val="20"/>
                <w:szCs w:val="20"/>
                <w:color w:val="auto"/>
              </w:rPr>
            </w:pPr>
            <w:r>
              <w:rPr>
                <w:rFonts w:ascii="Arial" w:cs="Arial" w:eastAsia="Arial" w:hAnsi="Arial"/>
                <w:sz w:val="17"/>
                <w:szCs w:val="17"/>
                <w:color w:val="auto"/>
              </w:rPr>
              <w:t>Jeffrey Lieberman</w:t>
            </w:r>
            <w:r>
              <w:rPr>
                <w:rFonts w:ascii="Arial" w:cs="Arial" w:eastAsia="Arial" w:hAnsi="Arial"/>
                <w:sz w:val="28"/>
                <w:szCs w:val="28"/>
                <w:color w:val="auto"/>
                <w:vertAlign w:val="superscript"/>
              </w:rPr>
              <w:t>(3)</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Jonathan Miller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21,125</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$ 152,160</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$ 173,285</w:t>
            </w: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cash portion of annualized independent director retainer and meeting attendance fees and fees paid to committee chairpersons.</w:t>
      </w:r>
    </w:p>
    <w:p>
      <w:pPr>
        <w:spacing w:after="0" w:line="125" w:lineRule="exact"/>
        <w:rPr>
          <w:rFonts w:ascii="Arial" w:cs="Arial" w:eastAsia="Arial" w:hAnsi="Arial"/>
          <w:sz w:val="13"/>
          <w:szCs w:val="13"/>
          <w:color w:val="auto"/>
        </w:rPr>
      </w:pPr>
    </w:p>
    <w:p>
      <w:pPr>
        <w:jc w:val="both"/>
        <w:ind w:left="1680" w:hanging="533"/>
        <w:spacing w:after="0" w:line="243"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On March 15, 2012, Messrs. Berns, Evans, and Miller were granted 20,000 notional VAR units at an exercise price of $17.50 which subsequent to the Reorganization converted to stock options. We determined the grant date fair value of each award to be $152,160. On April 4, 2012, Mr. Epstein was granted 20,000 notional VAR units at an exercise price of $17.50 which subsequent to the Reorganization converted to stock options. We determined the grant date fair value of his award to be $151,572.</w:t>
      </w:r>
    </w:p>
    <w:p>
      <w:pPr>
        <w:spacing w:after="0" w:line="109"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Given Mr. Lieberman's affiliation with the Company's affiliate Insight Venture Partners, he receives no compensation as a director.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following table sets forth information regarding the compensation awarded to, earned by, or paid to each of our executive officers during the fiscal years ended December 31, 2011 and December 31, 2012.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We have voluntarily decided to also include compensation disclosure for our President and Chief Operating Officer. Throughout this prospectus, these four officers are referred to as our named executive officers.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Nonqualified</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Non-Equity</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Deferred</w:t>
            </w: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8"/>
              </w:rPr>
              <w:t>All 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0"/>
              </w:rPr>
              <w:t>Option</w:t>
            </w:r>
          </w:p>
        </w:tc>
        <w:tc>
          <w:tcPr>
            <w:tcW w:w="1100" w:type="dxa"/>
            <w:vAlign w:val="bottom"/>
            <w:gridSpan w:val="3"/>
          </w:tcPr>
          <w:p>
            <w:pPr>
              <w:jc w:val="center"/>
              <w:ind w:right="140"/>
              <w:spacing w:after="0" w:line="131" w:lineRule="exact"/>
              <w:rPr>
                <w:sz w:val="20"/>
                <w:szCs w:val="20"/>
                <w:color w:val="auto"/>
              </w:rPr>
            </w:pPr>
            <w:r>
              <w:rPr>
                <w:rFonts w:ascii="Arial" w:cs="Arial" w:eastAsia="Arial" w:hAnsi="Arial"/>
                <w:sz w:val="13"/>
                <w:szCs w:val="13"/>
                <w:b w:val="1"/>
                <w:bCs w:val="1"/>
                <w:color w:val="auto"/>
                <w:w w:val="91"/>
              </w:rPr>
              <w:t>Incentive Plan</w:t>
            </w:r>
          </w:p>
        </w:tc>
        <w:tc>
          <w:tcPr>
            <w:tcW w:w="10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8"/>
              </w:rPr>
              <w:t>Compensation</w:t>
            </w:r>
          </w:p>
        </w:tc>
        <w:tc>
          <w:tcPr>
            <w:tcW w:w="10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Salary</w:t>
            </w:r>
          </w:p>
        </w:tc>
        <w:tc>
          <w:tcPr>
            <w:tcW w:w="6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Bonus</w:t>
            </w:r>
          </w:p>
        </w:tc>
        <w:tc>
          <w:tcPr>
            <w:tcW w:w="6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Awards</w:t>
            </w:r>
          </w:p>
        </w:tc>
        <w:tc>
          <w:tcPr>
            <w:tcW w:w="11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Earnings</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0"/>
        </w:trPr>
        <w:tc>
          <w:tcPr>
            <w:tcW w:w="178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4"/>
                <w:szCs w:val="14"/>
                <w:color w:val="auto"/>
              </w:rPr>
            </w:pPr>
          </w:p>
        </w:tc>
        <w:tc>
          <w:tcPr>
            <w:tcW w:w="50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1"/>
                <w:szCs w:val="11"/>
                <w:b w:val="1"/>
                <w:bCs w:val="1"/>
                <w:color w:val="auto"/>
                <w:w w:val="88"/>
              </w:rPr>
              <w:t>(1)</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257"/>
              <w:spacing w:after="0" w:line="171"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21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Jonathan Oringer,</w:t>
            </w: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250,000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250,000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35"/>
        </w:trPr>
        <w:tc>
          <w:tcPr>
            <w:tcW w:w="1780" w:type="dxa"/>
            <w:vAlign w:val="bottom"/>
            <w:gridSpan w:val="2"/>
          </w:tcPr>
          <w:p>
            <w:pPr>
              <w:spacing w:after="0" w:line="136" w:lineRule="exact"/>
              <w:rPr>
                <w:sz w:val="20"/>
                <w:szCs w:val="20"/>
                <w:color w:val="auto"/>
              </w:rPr>
            </w:pPr>
            <w:r>
              <w:rPr>
                <w:rFonts w:ascii="Arial" w:cs="Arial" w:eastAsia="Arial" w:hAnsi="Arial"/>
                <w:sz w:val="13"/>
                <w:szCs w:val="13"/>
                <w:color w:val="auto"/>
              </w:rPr>
              <w:t>Thilo Semmelbauer,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gridSpan w:val="2"/>
          </w:tcPr>
          <w:p>
            <w:pPr>
              <w:ind w:left="140"/>
              <w:spacing w:after="0" w:line="144" w:lineRule="exact"/>
              <w:rPr>
                <w:sz w:val="20"/>
                <w:szCs w:val="20"/>
                <w:color w:val="auto"/>
              </w:rPr>
            </w:pPr>
            <w:r>
              <w:rPr>
                <w:rFonts w:ascii="Arial" w:cs="Arial" w:eastAsia="Arial" w:hAnsi="Arial"/>
                <w:sz w:val="13"/>
                <w:szCs w:val="13"/>
                <w:i w:val="1"/>
                <w:iCs w:val="1"/>
                <w:color w:val="auto"/>
                <w:w w:val="92"/>
              </w:rPr>
              <w:t>President and Chief Operating</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140"/>
              <w:spacing w:after="0"/>
              <w:rPr>
                <w:sz w:val="20"/>
                <w:szCs w:val="20"/>
                <w:color w:val="auto"/>
              </w:rPr>
            </w:pPr>
            <w:r>
              <w:rPr>
                <w:rFonts w:ascii="Arial" w:cs="Arial" w:eastAsia="Arial" w:hAnsi="Arial"/>
                <w:sz w:val="13"/>
                <w:szCs w:val="13"/>
                <w:i w:val="1"/>
                <w:iCs w:val="1"/>
                <w:color w:val="auto"/>
              </w:rPr>
              <w:t>Officer</w:t>
            </w: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2012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331,250</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249,375</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9,938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590,563</w:t>
            </w: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2011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312,115</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200,000</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9,363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521,478</w:t>
            </w:r>
          </w:p>
        </w:tc>
        <w:tc>
          <w:tcPr>
            <w:tcW w:w="0" w:type="dxa"/>
            <w:vAlign w:val="bottom"/>
          </w:tcPr>
          <w:p>
            <w:pPr>
              <w:spacing w:after="0"/>
              <w:rPr>
                <w:sz w:val="1"/>
                <w:szCs w:val="1"/>
                <w:color w:val="auto"/>
              </w:rPr>
            </w:pPr>
          </w:p>
        </w:tc>
      </w:tr>
      <w:tr>
        <w:trPr>
          <w:trHeight w:val="131"/>
        </w:trPr>
        <w:tc>
          <w:tcPr>
            <w:tcW w:w="17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Timothy E. Bixby,</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gridSpan w:val="2"/>
            <w:shd w:val="clear" w:color="auto" w:fill="CCEEFF"/>
          </w:tcPr>
          <w:p>
            <w:pPr>
              <w:ind w:left="140"/>
              <w:spacing w:after="0" w:line="184" w:lineRule="exact"/>
              <w:rPr>
                <w:sz w:val="20"/>
                <w:szCs w:val="20"/>
                <w:color w:val="auto"/>
              </w:rPr>
            </w:pPr>
            <w:r>
              <w:rPr>
                <w:rFonts w:ascii="Arial" w:cs="Arial" w:eastAsia="Arial" w:hAnsi="Arial"/>
                <w:sz w:val="13"/>
                <w:szCs w:val="13"/>
                <w:i w:val="1"/>
                <w:iCs w:val="1"/>
                <w:color w:val="auto"/>
              </w:rPr>
              <w:t>Chief Financial Officer</w:t>
            </w:r>
            <w:r>
              <w:rPr>
                <w:rFonts w:ascii="Arial" w:cs="Arial" w:eastAsia="Arial" w:hAnsi="Arial"/>
                <w:sz w:val="21"/>
                <w:szCs w:val="21"/>
                <w:color w:val="auto"/>
                <w:vertAlign w:val="superscript"/>
              </w:rPr>
              <w:t>(3)</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330,770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565,185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248,187</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1,154,065</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172,500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0"/>
                <w:szCs w:val="10"/>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105,000</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281,812</w:t>
            </w:r>
          </w:p>
        </w:tc>
        <w:tc>
          <w:tcPr>
            <w:tcW w:w="0" w:type="dxa"/>
            <w:vAlign w:val="bottom"/>
          </w:tcPr>
          <w:p>
            <w:pPr>
              <w:spacing w:after="0"/>
              <w:rPr>
                <w:sz w:val="1"/>
                <w:szCs w:val="1"/>
                <w:color w:val="auto"/>
              </w:rPr>
            </w:pPr>
          </w:p>
        </w:tc>
      </w:tr>
      <w:tr>
        <w:trPr>
          <w:trHeight w:val="131"/>
        </w:trPr>
        <w:tc>
          <w:tcPr>
            <w:tcW w:w="1780" w:type="dxa"/>
            <w:vAlign w:val="bottom"/>
            <w:gridSpan w:val="2"/>
          </w:tcPr>
          <w:p>
            <w:pPr>
              <w:spacing w:after="0" w:line="131" w:lineRule="exact"/>
              <w:rPr>
                <w:sz w:val="20"/>
                <w:szCs w:val="20"/>
                <w:color w:val="auto"/>
              </w:rPr>
            </w:pPr>
            <w:r>
              <w:rPr>
                <w:rFonts w:ascii="Arial" w:cs="Arial" w:eastAsia="Arial" w:hAnsi="Arial"/>
                <w:sz w:val="13"/>
                <w:szCs w:val="13"/>
                <w:color w:val="auto"/>
              </w:rPr>
              <w:t>James Chou,</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780" w:type="dxa"/>
            <w:vAlign w:val="bottom"/>
            <w:gridSpan w:val="2"/>
          </w:tcPr>
          <w:p>
            <w:pPr>
              <w:ind w:left="140"/>
              <w:spacing w:after="0" w:line="236" w:lineRule="exact"/>
              <w:rPr>
                <w:sz w:val="20"/>
                <w:szCs w:val="20"/>
                <w:color w:val="auto"/>
              </w:rPr>
            </w:pPr>
            <w:r>
              <w:rPr>
                <w:rFonts w:ascii="Arial" w:cs="Arial" w:eastAsia="Arial" w:hAnsi="Arial"/>
                <w:sz w:val="13"/>
                <w:szCs w:val="13"/>
                <w:i w:val="1"/>
                <w:iCs w:val="1"/>
                <w:color w:val="auto"/>
              </w:rPr>
              <w:t>Chief Technology Officer</w:t>
            </w:r>
            <w:r>
              <w:rPr>
                <w:rFonts w:ascii="Arial" w:cs="Arial" w:eastAsia="Arial" w:hAnsi="Arial"/>
                <w:sz w:val="21"/>
                <w:szCs w:val="21"/>
                <w:color w:val="auto"/>
                <w:vertAlign w:val="superscript"/>
              </w:rPr>
              <w:t>(4)</w:t>
            </w: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2012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267,215</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408,724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96,000</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8,016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779,955</w:t>
            </w:r>
          </w:p>
        </w:tc>
        <w:tc>
          <w:tcPr>
            <w:tcW w:w="0" w:type="dxa"/>
            <w:vAlign w:val="bottom"/>
          </w:tcPr>
          <w:p>
            <w:pPr>
              <w:spacing w:after="0"/>
              <w:rPr>
                <w:sz w:val="1"/>
                <w:szCs w:val="1"/>
                <w:color w:val="auto"/>
              </w:rPr>
            </w:pPr>
          </w:p>
        </w:tc>
      </w:tr>
      <w:tr>
        <w:trPr>
          <w:trHeight w:val="263"/>
        </w:trPr>
        <w:tc>
          <w:tcPr>
            <w:tcW w:w="64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2011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226,000</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0"/>
              <w:spacing w:after="0" w:line="26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85,000</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6,780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317,780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88" w:lineRule="auto"/>
        <w:tabs>
          <w:tab w:leader="none" w:pos="16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amounts earned pursuant to the Company's Non-Equity Incentive Plan for services in 2011 and 2012, which amounts were paid in 2012 and 2013, respectively. All of our executive officers, other than our Chief Executive Officer, are eligible to receive cash bonuses under our annual cash bonus plan, which individual bonus amounts are based on a formula determined by taking each person's actual earned compensation, multiplied by a target bonus percentage, multiplied by an individual score, multiplied by the company-wide score, with discretion for rounding. For 2011, the amounts for Mr. Semmelbauer, Mr. Chou and Mr. Bixby in the table above reflect target payouts at 67.0%, 40.0% and 61.5%, respectively, with such amounts for Mr. Chou and Mr. Bixby prorated for 2011 based on their respective employment start dates. For 2012, the amounts for Mr. Semmelbauer, Mr. Bixby and Mr. Chou in the table are calculated based on target bonus percentages of 71%, 68% and 40%, respectively. See "Non-Equity Incentive Plan" for a further description of this plan.</w:t>
      </w:r>
    </w:p>
    <w:p>
      <w:pPr>
        <w:spacing w:after="0" w:line="85" w:lineRule="exact"/>
        <w:rPr>
          <w:rFonts w:ascii="Arial" w:cs="Arial" w:eastAsia="Arial" w:hAnsi="Arial"/>
          <w:sz w:val="11"/>
          <w:szCs w:val="11"/>
          <w:color w:val="auto"/>
        </w:rPr>
      </w:pPr>
    </w:p>
    <w:p>
      <w:pPr>
        <w:ind w:left="1680" w:hanging="533"/>
        <w:spacing w:after="0"/>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Comprised of company match of 401(k) plan contributions for 2011 and 2012, which amounts were paid in 2012 and 2013, respectively.</w:t>
      </w:r>
    </w:p>
    <w:p>
      <w:pPr>
        <w:spacing w:after="0" w:line="125" w:lineRule="exact"/>
        <w:rPr>
          <w:rFonts w:ascii="Arial" w:cs="Arial" w:eastAsia="Arial" w:hAnsi="Arial"/>
          <w:sz w:val="13"/>
          <w:szCs w:val="13"/>
          <w:color w:val="auto"/>
        </w:rPr>
      </w:pPr>
    </w:p>
    <w:p>
      <w:pPr>
        <w:jc w:val="both"/>
        <w:ind w:left="1680" w:hanging="533"/>
        <w:spacing w:after="0" w:line="238"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Mr. Bixby's employment with Shutterstock began on June 13, 2011. Mr. Bixby received two VAR Awards during fiscal year 2011, for which the grant date fair value is $1,556,800; however, because the right to exercise the award is subject to the occurrence of a change of control, no compensation charge was recorded prior to the Reorganization. Effective as of the Reorganization, the VAR Awards were converted to options under the 2012 Omnibus Equity Incentive Plan. As a result, the Company recognized a non-cash stock-based compensation expense in the amount of $309,020 on the date of the Reorganization and an additional non-cash stock-based compensation expense in the amount of $256,165 for the period from the Reorganization through December 31, 2012.</w:t>
      </w:r>
    </w:p>
    <w:p>
      <w:pPr>
        <w:spacing w:after="0" w:line="110" w:lineRule="exact"/>
        <w:rPr>
          <w:rFonts w:ascii="Arial" w:cs="Arial" w:eastAsia="Arial" w:hAnsi="Arial"/>
          <w:sz w:val="13"/>
          <w:szCs w:val="13"/>
          <w:color w:val="auto"/>
        </w:rPr>
      </w:pPr>
    </w:p>
    <w:p>
      <w:pPr>
        <w:jc w:val="both"/>
        <w:ind w:left="1680" w:hanging="533"/>
        <w:spacing w:after="0" w:line="262" w:lineRule="auto"/>
        <w:tabs>
          <w:tab w:leader="none" w:pos="16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Chou's employment with Shutterstock began on February 11, 2011. As noted in the Outstanding Equity Awards at Fiscal Year-End table below, Mr. Chou received two VAR Awards during fiscal year 2011, for which the grant date fair value is $847,500; however, because the right to exercise the award is subject to the occurrence of a change of control, no compensation charge was recorded prior to the Reorganization. Effective as of the Reorganization, the VAR Awards were converted to options under the 2012 Omnibus Equity Incentive Plan. As a result, the Company recognized a non-cash stock-based compensation expense in the amount of $229,977 on the date of the Reorganization and an additional non-cash stock-based compensation expense in the amount of $178,747 for the period from the Reorganization through December 31, 2012.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each of our named executive officers at December 31, 2012.</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5"/>
              </w:rPr>
              <w:t>Stock Awards</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5"/>
              </w:rPr>
              <w:t>Equity</w:t>
            </w:r>
          </w:p>
        </w:tc>
        <w:tc>
          <w:tcPr>
            <w:tcW w:w="7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Incentive</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Plan</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Number</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Market</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of</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Unearned</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Shares,</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Number of</w:t>
            </w:r>
          </w:p>
        </w:tc>
        <w:tc>
          <w:tcPr>
            <w:tcW w:w="980" w:type="dxa"/>
            <w:vAlign w:val="bottom"/>
            <w:gridSpan w:val="2"/>
            <w:vMerge w:val="continue"/>
          </w:tcPr>
          <w:p>
            <w:pPr>
              <w:spacing w:after="0"/>
              <w:rPr>
                <w:sz w:val="11"/>
                <w:szCs w:val="11"/>
                <w:color w:val="auto"/>
              </w:rPr>
            </w:pPr>
          </w:p>
        </w:tc>
        <w:tc>
          <w:tcPr>
            <w:tcW w:w="10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93"/>
              </w:rPr>
              <w:t>or Units</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3"/>
              </w:rPr>
              <w:t>or Units</w:t>
            </w: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3"/>
              </w:rPr>
              <w:t>Units or</w:t>
            </w: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Securities</w:t>
            </w: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of Stock</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of Stock</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Units or</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That</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That</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Rights</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Have</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Have</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Rights That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Unearned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Exercise</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6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Not</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Have Not</w:t>
            </w: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 xml:space="preserve">(#) </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Expiration</w:t>
            </w: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Vested</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Vested</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7"/>
        </w:trPr>
        <w:tc>
          <w:tcPr>
            <w:tcW w:w="17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Exercisable</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Unexercisable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3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760" w:type="dxa"/>
            <w:vAlign w:val="bottom"/>
            <w:gridSpan w:val="2"/>
          </w:tcPr>
          <w:p>
            <w:pPr>
              <w:jc w:val="center"/>
              <w:ind w:left="1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Jonathan Oringer</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gridSpan w:val="3"/>
          </w:tcPr>
          <w:p>
            <w:pPr>
              <w:spacing w:after="0" w:line="171" w:lineRule="exact"/>
              <w:rPr>
                <w:sz w:val="20"/>
                <w:szCs w:val="20"/>
                <w:color w:val="auto"/>
              </w:rPr>
            </w:pPr>
            <w:r>
              <w:rPr>
                <w:rFonts w:ascii="Arial" w:cs="Arial" w:eastAsia="Arial" w:hAnsi="Arial"/>
                <w:sz w:val="12"/>
                <w:szCs w:val="12"/>
                <w:color w:val="auto"/>
              </w:rPr>
              <w:t>Thilo Semmelbauer</w:t>
            </w:r>
            <w:r>
              <w:rPr>
                <w:rFonts w:ascii="Arial" w:cs="Arial" w:eastAsia="Arial" w:hAnsi="Arial"/>
                <w:sz w:val="19"/>
                <w:szCs w:val="19"/>
                <w:color w:val="auto"/>
                <w:vertAlign w:val="superscript"/>
              </w:rPr>
              <w:t>(1)</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124,731</w:t>
            </w: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$ 3,243,028</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gridSpan w:val="3"/>
            <w:shd w:val="clear" w:color="auto" w:fill="CCEEFF"/>
          </w:tcPr>
          <w:p>
            <w:pPr>
              <w:spacing w:after="0" w:line="171" w:lineRule="exact"/>
              <w:rPr>
                <w:sz w:val="20"/>
                <w:szCs w:val="20"/>
                <w:color w:val="auto"/>
              </w:rPr>
            </w:pPr>
            <w:r>
              <w:rPr>
                <w:rFonts w:ascii="Arial" w:cs="Arial" w:eastAsia="Arial" w:hAnsi="Arial"/>
                <w:sz w:val="12"/>
                <w:szCs w:val="12"/>
                <w:color w:val="auto"/>
              </w:rPr>
              <w:t>Timothy E. Bixby</w:t>
            </w:r>
            <w:r>
              <w:rPr>
                <w:rFonts w:ascii="Arial" w:cs="Arial" w:eastAsia="Arial" w:hAnsi="Arial"/>
                <w:sz w:val="19"/>
                <w:szCs w:val="19"/>
                <w:color w:val="auto"/>
                <w:vertAlign w:val="superscript"/>
              </w:rPr>
              <w:t>(2)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95,625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159,375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159,375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3/31/2021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12,500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37,500</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37,500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17.00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3/31/2021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720" w:type="dxa"/>
            <w:vAlign w:val="bottom"/>
            <w:gridSpan w:val="3"/>
            <w:shd w:val="clear" w:color="auto" w:fill="CCEEFF"/>
          </w:tcPr>
          <w:p>
            <w:pPr>
              <w:spacing w:after="0" w:line="171" w:lineRule="exact"/>
              <w:rPr>
                <w:sz w:val="20"/>
                <w:szCs w:val="20"/>
                <w:color w:val="auto"/>
              </w:rPr>
            </w:pPr>
            <w:r>
              <w:rPr>
                <w:rFonts w:ascii="Arial" w:cs="Arial" w:eastAsia="Arial" w:hAnsi="Arial"/>
                <w:sz w:val="12"/>
                <w:szCs w:val="12"/>
                <w:color w:val="auto"/>
              </w:rPr>
              <w:t>James Chou</w:t>
            </w:r>
            <w:r>
              <w:rPr>
                <w:rFonts w:ascii="Arial" w:cs="Arial" w:eastAsia="Arial" w:hAnsi="Arial"/>
                <w:sz w:val="19"/>
                <w:szCs w:val="19"/>
                <w:color w:val="auto"/>
                <w:vertAlign w:val="superscript"/>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37,500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62,500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3/31/2021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12,500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37,500</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37,500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17.00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3/31/2021</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28"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Mr. Semmelbauer received a 4% profits interest in the Company on August 17, 2010. In connection with the Reorganization, the vested portion of Mr. Semmelbauer's profits interest was exchanged for shares of our common stock and the unvested portion of Mr. Semmelbauer's profits interest was exchanged for 228,079 shares of restricted stock. Subject to Mr. Semmelbauer's continued employment through each vesting date, pursuant to his Restricted Stock Agreement, the shares of restricted stock vest as to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14</w:t>
      </w:r>
      <w:r>
        <w:rPr>
          <w:rFonts w:ascii="Arial" w:cs="Arial" w:eastAsia="Arial" w:hAnsi="Arial"/>
          <w:sz w:val="13"/>
          <w:szCs w:val="13"/>
          <w:color w:val="auto"/>
        </w:rPr>
        <w:t xml:space="preserve"> of the restricted shares on January 5, 2013 and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14</w:t>
      </w:r>
      <w:r>
        <w:rPr>
          <w:rFonts w:ascii="Arial" w:cs="Arial" w:eastAsia="Arial" w:hAnsi="Arial"/>
          <w:sz w:val="13"/>
          <w:szCs w:val="13"/>
          <w:color w:val="auto"/>
        </w:rPr>
        <w:t xml:space="preserve"> of the restricted shares each calendar quarter thereafter, such that all the restricted shares are vested and released from the Company's right to acquire such restricted shares as of April 5, 2016. Vesting accelerated as to 103,348 shares upon the effectiveness on October 10, 2012 of the registration statement filed in connection with our initial public offering (the "Acceleration Date"), and the remaining restricted shares will vest ratably over the remaining quarterly vesting dates between the Acceleration Date and April 5, 2016.</w:t>
      </w:r>
    </w:p>
    <w:p>
      <w:pPr>
        <w:spacing w:after="0" w:line="111" w:lineRule="exact"/>
        <w:rPr>
          <w:rFonts w:ascii="Arial" w:cs="Arial" w:eastAsia="Arial" w:hAnsi="Arial"/>
          <w:sz w:val="13"/>
          <w:szCs w:val="13"/>
          <w:color w:val="auto"/>
        </w:rPr>
      </w:pPr>
    </w:p>
    <w:p>
      <w:pPr>
        <w:jc w:val="both"/>
        <w:ind w:left="1680" w:hanging="533"/>
        <w:spacing w:after="0" w:line="238"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Bixby received a grant of 255,000 unvested VAR units on June 13, 2011, with one-sixth of these units vesting one year after the grant date and the remaining five-sixths vesting in equal quarterly installments over the subsequent five year period. Mr. Bixby also received a grant of 50,000 unvested VAR units on December 20, 2011 with one-sixth of the units vesting one year after grant date, and the remaining five-sixths vesting in equal quarterly installments over the subsequent five year period. As a result of the Reorganization, the VARs held by Mr. Bixby were exchanged for options to purchase our common stock issued under the 2012 Omnibus Equity Incentive Plan having similar rights and terms as the original VARs, except that the exercisability of the options will not be limited to the occurrence of a change of control.</w:t>
      </w:r>
    </w:p>
    <w:p>
      <w:pPr>
        <w:spacing w:after="0" w:line="110" w:lineRule="exact"/>
        <w:rPr>
          <w:rFonts w:ascii="Arial" w:cs="Arial" w:eastAsia="Arial" w:hAnsi="Arial"/>
          <w:sz w:val="13"/>
          <w:szCs w:val="13"/>
          <w:color w:val="auto"/>
        </w:rPr>
      </w:pPr>
    </w:p>
    <w:p>
      <w:pPr>
        <w:jc w:val="both"/>
        <w:ind w:left="1680" w:hanging="533"/>
        <w:spacing w:after="0" w:line="262"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Chou received a grant of 100,000 VAR units on April 1, 2011 with one-fourth of these units vesting one year after the grant date, and the remaining three-fourths vesting in equal quarterly installments over the subsequent three year period. Mr. Chou also received a grant of 50,000 unvested VAR units on December 20, 2011 with one-sixth of these units vesting one year after the grant date, and the remaining five-sixths vesting in equal quarterly installments over the subsequent five year period. As a result of the Reorganization, the VARs held by Mr. Chou were exchanged for options to purchase our common stock issued under the 2012 Omnibus Equity Incentive Plan having similar rights and terms as the original VARs, except that the exercisability of the options will not be limited to the occurrence of a change of control.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option exercises by any of our named executive officers during the year ended December 31, 2012.</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maintain any nonqualified defined contribution or deferred compensation plans or arrangements for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ind w:firstLine="521"/>
        <w:spacing w:after="0" w:line="282" w:lineRule="auto"/>
        <w:rPr>
          <w:sz w:val="20"/>
          <w:szCs w:val="20"/>
          <w:color w:val="auto"/>
        </w:rPr>
      </w:pPr>
      <w:r>
        <w:rPr>
          <w:rFonts w:ascii="Arial" w:cs="Arial" w:eastAsia="Arial" w:hAnsi="Arial"/>
          <w:sz w:val="17"/>
          <w:szCs w:val="17"/>
          <w:color w:val="auto"/>
        </w:rPr>
        <w:t>Each of our named executive officers and all of our employees are subject to certain obligations relating to non-competition, non-solicitation, proprietary information and assignment of inventions.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Pursuant to these obligations, each named executive officer has agreed (i) not to solicit our employees or customers during his employment and for a period of 12 months (24 months with respect to employees and 36 months with respect to customers for Mr. Semmelbauer) after the termination of his employment or such other period as set forth below under "—Employment Agreements," or "—Severance and Change in Control Agreements," as applicable, (ii) not to compete with us or assist any other person to compete with us during his employment and a period of 12 months (36 months for Mr. Semmelbauer) after the termination of his employment or such other period as set forth below under "—Employment Agreements," or "—Severance and Change in Control Agreements," as applicable, and</w:t>
      </w:r>
    </w:p>
    <w:p>
      <w:pPr>
        <w:spacing w:after="0" w:line="2" w:lineRule="exact"/>
        <w:rPr>
          <w:sz w:val="20"/>
          <w:szCs w:val="20"/>
          <w:color w:val="auto"/>
        </w:rPr>
      </w:pPr>
    </w:p>
    <w:p>
      <w:pPr>
        <w:ind w:firstLine="5"/>
        <w:spacing w:after="0" w:line="275" w:lineRule="auto"/>
        <w:tabs>
          <w:tab w:leader="none" w:pos="30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protect our confidential and proprietary information and to assign to us intellectual property developed during the course of his employment. As a condition of employment with the company, all employees are required to enter an agreement providing for the foregoing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The following is a summary of the employment agreements with our named executive officers as currently in effect. As described below under "—Severance and Change in Control Agreements," our board of directors has approved severance and change in control agreements for each of our named executive officers which, where applicable, supersede and replace the terms of officers' prior employment agreements with respect to severance and change in control payments.</w:t>
      </w:r>
    </w:p>
    <w:p>
      <w:pPr>
        <w:spacing w:after="0" w:line="163" w:lineRule="exact"/>
        <w:rPr>
          <w:sz w:val="20"/>
          <w:szCs w:val="20"/>
          <w:color w:val="auto"/>
        </w:rPr>
      </w:pPr>
    </w:p>
    <w:p>
      <w:pPr>
        <w:jc w:val="both"/>
        <w:ind w:firstLine="411"/>
        <w:spacing w:after="0" w:line="263" w:lineRule="auto"/>
        <w:rPr>
          <w:sz w:val="20"/>
          <w:szCs w:val="20"/>
          <w:color w:val="auto"/>
        </w:rPr>
      </w:pPr>
      <w:r>
        <w:rPr>
          <w:rFonts w:ascii="Arial" w:cs="Arial" w:eastAsia="Arial" w:hAnsi="Arial"/>
          <w:sz w:val="17"/>
          <w:szCs w:val="17"/>
          <w:i w:val="1"/>
          <w:iCs w:val="1"/>
          <w:color w:val="auto"/>
        </w:rPr>
        <w:t xml:space="preserve">Jonathan Oringer. </w:t>
      </w:r>
      <w:r>
        <w:rPr>
          <w:rFonts w:ascii="Arial" w:cs="Arial" w:eastAsia="Arial" w:hAnsi="Arial"/>
          <w:sz w:val="17"/>
          <w:szCs w:val="17"/>
          <w:color w:val="auto"/>
        </w:rPr>
        <w:t>We entered into an employment agreement with Jonathan Oringer, our Chief Executive Officer, on September 24, 2012. The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has no specific term and constitutes at-will employment. Mr. Oringer's current annual base salary is $250,000. Mr. Oringer is also eligible to receive benefits that are substantially similar to those of the other executive officers of the Company. Mr. Oringer is not currently eligible for an annual cash bonus, but we may provide him with an annual cash bonus in the future. Mr. Oringer is subject to certain restrictive covenants as set forth in his CIC Agreement, as discussed below under "—Severance and Change in Control Agreements."</w:t>
      </w:r>
    </w:p>
    <w:p>
      <w:pPr>
        <w:spacing w:after="0" w:line="187" w:lineRule="exact"/>
        <w:rPr>
          <w:sz w:val="20"/>
          <w:szCs w:val="20"/>
          <w:color w:val="auto"/>
        </w:rPr>
      </w:pPr>
    </w:p>
    <w:p>
      <w:pPr>
        <w:jc w:val="both"/>
        <w:ind w:firstLine="388"/>
        <w:spacing w:after="0" w:line="262" w:lineRule="auto"/>
        <w:rPr>
          <w:sz w:val="20"/>
          <w:szCs w:val="20"/>
          <w:color w:val="auto"/>
        </w:rPr>
      </w:pPr>
      <w:r>
        <w:rPr>
          <w:rFonts w:ascii="Arial" w:cs="Arial" w:eastAsia="Arial" w:hAnsi="Arial"/>
          <w:sz w:val="17"/>
          <w:szCs w:val="17"/>
          <w:i w:val="1"/>
          <w:iCs w:val="1"/>
          <w:color w:val="auto"/>
        </w:rPr>
        <w:t xml:space="preserve">Thilo Semmelbauer. </w:t>
      </w:r>
      <w:r>
        <w:rPr>
          <w:rFonts w:ascii="Arial" w:cs="Arial" w:eastAsia="Arial" w:hAnsi="Arial"/>
          <w:sz w:val="17"/>
          <w:szCs w:val="17"/>
          <w:color w:val="auto"/>
        </w:rPr>
        <w:t>We entered into an employment agreement with Thilo Semmelbauer, our President and Chief Operating Officer, on March 21, 2010. The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has no specific term and constitutes at-will employment. Mr. Semmelbauer's current annual base salary is $350,000 and he is eligible for an annual cash bonus based upon achievement of performance-based objectives established by the board of directors. Mr. Semmelbauer is also eligible to receive benefits that are substantially similar to those of the other executive officers of the Company. Mr. Semmelbauer is subject to certain restrictive covenants, including non-solicitation of employees for a period two years following termination of his employment and non-solicitation of customers and non-competition for a period of three years following termination of his employment.</w:t>
      </w:r>
    </w:p>
    <w:p>
      <w:pPr>
        <w:spacing w:after="0" w:line="188"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Tim Bixby. </w:t>
      </w:r>
      <w:r>
        <w:rPr>
          <w:rFonts w:ascii="Arial" w:cs="Arial" w:eastAsia="Arial" w:hAnsi="Arial"/>
          <w:sz w:val="17"/>
          <w:szCs w:val="17"/>
          <w:color w:val="auto"/>
        </w:rPr>
        <w:t>We entered into an employment agreement with Tim Bixby, our Chief Financial Officer, on May 16, 2011. The employment agreement has no</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term and constitutes at-will employment. Mr. Bixby's current annual base salary is $350,000 and he is eligible for an annual cash bonus based upon achievement of performance-based objectives established by the board of directors. Mr. Bixby is also eligible to receive benefits that are substantially similar to those of the other executive officers of the Company. Mr. Bixby is subject to certain restrictive covenants, including non-solicitation and non-competition for a period of one year following termination of his employment.</w:t>
      </w:r>
    </w:p>
    <w:p>
      <w:pPr>
        <w:spacing w:after="0" w:line="18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i w:val="1"/>
          <w:iCs w:val="1"/>
          <w:color w:val="auto"/>
        </w:rPr>
        <w:t xml:space="preserve">James Chou. </w:t>
      </w:r>
      <w:r>
        <w:rPr>
          <w:rFonts w:ascii="Arial" w:cs="Arial" w:eastAsia="Arial" w:hAnsi="Arial"/>
          <w:sz w:val="17"/>
          <w:szCs w:val="17"/>
          <w:color w:val="auto"/>
        </w:rPr>
        <w:t>We entered into an employment agreement with James Chou, our Chief Technology Officer, on September 24, 2012. The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no specific term and constitutes at-will employment. Mr. Chou's current annual base salary is $275,000 and he is eligible for an annual cash bonus based upon achievement of performance-based objectives established by the board of directors. Mr. Chou is also eligible to receive benefits that are substantially similar to those of the other executive officers of the Company. Mr. Chou is subject to certain restrictive covenants as set forth in his CIC Agreement, as discussed below under "— Severance and Change in Control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Thilo Semmelbauer Profits Interest Grant and Repurchase Agreement</w:t>
      </w:r>
    </w:p>
    <w:p>
      <w:pPr>
        <w:spacing w:after="0" w:line="224" w:lineRule="exact"/>
        <w:rPr>
          <w:sz w:val="20"/>
          <w:szCs w:val="20"/>
          <w:color w:val="auto"/>
        </w:rPr>
      </w:pPr>
    </w:p>
    <w:p>
      <w:pPr>
        <w:jc w:val="both"/>
        <w:ind w:firstLine="534"/>
        <w:spacing w:after="0" w:line="277" w:lineRule="auto"/>
        <w:rPr>
          <w:sz w:val="20"/>
          <w:szCs w:val="20"/>
          <w:color w:val="auto"/>
        </w:rPr>
      </w:pPr>
      <w:r>
        <w:rPr>
          <w:rFonts w:ascii="Arial" w:cs="Arial" w:eastAsia="Arial" w:hAnsi="Arial"/>
          <w:sz w:val="16"/>
          <w:szCs w:val="16"/>
          <w:color w:val="auto"/>
        </w:rPr>
        <w:t>On August 17, 2010, we entered into a Profits Interest Grant and Repurchase Agreement with Mr. Semmelbauer whereby we issued a profits interest to Mr. Semmelbauer in consideration of future services to be rendered. The agreement entitled Mr. Semmelbauer to an aggregate amount of 4% of any liquidation of Shutterstock Images LLC, or the LLC, in excess of $300 million, subject to subsequent equity grants that had reduced this amount. Pursuant to the terms of the agreement, Mr. Semmelbauer was not entitled to any allocations or distributions relating to the LLC's operating profits outside of a liquidation scenario. The profits interest vested as to one-sixth of the interest on April 5, 2011, with the remaining five-sixths vesting in equal quarterly installments over the subsequent five year period, provided that the interest would cease to vest on the date that Mr. Semmelbauer ceased to be employed by us. Upon a change of control or qualified public offering, 50% of any unvested portion of Mr. Semmelbauer's profits interest in the LLC would immediately vest, with the remaining unvested portion converting to restricted stock and continuing to vest in accordance with the vesting schedule outlined above. In connection with the Reorganization, the vested portion of Mr. Semmelbauer's profits interest in the LLC was exchanged for shares of our common stock and the unvested portion of Mr. Semmelbauer's profits interest in the LLC was exchanged for shares of restricted stock having the same vesting terms. Effective as of the Reorganization, we entered into a Restricted Stock Agreement with Mr. Semmelbauer governing the terms of his restricted stock. Pursuant to the terms of the Restricted Stock Agreement, 103,348 of the then-outstanding shares of restricted stock held by Mr. Semmelbauer vested and were released from our right to acquire such shares on October 10, 2012, upon the effectiveness of the registration statement filed in connection with our initial public offering.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and Change in Control Agreements</w:t>
      </w:r>
    </w:p>
    <w:p>
      <w:pPr>
        <w:spacing w:after="0" w:line="224"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As discussed above, in September 2012, the board of directors approved new severance and change in control agreements, or CIC Agreements, for each of our executive officers, the specific terms of which are discussed below.</w:t>
      </w:r>
    </w:p>
    <w:p>
      <w:pPr>
        <w:spacing w:after="0" w:line="17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5"/>
          <w:szCs w:val="15"/>
          <w:color w:val="auto"/>
        </w:rPr>
        <w:t>Pursuant to the CIC Agreements, if we terminate an executive's employment with the Company for a reason other than cause (as defined in the CIC Agreements) or executive's death or disability (as defined in the CIC Agreements) at any time other than during the twenty-four month period immediately following a change of control (as defined in the CIC Agreements), then executive will receive the following severance benefits from the company: (i) severance in an amount equal to twelve months of executive's base salary, which will be paid in three equal installments on each of the following dates: (x) executive's termination of employment, (y) the six month anniversary of executive's termination and (z) the one year anniversary of executive's termination of employment (except with respect to Mr. Semmelbauer, in which case the payments will be 50% on termination of employment and 25% on each of the six month and one year anniversaries of his termination of employment);</w:t>
      </w:r>
    </w:p>
    <w:p>
      <w:pPr>
        <w:spacing w:after="0" w:line="1" w:lineRule="exact"/>
        <w:rPr>
          <w:sz w:val="20"/>
          <w:szCs w:val="20"/>
          <w:color w:val="auto"/>
        </w:rPr>
      </w:pPr>
    </w:p>
    <w:p>
      <w:pPr>
        <w:jc w:val="both"/>
        <w:ind w:firstLine="5"/>
        <w:spacing w:after="0" w:line="300" w:lineRule="auto"/>
        <w:tabs>
          <w:tab w:leader="none" w:pos="269"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lump sum payment of a pro rata bonus at 100% of target for the year in which the termination of employment occurs based on the number of days worked relative to 365 days; (iii) reimbursement for premiums paid for coverage pursuant to the Consolidated Omnibus Budget Reconciliation Act of 1985, as amended, or COBRA, for executive and executive's eligible dependents for up to twelve months; (iv) accelerated vesting of the then-unvested portion of all of executive's outstanding equity awards as if executive had remained employed for twelve months following executive's termination of employment; (v) the post-termination exercise period for the outstanding vested options will be extended to 18 months following an executive's termination of employment; (vi) outplacement benefits for six months following termination of employment, up to a maximum of $5,000; (vii) all accrued but unpaid vacation, expense reimbursements, wages, and other benefits due to executive under any Company- provided plans, policies and arrangements and (viii) such other compensation or benefits as may be required by law.</w:t>
      </w:r>
    </w:p>
    <w:p>
      <w:pPr>
        <w:spacing w:after="0" w:line="163" w:lineRule="exact"/>
        <w:rPr>
          <w:sz w:val="20"/>
          <w:szCs w:val="20"/>
          <w:color w:val="auto"/>
        </w:rPr>
      </w:pPr>
    </w:p>
    <w:p>
      <w:pPr>
        <w:ind w:firstLine="551"/>
        <w:spacing w:after="0" w:line="282" w:lineRule="auto"/>
        <w:rPr>
          <w:sz w:val="20"/>
          <w:szCs w:val="20"/>
          <w:color w:val="auto"/>
        </w:rPr>
      </w:pPr>
      <w:r>
        <w:rPr>
          <w:rFonts w:ascii="Arial" w:cs="Arial" w:eastAsia="Arial" w:hAnsi="Arial"/>
          <w:sz w:val="17"/>
          <w:szCs w:val="17"/>
          <w:color w:val="auto"/>
        </w:rPr>
        <w:t>If during the twenty-four month period immediately following a change of control (as defined in the CIC Agreements), (x) we terminate an executive's employment with the Company for a reason other than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cause (as defined in the CIC Agreements) or the executive's death or disability (as defined in the CIC Agreements), or (y) an executive resigns from such employment for good reason (as defined in the CIC Agreements), then executive will receive the severance benefits discussed above except (i) the severance in clause (i) above shall be paid in a single lump sum following executive's termination of employment; (ii) in lieu of the pro rata bonus described above in clause (ii) above, executive will receive a lump sum severance payment equal to 100% of executive's full target bonus for the fiscal year in effect at the date of termination of employment; and (iii) that vesting shall accelerate as to 100% of all of executive's outstanding equity awards.</w:t>
      </w:r>
    </w:p>
    <w:p>
      <w:pPr>
        <w:spacing w:after="0" w:line="187" w:lineRule="exact"/>
        <w:rPr>
          <w:sz w:val="20"/>
          <w:szCs w:val="20"/>
          <w:color w:val="auto"/>
        </w:rPr>
      </w:pPr>
    </w:p>
    <w:p>
      <w:pPr>
        <w:jc w:val="both"/>
        <w:ind w:firstLine="358"/>
        <w:spacing w:after="0" w:line="281" w:lineRule="auto"/>
        <w:rPr>
          <w:sz w:val="20"/>
          <w:szCs w:val="20"/>
          <w:color w:val="auto"/>
        </w:rPr>
      </w:pPr>
      <w:r>
        <w:rPr>
          <w:rFonts w:ascii="Arial" w:cs="Arial" w:eastAsia="Arial" w:hAnsi="Arial"/>
          <w:sz w:val="16"/>
          <w:szCs w:val="16"/>
          <w:color w:val="auto"/>
        </w:rPr>
        <w:t>An executive's receipt of severance payments or benefits pursuant to a severance and change in control agreement is subject to the executive signing a separation agreement and release of claims and complying with restrictive covenants. For Messrs. Oringer and Chou, the restrictive covenants are contained in the CIC Agreements and restrict the executives during the employment period and the 12-month period following termination of employment from (i) soliciting employees or customers; (ii) competing against the Company; and (iii) disparaging the Company. Messrs. Oringer and Chou are also restricted from disclosing confidential information at any time. Messrs. Bixby and Semmelbauer must comply with the restrictive covenants set forth in their respective employment agreements (as set forth above under "—Employment Agreements") as a condition to the receipt of severance.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Omnibus Equity Incentive Plan</w:t>
      </w:r>
    </w:p>
    <w:p>
      <w:pPr>
        <w:spacing w:after="0" w:line="224"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color w:val="auto"/>
        </w:rPr>
        <w:t>Our board of directors has adopted, and our stockholders have approved, our 2012 Omnibus Equity Incentive Plan, or the 2012 Plan. The 2012 Plan became effective following the Reorganization. Our 2012 Plan provides for the grant of incentive stock options, within the meaning of Section 422 of the Internal Revenue Code of 1986, as amended, or the Code, to our employees and any of our subsidiary corporations' employees, and for the grant of nonstatutory stock options, stock appreciation rights, restricted stock, restricted stock units, performance units and performance shares to our employees, directors and consultants and our subsidiary corporations' employees and consultants.</w:t>
      </w:r>
    </w:p>
    <w:p>
      <w:pPr>
        <w:spacing w:after="0" w:line="187"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In connection with the Reorganization, the outstanding grants under our VAR Plan were converted into options to purchase common stock granted under, and governed by the terms of, the 2012 Plan, and with similar rights and terms as the original VAR grant.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terms of the 2012 Plan.</w:t>
      </w:r>
    </w:p>
    <w:p>
      <w:pPr>
        <w:spacing w:after="0" w:line="224" w:lineRule="exact"/>
        <w:rPr>
          <w:sz w:val="20"/>
          <w:szCs w:val="20"/>
          <w:color w:val="auto"/>
        </w:rPr>
      </w:pPr>
    </w:p>
    <w:p>
      <w:pPr>
        <w:jc w:val="both"/>
        <w:ind w:firstLine="373"/>
        <w:spacing w:after="0" w:line="270"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aggregate number of shares that may be issued under the 2012 Plan is 6,750,000 shares of our common stock (1,661,719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were granted as options in replacement of existing VARs). In addition, the number of shares available for issuance under the 2012 Plan will be annually increased on the first day of each of our fiscal years beginning with the 2013 fiscal year, by an amount equal to the least of:</w:t>
      </w:r>
    </w:p>
    <w:p>
      <w:pPr>
        <w:spacing w:after="0" w:line="192"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1,500,000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3% of the outstanding shares of our common stock as of the last day of our immediately preceding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Shares issued pursuant to awards under the 2012 Plan that we repurchase or that are otherwise forfeited, will become available for future grant under the 2012 Plan on the same basis as the award initially counted against the share reserve. In addition, to the extent that an award is paid out in cash rather than shares, such cash payment will not reduce the number of shares available for issuance under the 2012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7"/>
          <w:szCs w:val="17"/>
          <w:i w:val="1"/>
          <w:iCs w:val="1"/>
          <w:color w:val="auto"/>
        </w:rPr>
        <w:t>Award Limitations.</w:t>
      </w:r>
      <w:r>
        <w:rPr>
          <w:sz w:val="20"/>
          <w:szCs w:val="20"/>
          <w:color w:val="auto"/>
        </w:rPr>
        <w:tab/>
      </w:r>
      <w:r>
        <w:rPr>
          <w:rFonts w:ascii="Arial" w:cs="Arial" w:eastAsia="Arial" w:hAnsi="Arial"/>
          <w:sz w:val="15"/>
          <w:szCs w:val="15"/>
          <w:color w:val="auto"/>
        </w:rPr>
        <w:t>The following limits apply to any awards granted under the 2012 Plan:</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Options and stock appreciation rights</w:t>
      </w:r>
      <w:r>
        <w:rPr>
          <w:rFonts w:ascii="Arial" w:cs="Arial" w:eastAsia="Arial" w:hAnsi="Arial"/>
          <w:sz w:val="17"/>
          <w:szCs w:val="17"/>
          <w:color w:val="auto"/>
        </w:rPr>
        <w:t>—no employee shall be granted within any fiscal year one or more options or stock appreciation rights,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cover more than 500,000 shares; provided, however, that in connection with an employee's initial service as an employee, an employee's aggregate limit may be increased by 1,000,000 shares;</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—no employee shall be granted within any fiscal year one or more awards of restricted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which in the aggregate cover more than 500,000 shares; provided, however, that in connection with an employee's initial service as an employee, an employee's aggregate limit may be increased by 1,000,000 shares; and</w:t>
      </w:r>
    </w:p>
    <w:p>
      <w:pPr>
        <w:spacing w:after="0" w:line="192" w:lineRule="exact"/>
        <w:rPr>
          <w:rFonts w:ascii="Arial" w:cs="Arial" w:eastAsia="Arial" w:hAnsi="Arial"/>
          <w:sz w:val="17"/>
          <w:szCs w:val="17"/>
          <w:color w:val="auto"/>
        </w:rPr>
      </w:pPr>
    </w:p>
    <w:p>
      <w:pPr>
        <w:jc w:val="both"/>
        <w:ind w:left="1060" w:hanging="531"/>
        <w:spacing w:after="0" w:line="283"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no employee shall receive performance units or performance shares having a grant date value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payout) greater than two million dollars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or covering up to 1,000,000 shares, whichever is greater. No individual may only have one award of performance units or performance shares for a performance period.</w:t>
      </w:r>
    </w:p>
    <w:p>
      <w:pPr>
        <w:spacing w:after="0" w:line="174"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2012 Plan will be administered by our board of directors, which, at its discretion or as legally required, may delegate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our compensation committee and/or one or more additional committees. In the case of awards intended to qualify as "performance-based compensation" within the meaning of Code Section 162(m), the compensation committee will consist of two or more "outside directors" within the meaning of Code Section 162(m).</w:t>
      </w:r>
    </w:p>
    <w:p>
      <w:pPr>
        <w:spacing w:after="0" w:line="185" w:lineRule="exact"/>
        <w:rPr>
          <w:sz w:val="20"/>
          <w:szCs w:val="20"/>
          <w:color w:val="auto"/>
        </w:rPr>
      </w:pPr>
    </w:p>
    <w:p>
      <w:pPr>
        <w:jc w:val="both"/>
        <w:ind w:firstLine="390"/>
        <w:spacing w:after="0" w:line="263" w:lineRule="auto"/>
        <w:rPr>
          <w:sz w:val="20"/>
          <w:szCs w:val="20"/>
          <w:color w:val="auto"/>
        </w:rPr>
      </w:pPr>
      <w:r>
        <w:rPr>
          <w:rFonts w:ascii="Arial" w:cs="Arial" w:eastAsia="Arial" w:hAnsi="Arial"/>
          <w:sz w:val="17"/>
          <w:szCs w:val="17"/>
          <w:color w:val="auto"/>
        </w:rPr>
        <w:t>Subject to the provisions of our 2012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2012 Plan. The administrator also has the authority, subject to the terms of the 2012 Plan, to amend existing awards, to prescribe rules and to construe and interpret the 2012 Plan and awards granted thereunder.</w:t>
      </w:r>
    </w:p>
    <w:p>
      <w:pPr>
        <w:spacing w:after="0" w:line="187" w:lineRule="exact"/>
        <w:rPr>
          <w:sz w:val="20"/>
          <w:szCs w:val="20"/>
          <w:color w:val="auto"/>
        </w:rPr>
      </w:pPr>
    </w:p>
    <w:p>
      <w:pPr>
        <w:jc w:val="both"/>
        <w:ind w:firstLine="422"/>
        <w:spacing w:after="0" w:line="27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and/or nonstatutory stock options under our 2012 Plan; provided that incentive stock options are only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employees. The exercise price of such options must equal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2012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w:t>
      </w:r>
    </w:p>
    <w:p>
      <w:pPr>
        <w:spacing w:after="0" w:line="176"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may be granted under our 2012 Plan. Stock appreciation rights allow the recipient to receive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in the fair market value of our common stock between the exercise date and the date of grant. Subject to the provisions of our 2012 Plan, the administrator determines the terms of stock appreciation rights, including when such rights vest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79"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may be granted under our 2012 Plan. Restricted stock awards are grants of shares of our common stock that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cash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2012 Plan, which may include the right to dividend equivalents, as determined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88" w:lineRule="exact"/>
        <w:rPr>
          <w:sz w:val="20"/>
          <w:szCs w:val="20"/>
          <w:color w:val="auto"/>
        </w:rPr>
      </w:pPr>
    </w:p>
    <w:p>
      <w:pPr>
        <w:jc w:val="both"/>
        <w:ind w:firstLine="542"/>
        <w:spacing w:after="0" w:line="293" w:lineRule="auto"/>
        <w:rPr>
          <w:sz w:val="20"/>
          <w:szCs w:val="20"/>
          <w:color w:val="auto"/>
        </w:rPr>
      </w:pPr>
      <w:r>
        <w:rPr>
          <w:rFonts w:ascii="Arial" w:cs="Arial" w:eastAsia="Arial" w:hAnsi="Arial"/>
          <w:sz w:val="15"/>
          <w:szCs w:val="15"/>
          <w:i w:val="1"/>
          <w:iCs w:val="1"/>
          <w:color w:val="auto"/>
        </w:rPr>
        <w:t xml:space="preserve">Performance Units and Performance Shares. </w:t>
      </w:r>
      <w:r>
        <w:rPr>
          <w:rFonts w:ascii="Arial" w:cs="Arial" w:eastAsia="Arial" w:hAnsi="Arial"/>
          <w:sz w:val="15"/>
          <w:szCs w:val="15"/>
          <w:color w:val="auto"/>
        </w:rPr>
        <w:t>Performance units and performance shares may be granted under our 2012 Plan. Performance units and</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one or more of the following, as determined by the administrator: (i) sales or non-sales revenue; (ii) return on revenue;</w:t>
      </w:r>
    </w:p>
    <w:p>
      <w:pPr>
        <w:spacing w:after="0" w:line="2" w:lineRule="exact"/>
        <w:rPr>
          <w:sz w:val="20"/>
          <w:szCs w:val="20"/>
          <w:color w:val="auto"/>
        </w:rPr>
      </w:pPr>
    </w:p>
    <w:p>
      <w:pPr>
        <w:ind w:left="320" w:hanging="315"/>
        <w:spacing w:after="0"/>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operating income; (iv) income or earnings including operating income; (v) income or earnings before or after taxes, interest, depreciation and/or amortization;</w:t>
      </w:r>
    </w:p>
    <w:p>
      <w:pPr>
        <w:spacing w:after="0" w:line="25" w:lineRule="exact"/>
        <w:rPr>
          <w:rFonts w:ascii="Arial" w:cs="Arial" w:eastAsia="Arial" w:hAnsi="Arial"/>
          <w:sz w:val="16"/>
          <w:szCs w:val="16"/>
          <w:color w:val="auto"/>
        </w:rPr>
      </w:pPr>
    </w:p>
    <w:p>
      <w:pPr>
        <w:jc w:val="both"/>
        <w:ind w:firstLine="5"/>
        <w:spacing w:after="0" w:line="273" w:lineRule="auto"/>
        <w:tabs>
          <w:tab w:leader="none" w:pos="2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income or earnings from continuing operations; (vii) net income; (vii) pre-tax income or after-tax income; (viii) net income excluding amortization of intangible assets, depreciation and impairment of goodwill and intangible assets and/or excluding charges attributable to the adoption of new accounting pronouncements;</w:t>
      </w:r>
    </w:p>
    <w:p>
      <w:pPr>
        <w:jc w:val="both"/>
        <w:ind w:firstLine="5"/>
        <w:spacing w:after="0" w:line="273" w:lineRule="auto"/>
        <w:tabs>
          <w:tab w:leader="none" w:pos="3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raising of financing or fundraising; (x) project financing; (xi) revenue backlog; (xii) power purchase agreement backlog; (xiii) gross margin; (xiv) operating margin or profit margin; (xv) capital expenditures, cost targets, reductions and savings and expense management; (xvi) return on assets (gross or net), return on investment, return on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w:t>
      </w:r>
    </w:p>
    <w:p>
      <w:pPr>
        <w:spacing w:after="0" w:line="1" w:lineRule="exact"/>
        <w:rPr>
          <w:rFonts w:ascii="Arial" w:cs="Arial" w:eastAsia="Arial" w:hAnsi="Arial"/>
          <w:sz w:val="16"/>
          <w:szCs w:val="16"/>
          <w:color w:val="auto"/>
        </w:rPr>
      </w:pPr>
    </w:p>
    <w:p>
      <w:pPr>
        <w:jc w:val="both"/>
        <w:ind w:firstLine="5"/>
        <w:spacing w:after="0" w:line="309" w:lineRule="auto"/>
        <w:tabs>
          <w:tab w:leader="none" w:pos="354"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 (xxiv) 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 (xxix) enterprise resource planning.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64"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7"/>
          <w:szCs w:val="17"/>
          <w:i w:val="1"/>
          <w:iCs w:val="1"/>
          <w:color w:val="auto"/>
        </w:rPr>
        <w:t xml:space="preserve">Non-Transferability of Awards. </w:t>
      </w:r>
      <w:r>
        <w:rPr>
          <w:rFonts w:ascii="Arial" w:cs="Arial" w:eastAsia="Arial" w:hAnsi="Arial"/>
          <w:sz w:val="17"/>
          <w:szCs w:val="17"/>
          <w:color w:val="auto"/>
        </w:rPr>
        <w:t>Unless the administrator provides otherwise, our 2012 Plan generally does not allow for the transfer of awards and only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an option or stock appreciation right may exercise such an award during his or her lifetime.</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In the event of certain corporate events or changes in our capitalization, to prevent diminution or enlargement of the benefits or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available under the 2012 Plan, the administrator will make adjustments to one or more of the number and class of shares that may be delivered under the 2012 Plan and/or the number, class and price of shares covered by each outstanding award and the numerical share limits contained in the 2012 Plan. In the event of our proposed winding up, liquidation or dissolution, the administrator will notify participants as soon as practicable and all awards will terminate immediately prior to the consummation of such proposed transaction.</w:t>
      </w:r>
    </w:p>
    <w:p>
      <w:pPr>
        <w:spacing w:after="0" w:line="187"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7"/>
          <w:szCs w:val="17"/>
          <w:i w:val="1"/>
          <w:iCs w:val="1"/>
          <w:color w:val="auto"/>
        </w:rPr>
        <w:t xml:space="preserve">Merger or Change in Control. </w:t>
      </w:r>
      <w:r>
        <w:rPr>
          <w:rFonts w:ascii="Arial" w:cs="Arial" w:eastAsia="Arial" w:hAnsi="Arial"/>
          <w:sz w:val="17"/>
          <w:szCs w:val="17"/>
          <w:color w:val="auto"/>
        </w:rPr>
        <w:t>Our 2012 Plan provides that in the event of a merger or change in control (other than a winding up, dissolution or liquidation),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the 2012 Plan, each outstanding award will be treated as the administrator determines (including assumed, substituted or cancelled),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88"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i w:val="1"/>
          <w:iCs w:val="1"/>
          <w:color w:val="auto"/>
        </w:rPr>
        <w:t xml:space="preserve">Plan Amendment, Termination. </w:t>
      </w:r>
      <w:r>
        <w:rPr>
          <w:rFonts w:ascii="Arial" w:cs="Arial" w:eastAsia="Arial" w:hAnsi="Arial"/>
          <w:sz w:val="17"/>
          <w:szCs w:val="17"/>
          <w:color w:val="auto"/>
        </w:rPr>
        <w:t>Our board of directors has the authority to amend, suspend or terminate the 2012 Plan provided such action does not impair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rights of any participant. Our 2012 Plan will automatically terminate in 2022, unless we terminate it sooner.</w:t>
      </w:r>
    </w:p>
    <w:p>
      <w:pPr>
        <w:spacing w:after="0" w:line="170"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Lock-Up Provision. </w:t>
      </w:r>
      <w:r>
        <w:rPr>
          <w:rFonts w:ascii="Arial" w:cs="Arial" w:eastAsia="Arial" w:hAnsi="Arial"/>
          <w:sz w:val="17"/>
          <w:szCs w:val="17"/>
          <w:color w:val="auto"/>
        </w:rPr>
        <w:t>For a period of 90 days following the effective date of the registration statement of which this prospectus is a part, the participants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offer, pledge, sell, contract to sell, make any short sale of, loan, grant any option for the purchase of, or otherwise dispose of any of our securities however and whenever acquired (other than those included in the registration) without the prior written consent of the Company and Morgan Stanley &amp; Co. LLC and Deutsche Bank Securities Inc.</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Employee Stock Purchase Plan</w:t>
      </w:r>
    </w:p>
    <w:p>
      <w:pPr>
        <w:spacing w:after="0" w:line="224" w:lineRule="exact"/>
        <w:rPr>
          <w:sz w:val="20"/>
          <w:szCs w:val="20"/>
          <w:color w:val="auto"/>
        </w:rPr>
      </w:pPr>
    </w:p>
    <w:p>
      <w:pPr>
        <w:jc w:val="both"/>
        <w:ind w:firstLine="449"/>
        <w:spacing w:after="0" w:line="262" w:lineRule="auto"/>
        <w:rPr>
          <w:sz w:val="20"/>
          <w:szCs w:val="20"/>
          <w:color w:val="auto"/>
        </w:rPr>
      </w:pPr>
      <w:r>
        <w:rPr>
          <w:rFonts w:ascii="Arial" w:cs="Arial" w:eastAsia="Arial" w:hAnsi="Arial"/>
          <w:sz w:val="17"/>
          <w:szCs w:val="17"/>
          <w:color w:val="auto"/>
        </w:rPr>
        <w:t>Our board of directors has adopted, and our stockholders have approved, our 2012 Employee Stock Purchase Plan, or the ESPP. The ESPP became effective following the Reorganization. Our executive officers and all of our other employees are allowed to participate in our ESPP. In general, we intend to make offerings under the ESPP that qualify under Section 423 of the Code, but may make offerings that are not intended to qualify under Section 423 of the Code to the extent deemed advisable for designated subsidiaries outside the United States. Additionally, we may make separate offerings under the ESPP, each of which may have different terms, but each separate offering will be intended to comply with the requirements of Section 423 of the Code. The following summary of terms of the ESPP is based on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terms of the ESPP as approved by the board of directors, but the terms are not final until approved by the stockholders.</w:t>
      </w:r>
    </w:p>
    <w:p>
      <w:pPr>
        <w:spacing w:after="0" w:line="224" w:lineRule="exact"/>
        <w:rPr>
          <w:sz w:val="20"/>
          <w:szCs w:val="20"/>
          <w:color w:val="auto"/>
        </w:rPr>
      </w:pPr>
    </w:p>
    <w:p>
      <w:pPr>
        <w:ind w:right="20" w:firstLine="365"/>
        <w:spacing w:after="0" w:line="352" w:lineRule="auto"/>
        <w:rPr>
          <w:sz w:val="20"/>
          <w:szCs w:val="20"/>
          <w:color w:val="auto"/>
        </w:rPr>
      </w:pPr>
      <w:r>
        <w:rPr>
          <w:rFonts w:ascii="Arial" w:cs="Arial" w:eastAsia="Arial" w:hAnsi="Arial"/>
          <w:sz w:val="15"/>
          <w:szCs w:val="15"/>
          <w:color w:val="auto"/>
        </w:rPr>
        <w:t>A total of 2,000,000 shares of our common stock were originally made available for sale under our ESPP. In addition, our ESPP provides for annual increases in the number of shares available for issuance under the ESPP on the first day of each fiscal year beginning with the 2013 fiscal year, equal to the least of:</w:t>
      </w:r>
    </w:p>
    <w:p>
      <w:pPr>
        <w:spacing w:after="0" w:line="136"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1,000,000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3% of the outstanding shares of our common stock on the first day of such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or its committee has full and exclusive authority to interpret the terms of the ESPP and determine eligibility.</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All of our employees are eligible to participate if they are customarily employed by us or any participating subsidiary for more than 20 hours per week and more than five months in any calendar year. However, an employee may not be granted rights to purchase stock under our ESPP if such employee:</w:t>
      </w:r>
    </w:p>
    <w:p>
      <w:pPr>
        <w:spacing w:after="0" w:line="159"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immediately after the grant would own stock possessing 5% or more of the total combined voting power or value of all classes of our capital stock; or</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holds rights to purchase stock under all of our employee stock purchase plans that would accrue at a rate that exceeds $25,000 worth of our stock for each calendar year.</w:t>
      </w:r>
    </w:p>
    <w:p>
      <w:pPr>
        <w:spacing w:after="0" w:line="170"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Our ESPP is intended to qualify under Section 423 of the Code, and provides for consecutive, non-overlapping six-month offering periods. The offering periods generally start on the first trading day on or after June 1 and December 1 of each year, except for the first such offering period which commence on October 11, 2012 and which ended on June 3, 2013. The administrator may, in its discretion, modify the terms of future offering periods.</w:t>
      </w:r>
    </w:p>
    <w:p>
      <w:pPr>
        <w:spacing w:after="0" w:line="179"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Our ESPP permits participants to purchase common stock through payroll deductions of up to 15% of their eligible compensation, which includes a participant's regular and recurring straight time gross earnings, payments for overtime and shift premium, exclusive of payments for incentive compensation, bonuses and other similar compensation. A participant may purchase a maximum of 1,000 shares of common stock during each six-month offering period.</w:t>
      </w:r>
    </w:p>
    <w:p>
      <w:pPr>
        <w:spacing w:after="0" w:line="16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Amounts deducted and accumulated by the participant are used to purchase shares of our common stock at the end of each six-month offering period. The purchase price of the shares will be 85% of the lower of the fair market value of our common stock on the first trading day of the offering period or on the last day of the offering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participant may not transfer rights granted under the ESPP other than by will, the laws of descent and distribution or as otherwise provided under the ESPP.</w:t>
      </w:r>
    </w:p>
    <w:p>
      <w:pPr>
        <w:spacing w:after="0" w:line="24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In the event of our merger or change of control, as defined under the ESPP, a successor corporation may assume or substitute each outstanding purchase right. If the successor corporation refuses to assume or substitute for the outstanding purchase rights, the offering period then in progress will be shortened, and a new exercise date will be set. The plan administrator will notify each participant in writing that the exercise date has been changed and that the participant's option will be exercised automatically on the new exercise date unless the participant has already withdrawn from the offering period.</w:t>
      </w:r>
    </w:p>
    <w:p>
      <w:pPr>
        <w:spacing w:after="0" w:line="169"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auto"/>
        </w:rPr>
        <w:t>Our ESPP will automatically terminate in 2022, unless we terminate it sooner. In addition, our board of directors has the authority to amend, suspend or terminate our ESPP, except that, subject to certain exceptions described in the ESPP, no such action may adversely affect any outstanding rights to purchase stock under our ESPP.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Non-Equity Incentive Plan</w:t>
      </w:r>
    </w:p>
    <w:p>
      <w:pPr>
        <w:spacing w:after="0" w:line="224"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auto"/>
        </w:rPr>
        <w:t>Our executive officers, with the exception of our Chief Executive Officer, are eligible for annual incentive compensation under a cash bonus plan. The plan is designed to provide awards to such individuals as an incentive to contribute to both revenue growth and profitability on a consolidated company basis and as an incentive to meet individual objectives that relate to our overall goals.</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Bonuses are based on our overall financial performance and are contingent upon our attainment of revenue and EBITDA targets established by our board on an annual basis. Our board retains discretion to increase or decrease the bonus amount paid to any employee or executive, regardless of that person's target bonus or specific corporate performance metrics. There are no maximum payouts, and generally no minimum thresholds for individuals. Bonuses are paid in cash after the end of the performance period in which they were earned.</w:t>
      </w:r>
    </w:p>
    <w:p>
      <w:pPr>
        <w:spacing w:after="0" w:line="185"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Individual bonus payments are based on a formula determined by taking each person's actual earned compensation, multiplied by a target bonus percentage, multiplied by an individual score, multiplied by the company-wide score, with discretion for rounding. Individual bonus payments are pro-rated for the portion of the fiscal year during which the executive was employed by us for those executives who were not employed by us for the entire fiscal year.</w:t>
      </w:r>
    </w:p>
    <w:p>
      <w:pPr>
        <w:spacing w:after="0" w:line="163" w:lineRule="exact"/>
        <w:rPr>
          <w:sz w:val="20"/>
          <w:szCs w:val="20"/>
          <w:color w:val="auto"/>
        </w:rPr>
      </w:pPr>
    </w:p>
    <w:p>
      <w:pPr>
        <w:jc w:val="both"/>
        <w:ind w:firstLine="362"/>
        <w:spacing w:after="0" w:line="261" w:lineRule="auto"/>
        <w:rPr>
          <w:sz w:val="20"/>
          <w:szCs w:val="20"/>
          <w:color w:val="auto"/>
        </w:rPr>
      </w:pPr>
      <w:r>
        <w:rPr>
          <w:rFonts w:ascii="Arial" w:cs="Arial" w:eastAsia="Arial" w:hAnsi="Arial"/>
          <w:sz w:val="17"/>
          <w:szCs w:val="17"/>
          <w:color w:val="auto"/>
        </w:rPr>
        <w:t>In May 2012, our board of directors approved the Shutterstock, Inc. Short-Term Incentive Plan, or the Short-Term Incentive Plan. The Short-Term Incentive Plan became effective following the Reorganization. The purpose of the Short-Term Incentive Plan is to motivate and reward eligible officers and employees for their contributions toward the achievement of certain performance goals, with the intention that the incentives paid thereunder to certain executive officers of the Company be deductible during the applicable reliance period under Section 162(m) of the Code and the regulations and interpretations promulgated thereunder. The Short-Term Incentive Plan will be administered by the compensation committee, which shall have the discretionary authority to interpret the provisions of the Short-Term Incentive Plan, including all decisions on eligibility to participate, the establishment of performance goals, the amount of awards payable under the plan and the payment of awards.</w:t>
      </w:r>
    </w:p>
    <w:p>
      <w:pPr>
        <w:spacing w:after="0" w:line="190" w:lineRule="exact"/>
        <w:rPr>
          <w:sz w:val="20"/>
          <w:szCs w:val="20"/>
          <w:color w:val="auto"/>
        </w:rPr>
      </w:pPr>
    </w:p>
    <w:p>
      <w:pPr>
        <w:jc w:val="both"/>
        <w:ind w:firstLine="528"/>
        <w:spacing w:after="0" w:line="293" w:lineRule="auto"/>
        <w:rPr>
          <w:sz w:val="20"/>
          <w:szCs w:val="20"/>
          <w:color w:val="auto"/>
        </w:rPr>
      </w:pPr>
      <w:r>
        <w:rPr>
          <w:rFonts w:ascii="Arial" w:cs="Arial" w:eastAsia="Arial" w:hAnsi="Arial"/>
          <w:sz w:val="15"/>
          <w:szCs w:val="15"/>
          <w:color w:val="auto"/>
        </w:rPr>
        <w:t>Commencing with our 2013 fiscal year, the compensation committee has established cash bonus targets and corporate performance metrics for a specific performance period (not to exceed 36 months) or fiscal year pursuant to the Short-Term Incentive Plan. Corporate performance goals may be based on one or more of the following criteria, as determined by our compensation committee: (i) pre-tax income or after-tax income; (ii) income or earnings including operating income, earnings before or after taxes, interest, stock-based compensation expense, depreciation and/or amortization; (iii) net income excluding amortization of intangible assets, depreciation and impairment of goodwill and intangible assets and/or excluding charges attributable to the adoption of new accounting pronouncements;</w:t>
      </w:r>
    </w:p>
    <w:p>
      <w:pPr>
        <w:spacing w:after="0" w:line="2" w:lineRule="exact"/>
        <w:rPr>
          <w:sz w:val="20"/>
          <w:szCs w:val="20"/>
          <w:color w:val="auto"/>
        </w:rPr>
      </w:pPr>
    </w:p>
    <w:p>
      <w:pPr>
        <w:jc w:val="both"/>
        <w:ind w:firstLine="5"/>
        <w:spacing w:after="0" w:line="291" w:lineRule="auto"/>
        <w:tabs>
          <w:tab w:leader="none" w:pos="299"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earnings or book value per share (basic or diluted); (v) return on assets (gross or net), return on investment, return on capital, or return on equity; (vi) return on revenue; (vii) cash flow, free cash flow, cash flow return on investment (discounted or otherwise), net cash provided by operations, or cash flow in excess of cost of capital; (viii) economic value created; (ix) operating margin or profit margin; (x) stock price or total stockholder return; (xi) income or earnings from continuing operations; (xii) capital expenditures, cost targets, reductions and savings and expense management; and (xiii) strategic business criteria, consisting of one or more objectives based on meeting specified market penetration or market share, geographic business expansion, objective customer satisfaction or information technology goals, and objective goals relating to divestitures, joint ventures, mergers, acquisitions and similar transactions, each with respect to the Company and/or one or more of its affiliates or operating units.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w:t>
      </w:r>
    </w:p>
    <w:p>
      <w:pPr>
        <w:spacing w:after="0" w:line="5" w:lineRule="exact"/>
        <w:rPr>
          <w:rFonts w:ascii="Arial" w:cs="Arial" w:eastAsia="Arial" w:hAnsi="Arial"/>
          <w:sz w:val="15"/>
          <w:szCs w:val="15"/>
          <w:color w:val="auto"/>
        </w:rPr>
      </w:pPr>
    </w:p>
    <w:p>
      <w:pPr>
        <w:ind w:left="200" w:hanging="195"/>
        <w:spacing w:after="0"/>
        <w:tabs>
          <w:tab w:leader="none" w:pos="2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absolute terms, (ii) in relative terms (including, but not limited to, any increase (or decrease) over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 (vi) using an actual foreign exchange rate or on a foreign exchange neutral basis. It is the intent that, starting in 2013, the compensation committee will establish corporate performance metrics that are both aggressive and obtainable and that the executive officers' performance at expected levels will provide the opportunity to achieve a meaningful number of the corporate goals and objectives. Following the end of the performance period, the compensation committee will approve the achievement of the corporate performance metrics and authorize the funding of the cash bonuses for that period. Under the Short-Term Incentive Plan, the maximum award that can be paid to a participant during any performance period is $2,000,000. The total awards under the Short-Term Incentive Plan may not exceed $10,000,000 during any calendar year or $30,000,000 during the applicable reliance period (within the meaning of Section 162(m)).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28"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7"/>
          <w:szCs w:val="17"/>
          <w:color w:val="auto"/>
        </w:rPr>
        <w:t>One of our executive officers has adopted, and other of our executive officers or directors may adopt in the future, written plans, known as Rule 10b5-1 plans, in which they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In addition to the director and executive officer compensation arrangements discussed above under "Executive Compensation," below we describe transactions since January 1, 2010, to which we have been a party or will be a party, in which:</w:t>
      </w:r>
    </w:p>
    <w:p>
      <w:pPr>
        <w:spacing w:after="0" w:line="18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director, executive officer, beneficial holder of more than 5% of our capital stock or any member of their immediate family had or will have a direct or indirect material interest.</w:t>
      </w:r>
    </w:p>
    <w:p>
      <w:pPr>
        <w:spacing w:after="0" w:line="170"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7"/>
          <w:szCs w:val="17"/>
          <w:color w:val="auto"/>
        </w:rPr>
        <w:t>Other than as described below, there has not been, nor is there currently proposed, any such transaction or series of similar transactions to which we have been or will be a party other than compensation arrangements, which are described where required under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and Distributions to LLC Members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On October 5, 2012, we completed the Reorganization from a New York limited liability company to a Delaware corporation. Members of the LLC affiliated with Jonathan Oringer, our chief executive officer, director and holder of more than 5% of our capital stock, Insight Venture Partners, which holds more than 5% of our capital stock, and Adam Riggs, a holder of more than 5% of our capital stock, each received final cash distributions from the LLC on October 4, 2012 with respect to their membership interests.</w:t>
      </w:r>
    </w:p>
    <w:p>
      <w:pPr>
        <w:spacing w:after="0" w:line="185" w:lineRule="exact"/>
        <w:rPr>
          <w:sz w:val="20"/>
          <w:szCs w:val="20"/>
          <w:color w:val="auto"/>
        </w:rPr>
      </w:pPr>
    </w:p>
    <w:p>
      <w:pPr>
        <w:jc w:val="both"/>
        <w:ind w:firstLine="355"/>
        <w:spacing w:after="0" w:line="311" w:lineRule="auto"/>
        <w:rPr>
          <w:sz w:val="20"/>
          <w:szCs w:val="20"/>
          <w:color w:val="auto"/>
        </w:rPr>
      </w:pPr>
      <w:r>
        <w:rPr>
          <w:rFonts w:ascii="Arial" w:cs="Arial" w:eastAsia="Arial" w:hAnsi="Arial"/>
          <w:sz w:val="15"/>
          <w:szCs w:val="15"/>
          <w:color w:val="auto"/>
        </w:rPr>
        <w:t>Pursuant to the operating agreement, the LLC historically made monthly cash distributions to its members, including those affiliated with our directors, executive officers or beneficial holders of more than 5% of our capital stock. The members of the LLC affiliated with Jonathan Oringer, Insight Venture Partners and Adam Riggs received aggregate distributions of $49.9 million, $18.7 million and $6.4 million, respectively, for the three years ended December 31, 2011. From January 1, 2012 through September 30, 2012, such members of the LLC received aggregate distributions of $16.1 million, $6.0 million and $2.1 million, respectively.</w:t>
      </w:r>
    </w:p>
    <w:p>
      <w:pPr>
        <w:spacing w:after="0" w:line="155"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On October 4, 2012, the LLC made a final distribution to each of its members. The members of the LLC affiliated with Jonathan Oringer, Insight Venture Partners and Adam Riggs received on October 4, 2012 a final cash distribution of $7.8 million, $3.0 million and $1.0 million, respectively. Since the Reorganization, no further distributions to members have been made.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28"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In connection with the Reorganization and termination of the LLC's operating agreement, we entered into a registration rights agreement with Pixel Holdings Inc. (the entity through which Jonathan Oringer, our chief executive officer, holds his shares), Insight Venture Partners, Adam Riggs, Thilo Semmelbauer (our president and chief operating officer) and one of our employees who is not an executive officer, pursuant to which we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The holders of 24,963,370 shares of our common stock, or their transferees, are entitled to certain rights with respect to the registration of such shares under the Securities Act. See "Description of Capital Stock—Registration Rights" below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Payments</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As of December 31, 2010, 2011 and 2012, and as of June 30, 2013, Pixel Holdings Inc., which is wholly-owned by Jonathan Oringer, owed the company $144,000, $168,000, $0 and $0, respectively.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amounts comprised customer payments that were sent to Pixel Holdings Inc. and other miscellaneous amounts. In April 2012, all amounts owed by Pixel Holdings Inc.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to the company were repaid in full.</w:t>
      </w:r>
    </w:p>
    <w:p>
      <w:pPr>
        <w:spacing w:after="0" w:line="218"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auto"/>
        </w:rPr>
        <w:t>The sole business of Pixel Holdings Inc. (which was formerly known as Shutterstock, Inc.) is as a holding company through which Mr. Oringer holds a majority interest in the LLC. Prior to June 7, 2007, our business was operated through Pixel Holdings Inc. On June 7, 2007, Pixel Holdings Inc. contributed the business to the LLC in exchange for a one hundred percent membership interest in the LLC. The LLC had no business operations prior to June 7, 2007. Following the contribution of the business to the LLC, certain of our customers continued making payments to Pixel Holdings Inc. in error.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28"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7"/>
          <w:szCs w:val="17"/>
          <w:color w:val="auto"/>
        </w:rPr>
        <w:t>Please see "Description of Capital Stock—Limitation on Director and Officer Liability and Indemnification" for information on our indemnification arrangements with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and 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"Executive Compensation" for information on compensation and employment arrangements with our 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Adam Riggs</w:t>
      </w:r>
    </w:p>
    <w:p>
      <w:pPr>
        <w:spacing w:after="0" w:line="224"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On June 7, 2007, we entered into an Employment Agreement with Mr. Riggs, our former President, whereby we issued a membership interest to Mr. Riggs in consideration of future services to be rendered. Pursuant to the terms of the Employment Agreement, Mr. Riggs received an 8.5% membership interest in the LLC. The membership interest vested monthly, on the first day of each month, over a thirty-six month period beginning July 1, 2007, provided that Mr. Riggs remained an employee of the LLC. Upon a change of control, a qualified public offering, termination by the LLC without cause or termination by Mr. Riggs for good reason, the entire unvested portion of Mr. Riggs' membership interest would have vested immediately. Mr. Riggs ceased his employment with the LLC in September of 2010, at which time his 8.5% membership interest was fully vested. Pursuant to the Reorganization, the LLC membership interest held by Mr. Riggs will be exchanged for shares of our common stock. For information regarding the number of shares of common stock that were issued to Mr. Riggs in connection with the Reorganization and the number of shares of common stock to be held by Mr. Riggs following this offering, see "Principal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8" w:lineRule="exact"/>
        <w:rPr>
          <w:sz w:val="20"/>
          <w:szCs w:val="20"/>
          <w:color w:val="auto"/>
        </w:rPr>
      </w:pPr>
    </w:p>
    <w:p>
      <w:pPr>
        <w:jc w:val="both"/>
        <w:ind w:firstLine="477"/>
        <w:spacing w:after="0" w:line="283" w:lineRule="auto"/>
        <w:rPr>
          <w:sz w:val="20"/>
          <w:szCs w:val="20"/>
          <w:color w:val="auto"/>
        </w:rPr>
      </w:pPr>
      <w:r>
        <w:rPr>
          <w:rFonts w:ascii="Arial" w:cs="Arial" w:eastAsia="Arial" w:hAnsi="Arial"/>
          <w:sz w:val="16"/>
          <w:szCs w:val="16"/>
          <w:color w:val="auto"/>
        </w:rPr>
        <w:t>We have adopted a written code of business conduct and ethics, which is publicly available on our website at investor.shutterstock.com. Under our code of business conduct and ethics, our employees, officers and directors are discouraged from entering into any transaction that may cause a conflict of interest for us. In addition, they must report any potential conflict of interest, including related-party transactions, to a supervisor or the compliance officer of the Company, as defined in our code of business conduct and ethics, who will then review and summarize the proposed transaction for our audit committee. As provided by our audit committee charter, our audit committee is responsible for reviewing and approving in advance any related party transaction.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The following table sets forth information regarding the beneficial ownership of our outstanding capital stock as of August 21, 2013, as adjusted to reflect the sale of the common stock offered by us and by the selling stockholders under this prospectus by:</w:t>
      </w:r>
    </w:p>
    <w:p>
      <w:pPr>
        <w:spacing w:after="0" w:line="183"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entity or person who is known to us to own beneficially more than 5%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selling stockholder.</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These rules generally attribute beneficial ownership of securities to persons who possess sole or shared voting or investment power with respect to those securities, and include shares subject to options that are exercisable within 60 days. Such shares are also deemed outstanding for purposes of computing the percentage ownership of the person holding the option, but not the percentage ownership of any other person.</w:t>
      </w:r>
    </w:p>
    <w:p>
      <w:pPr>
        <w:spacing w:after="0" w:line="185"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The table includes all shares of common stock issuable within 60 days of August 21, 2013 upon the exercise of options and other rights beneficially owned by the indicated stockholders on that date. Except as indicated by the footnotes below, we believe, based on the information furnished to us, that the persons named in the table below have sole voting and investment power with respect to all shares of common stock that they beneficially own, subject to community property laws, where applicable.</w:t>
      </w:r>
    </w:p>
    <w:p>
      <w:pPr>
        <w:spacing w:after="0" w:line="185" w:lineRule="exact"/>
        <w:rPr>
          <w:sz w:val="20"/>
          <w:szCs w:val="20"/>
          <w:color w:val="auto"/>
        </w:rPr>
      </w:pPr>
    </w:p>
    <w:p>
      <w:pPr>
        <w:jc w:val="both"/>
        <w:ind w:firstLine="379"/>
        <w:spacing w:after="0" w:line="296" w:lineRule="auto"/>
        <w:rPr>
          <w:sz w:val="20"/>
          <w:szCs w:val="20"/>
          <w:color w:val="auto"/>
        </w:rPr>
      </w:pPr>
      <w:r>
        <w:rPr>
          <w:rFonts w:ascii="Arial" w:cs="Arial" w:eastAsia="Arial" w:hAnsi="Arial"/>
          <w:sz w:val="15"/>
          <w:szCs w:val="15"/>
          <w:color w:val="auto"/>
        </w:rPr>
        <w:t>Our calculation of the percentage of beneficial ownership prior to this offering is based on 33,720,692 shares of our common stock outstanding as of August 21, 2013, together with applicable options to the extent held by certain of our stockholders. We have based our calculation of the percentage of beneficial ownership after</w:t>
      </w:r>
    </w:p>
    <w:p>
      <w:pPr>
        <w:jc w:val="both"/>
        <w:spacing w:after="0" w:line="275" w:lineRule="auto"/>
        <w:rPr>
          <w:sz w:val="20"/>
          <w:szCs w:val="20"/>
          <w:color w:val="auto"/>
        </w:rPr>
      </w:pPr>
      <w:r>
        <w:rPr>
          <w:rFonts w:ascii="Arial" w:cs="Arial" w:eastAsia="Arial" w:hAnsi="Arial"/>
          <w:sz w:val="17"/>
          <w:szCs w:val="17"/>
          <w:color w:val="auto"/>
        </w:rPr>
        <w:t>this offering on shares of our common stock outstanding immediately after completion of this offering (assuming no exercise of the underwriters' option to purchase additional shares), together with applicable options to the extent held by certain of our stockholders.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noted, the address of each person listed in the table is c/o Shutterstock, Inc.,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Shares Beneficially Owned</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1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Shares Beneficially Owned</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440" w:type="dxa"/>
            <w:vAlign w:val="bottom"/>
            <w:gridSpan w:val="3"/>
            <w:vMerge w:val="restart"/>
          </w:tcPr>
          <w:p>
            <w:pPr>
              <w:jc w:val="center"/>
              <w:ind w:left="278"/>
              <w:spacing w:after="0"/>
              <w:rPr>
                <w:sz w:val="20"/>
                <w:szCs w:val="20"/>
                <w:color w:val="auto"/>
              </w:rPr>
            </w:pPr>
            <w:r>
              <w:rPr>
                <w:rFonts w:ascii="Arial" w:cs="Arial" w:eastAsia="Arial" w:hAnsi="Arial"/>
                <w:sz w:val="13"/>
                <w:szCs w:val="13"/>
                <w:b w:val="1"/>
                <w:bCs w:val="1"/>
                <w:color w:val="auto"/>
                <w:w w:val="95"/>
              </w:rPr>
              <w:t>Prior to Offering</w:t>
            </w: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9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4"/>
              </w:rPr>
              <w:t>After Offering</w:t>
            </w:r>
          </w:p>
        </w:tc>
        <w:tc>
          <w:tcPr>
            <w:tcW w:w="0" w:type="dxa"/>
            <w:vAlign w:val="bottom"/>
          </w:tcPr>
          <w:p>
            <w:pPr>
              <w:spacing w:after="0"/>
              <w:rPr>
                <w:sz w:val="1"/>
                <w:szCs w:val="1"/>
                <w:color w:val="auto"/>
              </w:rPr>
            </w:pPr>
          </w:p>
        </w:tc>
      </w:tr>
      <w:tr>
        <w:trPr>
          <w:trHeight w:val="65"/>
        </w:trPr>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Shares Offered</w:t>
            </w:r>
          </w:p>
        </w:tc>
        <w:tc>
          <w:tcPr>
            <w:tcW w:w="19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2560" w:type="dxa"/>
            <w:vAlign w:val="bottom"/>
          </w:tcPr>
          <w:p>
            <w:pPr>
              <w:spacing w:after="0"/>
              <w:rPr>
                <w:sz w:val="13"/>
                <w:szCs w:val="13"/>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Hereby</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Principal Stockholders: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18,486,327</w:t>
            </w:r>
          </w:p>
        </w:tc>
        <w:tc>
          <w:tcPr>
            <w:tcW w:w="4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54.8%</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Insight Venture Partners</w:t>
            </w:r>
            <w:r>
              <w:rPr>
                <w:rFonts w:ascii="Arial" w:cs="Arial" w:eastAsia="Arial" w:hAnsi="Arial"/>
                <w:sz w:val="28"/>
                <w:szCs w:val="28"/>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5,949,748</w:t>
            </w:r>
          </w:p>
        </w:tc>
        <w:tc>
          <w:tcPr>
            <w:tcW w:w="4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Adam Riggs</w:t>
            </w:r>
            <w:r>
              <w:rPr>
                <w:rFonts w:ascii="Arial" w:cs="Arial" w:eastAsia="Arial" w:hAnsi="Arial"/>
                <w:sz w:val="28"/>
                <w:szCs w:val="28"/>
                <w:color w:val="auto"/>
                <w:vertAlign w:val="superscript"/>
              </w:rPr>
              <w:t>(3)</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2,362,914</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7.0</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Executive Officers and Directors: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18,486,327</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54.8</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Thilo Semmelbauer</w:t>
            </w:r>
            <w:r>
              <w:rPr>
                <w:rFonts w:ascii="Arial" w:cs="Arial" w:eastAsia="Arial" w:hAnsi="Arial"/>
                <w:sz w:val="28"/>
                <w:szCs w:val="28"/>
                <w:color w:val="auto"/>
                <w:vertAlign w:val="superscript"/>
              </w:rPr>
              <w:t>(4)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417,649</w:t>
            </w:r>
          </w:p>
        </w:tc>
        <w:tc>
          <w:tcPr>
            <w:tcW w:w="4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(5)</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122,917</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79,167</w:t>
            </w:r>
          </w:p>
        </w:tc>
        <w:tc>
          <w:tcPr>
            <w:tcW w:w="4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Steven Berns</w:t>
            </w:r>
            <w:r>
              <w:rPr>
                <w:rFonts w:ascii="Arial" w:cs="Arial" w:eastAsia="Arial" w:hAnsi="Arial"/>
                <w:sz w:val="28"/>
                <w:szCs w:val="28"/>
                <w:color w:val="auto"/>
                <w:vertAlign w:val="superscript"/>
              </w:rPr>
              <w:t>(7)</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8,750</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Jeff Epstein</w:t>
            </w:r>
            <w:r>
              <w:rPr>
                <w:rFonts w:ascii="Arial" w:cs="Arial" w:eastAsia="Arial" w:hAnsi="Arial"/>
                <w:sz w:val="28"/>
                <w:szCs w:val="28"/>
                <w:color w:val="auto"/>
                <w:vertAlign w:val="superscript"/>
              </w:rPr>
              <w:t>(8)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13,380</w:t>
            </w:r>
          </w:p>
        </w:tc>
        <w:tc>
          <w:tcPr>
            <w:tcW w:w="4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Thomas R. Evans</w:t>
            </w:r>
            <w:r>
              <w:rPr>
                <w:rFonts w:ascii="Arial" w:cs="Arial" w:eastAsia="Arial" w:hAnsi="Arial"/>
                <w:sz w:val="28"/>
                <w:szCs w:val="28"/>
                <w:color w:val="auto"/>
                <w:vertAlign w:val="superscript"/>
              </w:rPr>
              <w:t>(9)</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8,750</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Jeffrey Lieberman</w:t>
            </w:r>
            <w:r>
              <w:rPr>
                <w:rFonts w:ascii="Arial" w:cs="Arial" w:eastAsia="Arial" w:hAnsi="Arial"/>
                <w:sz w:val="28"/>
                <w:szCs w:val="28"/>
                <w:color w:val="auto"/>
                <w:vertAlign w:val="superscript"/>
              </w:rPr>
              <w:t>(10)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5,959,651</w:t>
            </w:r>
          </w:p>
        </w:tc>
        <w:tc>
          <w:tcPr>
            <w:tcW w:w="4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gridSpan w:val="3"/>
          </w:tcPr>
          <w:p>
            <w:pPr>
              <w:spacing w:after="0" w:line="249" w:lineRule="exact"/>
              <w:rPr>
                <w:sz w:val="20"/>
                <w:szCs w:val="20"/>
                <w:color w:val="auto"/>
              </w:rPr>
            </w:pPr>
            <w:r>
              <w:rPr>
                <w:rFonts w:ascii="Arial" w:cs="Arial" w:eastAsia="Arial" w:hAnsi="Arial"/>
                <w:sz w:val="17"/>
                <w:szCs w:val="17"/>
                <w:color w:val="auto"/>
              </w:rPr>
              <w:t>Jonathan Miller</w:t>
            </w:r>
            <w:r>
              <w:rPr>
                <w:rFonts w:ascii="Arial" w:cs="Arial" w:eastAsia="Arial" w:hAnsi="Arial"/>
                <w:sz w:val="28"/>
                <w:szCs w:val="28"/>
                <w:color w:val="auto"/>
                <w:vertAlign w:val="superscript"/>
              </w:rPr>
              <w:t>(11)</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8,750</w:t>
            </w:r>
          </w:p>
        </w:tc>
        <w:tc>
          <w:tcPr>
            <w:tcW w:w="4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All executive officers and directors as a group (9</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0" w:type="dxa"/>
            <w:vAlign w:val="bottom"/>
            <w:gridSpan w:val="3"/>
            <w:shd w:val="clear" w:color="auto" w:fill="CCEEFF"/>
          </w:tcPr>
          <w:p>
            <w:pPr>
              <w:ind w:left="180"/>
              <w:spacing w:after="0"/>
              <w:rPr>
                <w:sz w:val="20"/>
                <w:szCs w:val="20"/>
                <w:color w:val="auto"/>
              </w:rPr>
            </w:pPr>
            <w:r>
              <w:rPr>
                <w:rFonts w:ascii="Arial" w:cs="Arial" w:eastAsia="Arial" w:hAnsi="Arial"/>
                <w:sz w:val="17"/>
                <w:szCs w:val="17"/>
                <w:b w:val="1"/>
                <w:bCs w:val="1"/>
                <w:color w:val="auto"/>
              </w:rPr>
              <w:t>persons)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25,105,341</w:t>
            </w:r>
          </w:p>
        </w:tc>
        <w:tc>
          <w:tcPr>
            <w:tcW w:w="4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26" w:lineRule="exact"/>
        <w:rPr>
          <w:sz w:val="20"/>
          <w:szCs w:val="20"/>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Shares held by Pixel Holdings Inc. Mr. Oringer is the sole stockholder of Pixel Holdings Inc. and has sole voting and dispositive control over the shares.</w:t>
      </w:r>
    </w:p>
    <w:p>
      <w:pPr>
        <w:spacing w:after="0" w:line="125" w:lineRule="exact"/>
        <w:rPr>
          <w:rFonts w:ascii="Arial" w:cs="Arial" w:eastAsia="Arial" w:hAnsi="Arial"/>
          <w:sz w:val="13"/>
          <w:szCs w:val="13"/>
          <w:color w:val="auto"/>
        </w:rPr>
      </w:pPr>
    </w:p>
    <w:p>
      <w:pPr>
        <w:jc w:val="both"/>
        <w:ind w:left="1680" w:hanging="533"/>
        <w:spacing w:after="0" w:line="263"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Includes 142,742 shares held of record by Insight Venture Partners V (Employee Co-Investors), L.P., 2,427,668 shares held of record by Insight Venture Partners V, L.P., 735,025 shares held of record by Insight Venture Partners (Cayman) V, L.P. and 2,644,313 shares held of record by Insight Venture Partners V Coinvestment Fund, L.P. (Insight Venture Partners V (Employee Co-Investors), L.P., Insight Venture Partners V, L.P., Insight Venture Partners (Cayman) V, L.P. and Insight Venture Partners V Coinvestment Fund, L.P., collectively, the "Insight V Funds"). Insight Venture Associates V, L.L.C. is the general partner of each of the Insight V Funds. Insight Holdings Group, LLC is the manager of Insight Venture Associates V, L.L.C. Jeff Horing, Deven Parekh and Peter Sobiloff are the members of the board of managers of Insight Holdings Group, LLC and share voting and dispositive control of the shares held by the Insight V Funds. The foregoing is not an admission by Insight Ventures Associates V, L.L.C. or Insight Holdings Group, LLC that it is the beneficial owner of the shares held by the Insight V Funds. Each of Messrs. Horing, Parekh and Sobiloff disclaims beneficial ownership of the shares except to the extent of his pecuniary interest in these entities. The address of the Insight V Funds is c/o Insight Venture Partners, 680 Fifth Avenue, 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10019.</w:t>
      </w:r>
    </w:p>
    <w:p>
      <w:pPr>
        <w:spacing w:after="0" w:line="13" w:lineRule="exact"/>
        <w:rPr>
          <w:rFonts w:ascii="Arial" w:cs="Arial" w:eastAsia="Arial" w:hAnsi="Arial"/>
          <w:sz w:val="12"/>
          <w:szCs w:val="12"/>
          <w:color w:val="auto"/>
        </w:rPr>
      </w:pPr>
    </w:p>
    <w:p>
      <w:pPr>
        <w:ind w:left="1680" w:hanging="533"/>
        <w:spacing w:after="0" w:line="25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address of Mr. Riggs is c/o The Nelson Law Firm, LLC, White Plains Plaza, One North Broadway, White Plains, New York 10601. Number of shares beneficially owned prior to offering is based on a Schedule 13G filed by Mr. Riggs with the SEC on February 12, 2013.</w:t>
      </w:r>
    </w:p>
    <w:p>
      <w:pPr>
        <w:spacing w:after="0" w:line="100" w:lineRule="exact"/>
        <w:rPr>
          <w:rFonts w:ascii="Arial" w:cs="Arial" w:eastAsia="Arial" w:hAnsi="Arial"/>
          <w:sz w:val="13"/>
          <w:szCs w:val="13"/>
          <w:color w:val="auto"/>
        </w:rPr>
      </w:pPr>
    </w:p>
    <w:p>
      <w:pPr>
        <w:jc w:val="both"/>
        <w:ind w:left="1680" w:hanging="533"/>
        <w:spacing w:after="0" w:line="243"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199,570 shares of common stock and 228,079 shares of restricted stock that are subject to vesting and may, to the extent not vested, be repurchased by the Company if Mr. Semmelbauer ceases to be employed by us prior to April 5, 2016. See "Executive Compensation—Agreements with Executive Officers—Thilo Semmelbauer Profits Interest Grant and Repurchase Agreement."</w:t>
      </w:r>
    </w:p>
    <w:p>
      <w:pPr>
        <w:spacing w:after="0" w:line="109"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122,917 shares issuable upon exercise of outstanding options exercisable within 60 days of August 21,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79,167 shares issuable upon exercise of outstanding options exercisable within 60 days of August 21,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8,750 shares issuable upon exercise of outstanding options exercisable within 60 days of August 21,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Includes 7,500 shares issuable upon exercise of outstanding options exercisable within 60 days of August 21,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8,750 shares issuable upon exercise of outstanding options exercisable within 60 days of August 21, 2013.</w:t>
      </w:r>
    </w:p>
    <w:p>
      <w:pPr>
        <w:spacing w:after="0" w:line="125"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Lieberman is a Managing Director of Insight Venture Management, LLC, an entity affiliated with the Insight V Funds, but holds no voting or investment power over the shares beneficially owned by the Insight V Funds. See note (2) above for more information regarding the Insight V Funds.</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8,750 shares issuable upon exercise of outstanding options exercisable within 60 days of August 21, 2013.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80"/>
        <w:spacing w:after="0" w:line="315" w:lineRule="auto"/>
        <w:rPr>
          <w:sz w:val="20"/>
          <w:szCs w:val="20"/>
          <w:color w:val="auto"/>
        </w:rPr>
      </w:pPr>
      <w:r>
        <w:rPr>
          <w:rFonts w:ascii="Arial" w:cs="Arial" w:eastAsia="Arial" w:hAnsi="Arial"/>
          <w:sz w:val="16"/>
          <w:szCs w:val="16"/>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our amended and restated bylaws.</w:t>
      </w:r>
    </w:p>
    <w:p>
      <w:pPr>
        <w:spacing w:after="0" w:line="146"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Our authorized capital stock consists of 200,000,000 shares of common stock, $0.01 par value per share, and 5,000,000 shares of undesignated preferred stock, $0.01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June 30, 2013, there were 33,692,311 shares of common stock outstanding, held by 13 holders of record. Options to purchase 560,372 shares of common</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 were also outstanding as of June 30, 2013. There will be shares of common stock outstanding (assuming no exercise of the underwriter's option to purchase additional shares or exercise of outstanding options after June 30, 2013), after giving effect to the sale of the shares offered hereby.</w:t>
      </w:r>
    </w:p>
    <w:p>
      <w:pPr>
        <w:spacing w:after="0" w:line="175" w:lineRule="exact"/>
        <w:rPr>
          <w:sz w:val="20"/>
          <w:szCs w:val="20"/>
          <w:color w:val="auto"/>
        </w:rPr>
      </w:pPr>
    </w:p>
    <w:p>
      <w:pPr>
        <w:jc w:val="both"/>
        <w:ind w:firstLine="379"/>
        <w:spacing w:after="0" w:line="281"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See "Dividend Policy." In the event of liquidation, dissolution or winding up of Shutterstock,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There are no shares of preferred stock outstanding. Under our amended and restated certificate of incorporation, our board of directors has the authority, without further action by the stockholders, to issue up to 5,000,000 shares of preferred stock, $0.01 par value, in one or more series. Our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69"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We currently have no plans to issue any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6"/>
          <w:szCs w:val="16"/>
          <w:color w:val="auto"/>
        </w:rPr>
        <w:t>In connection with the Reorganization and the termination of the LLC's operating agreement, we entered into a registration rights agreement with Pixel Holdings Inc., Insight Venture Partners, Adam Riggs, Thilo Semmelbauer (our president and chief operating officer) and one of our employees who is not an executive officer, pursuant to which we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Subject to limitations in the agreement, the holders of approximately 24,545,721 shares of common stock then outstanding may require, on three occasions, that we use our best efforts to register these securities for public resale if Form S-3 is not available. If we register any of our common stock either for our own account or for the account of other security holders, the holders of these securities are entitled to include their shares of common stock in that registration, subject to the ability of the underwriters to limit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number of shares included in this offering. The holders of approximately 24,545,721 shares of common stock then outstanding may also require us, not more than twice in any twelve-month period, to register all or a portion of these securities on Form S-3 when the use of that form becomes available to us, provided, among other limitations, that the proposed aggregate price to the public (net of any underwriters' discounts or commissions) is at least $5 million. We will be responsible for paying all registration expenses, and the holders selling their shares will be responsible for paying all selling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28"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6"/>
          <w:szCs w:val="16"/>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24"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discussed above, our board of directors has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Ability of Stockholders to Act by Written Consent or Call a Special Meeting</w:t>
      </w:r>
    </w:p>
    <w:p>
      <w:pPr>
        <w:spacing w:after="0" w:line="224"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63" w:lineRule="exact"/>
        <w:rPr>
          <w:sz w:val="20"/>
          <w:szCs w:val="20"/>
          <w:color w:val="auto"/>
        </w:rPr>
      </w:pPr>
    </w:p>
    <w:p>
      <w:pPr>
        <w:jc w:val="both"/>
        <w:ind w:firstLine="420"/>
        <w:spacing w:after="0" w:line="265" w:lineRule="auto"/>
        <w:rPr>
          <w:sz w:val="20"/>
          <w:szCs w:val="20"/>
          <w:color w:val="auto"/>
        </w:rPr>
      </w:pPr>
      <w:r>
        <w:rPr>
          <w:rFonts w:ascii="Arial" w:cs="Arial" w:eastAsia="Arial" w:hAnsi="Arial"/>
          <w:sz w:val="17"/>
          <w:szCs w:val="17"/>
          <w:color w:val="auto"/>
        </w:rPr>
        <w:t>In addition, our amended and restated bylaws provides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24" w:lineRule="exact"/>
        <w:rPr>
          <w:sz w:val="20"/>
          <w:szCs w:val="20"/>
          <w:color w:val="auto"/>
        </w:rPr>
      </w:pPr>
    </w:p>
    <w:p>
      <w:pPr>
        <w:jc w:val="both"/>
        <w:ind w:firstLine="475"/>
        <w:spacing w:after="0" w:line="287"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Classification</w:t>
      </w:r>
    </w:p>
    <w:p>
      <w:pPr>
        <w:spacing w:after="0" w:line="224" w:lineRule="exact"/>
        <w:rPr>
          <w:sz w:val="20"/>
          <w:szCs w:val="20"/>
          <w:color w:val="auto"/>
        </w:rPr>
      </w:pPr>
    </w:p>
    <w:p>
      <w:pPr>
        <w:jc w:val="both"/>
        <w:ind w:firstLine="369"/>
        <w:spacing w:after="0" w:line="322" w:lineRule="auto"/>
        <w:rPr>
          <w:sz w:val="20"/>
          <w:szCs w:val="20"/>
          <w:color w:val="auto"/>
        </w:rPr>
      </w:pPr>
      <w:r>
        <w:rPr>
          <w:rFonts w:ascii="Arial" w:cs="Arial" w:eastAsia="Arial" w:hAnsi="Arial"/>
          <w:sz w:val="15"/>
          <w:szCs w:val="15"/>
          <w:color w:val="auto"/>
        </w:rPr>
        <w:t>Our board of directors is divided into three classes, one class of which is elected each year by our stockholders. The directors in each class will serve for a three-year term. For more information on the classified board, see "Management—Board of Directors." A third party may be discouraged from making a tender offer or otherwise attempting to take control of us as it is more difficult and time-consuming for stockholders to replace a majority of the directors on a classified board.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2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7"/>
          <w:szCs w:val="17"/>
          <w:color w:val="auto"/>
        </w:rPr>
        <w:t>Our amended and restated certificate of incorporation and amended and restated bylaws does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24" w:lineRule="exact"/>
        <w:rPr>
          <w:sz w:val="20"/>
          <w:szCs w:val="20"/>
          <w:color w:val="auto"/>
        </w:rPr>
      </w:pPr>
    </w:p>
    <w:p>
      <w:pPr>
        <w:jc w:val="both"/>
        <w:ind w:firstLine="489"/>
        <w:spacing w:after="0" w:line="282" w:lineRule="auto"/>
        <w:rPr>
          <w:sz w:val="20"/>
          <w:szCs w:val="20"/>
          <w:color w:val="auto"/>
        </w:rPr>
      </w:pPr>
      <w:r>
        <w:rPr>
          <w:rFonts w:ascii="Arial" w:cs="Arial" w:eastAsia="Arial" w:hAnsi="Arial"/>
          <w:sz w:val="17"/>
          <w:szCs w:val="17"/>
          <w:color w:val="auto"/>
        </w:rPr>
        <w:t>The amendment of the above provisions of our amended and restated certificate of incorporation requires approval by holders of at least a majority of our outstanding capital stock entitled to vote generally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2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prior to the date of the transaction,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59"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179"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8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auto"/>
        </w:rPr>
        <w:t>The provisions of Delaware law and the provisions of our amended and restated certificate of incorporation and amended and restated bylaws, as amended upon the closing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incorporation or bylaws; or any action asserting a claim against us that is governed by the internal affairs doctrine.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Director and Officer Liability and Indemnification</w:t>
      </w:r>
    </w:p>
    <w:p>
      <w:pPr>
        <w:spacing w:after="0" w:line="228"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7"/>
          <w:szCs w:val="17"/>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98"/>
        <w:spacing w:after="0" w:line="300" w:lineRule="auto"/>
        <w:rPr>
          <w:sz w:val="20"/>
          <w:szCs w:val="20"/>
          <w:color w:val="auto"/>
        </w:rPr>
      </w:pPr>
      <w:r>
        <w:rPr>
          <w:rFonts w:ascii="Arial" w:cs="Arial" w:eastAsia="Arial" w:hAnsi="Arial"/>
          <w:sz w:val="15"/>
          <w:szCs w:val="15"/>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63" w:lineRule="exact"/>
        <w:rPr>
          <w:sz w:val="20"/>
          <w:szCs w:val="20"/>
          <w:color w:val="auto"/>
        </w:rPr>
      </w:pPr>
    </w:p>
    <w:p>
      <w:pPr>
        <w:jc w:val="both"/>
        <w:ind w:firstLine="533"/>
        <w:spacing w:after="0" w:line="262"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is listed on the New York Stock Exchange under the symbol "SSTK".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agent's address is 6201 15th Avenue, Brooklyn, New York, 11219, and its telephone number is (718) 921-8200.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Future sales of our common stock, or the availability of such shares for sale in the public market, could adversely affect prevailing market prices. Furthermore, since only a limited number of shares will be available for sale shortly after this offering because of certain contractual and legal restrictions on resale, sales of substantial amounts of our common stock in the public market after the restrictions lapse could adversely affect the prevailing market price and our ability to raise equity capital in the future.</w:t>
      </w:r>
    </w:p>
    <w:p>
      <w:pPr>
        <w:spacing w:after="0" w:line="185" w:lineRule="exact"/>
        <w:rPr>
          <w:sz w:val="20"/>
          <w:szCs w:val="20"/>
          <w:color w:val="auto"/>
        </w:rPr>
      </w:pPr>
    </w:p>
    <w:p>
      <w:pPr>
        <w:jc w:val="both"/>
        <w:ind w:firstLine="343"/>
        <w:spacing w:after="0" w:line="322" w:lineRule="auto"/>
        <w:rPr>
          <w:sz w:val="20"/>
          <w:szCs w:val="20"/>
          <w:color w:val="auto"/>
        </w:rPr>
      </w:pPr>
      <w:r>
        <w:rPr>
          <w:rFonts w:ascii="Arial" w:cs="Arial" w:eastAsia="Arial" w:hAnsi="Arial"/>
          <w:sz w:val="15"/>
          <w:szCs w:val="15"/>
          <w:color w:val="auto"/>
        </w:rPr>
        <w:t>Upon completion of this offering, we will have outstanding shares of common stock. Of these shares, all of the shares sold in this offering (plus any shares issued upon exercise of the underwriters' option to purchase additional shares) will be freely tradable without restriction under the Securities Act, unless purchased by "affiliates" of Shutterstock as that term is defined in Rule 144 under the Securities Act, which generally includes officers, directors or 10% stockholders.</w:t>
      </w:r>
    </w:p>
    <w:p>
      <w:pPr>
        <w:spacing w:after="0" w:line="14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remaining shares of common stock outstanding after this offering will be "restricted securities" within the meaning of Rule 144 under the Securities Act. These shares may be sold in the public market only if registered or if they qualify for an exemption from registration under Rules 144 or 701 promulgated under the Securities Act, which are summarized below. Sales of these shares in the public market, or the availability of such shares for sale, could adversely affect the market price of our common stock.</w:t>
      </w:r>
    </w:p>
    <w:p>
      <w:pPr>
        <w:spacing w:after="0" w:line="185"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7"/>
          <w:szCs w:val="17"/>
          <w:color w:val="auto"/>
        </w:rPr>
        <w:t>Prior to the completion of this offering, all of our directors, officers and the holders of all of our securities will have entered into lock-up agreements generally providing that they will not offer, sell, contract to sell or grant any option to purchase or otherwise dispose of any shares of our common stock or any securities exercisable for or convertible into shares of our common stock owned by them for a period of 90 days after the effective date of the registration statement filed pursuant to this offering without the prior written consent of Morgan Stanley &amp; Co. LLC and Deutsche Bank Securities Inc. As a result of these contractual restrictions, notwithstanding possible earlier eligibility for sale under the provisions of Rules 144 and 701, shares subject to lock-up agreements will not be salable until such agreements expire or are waived by the designated underwriters' representative.</w:t>
      </w:r>
    </w:p>
    <w:p>
      <w:pPr>
        <w:spacing w:after="0" w:line="18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Taking into account the lock-up agreements, and assuming Morgan Stanley &amp; Co. LLC and Deutsche Bank Securities Inc. do not release stockholders from these agreements, the following shares will be eligible for sale in the public market at the following times:</w:t>
      </w:r>
    </w:p>
    <w:p>
      <w:pPr>
        <w:spacing w:after="0" w:line="183"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of common stock sold in this offering and in our IPO will be immediately available for sale in the public market.</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An additional shares of common stock which are not subject to the lock-up agreement in connection with this offering are also immediately available for sale in the public market.</w:t>
      </w:r>
    </w:p>
    <w:p>
      <w:pPr>
        <w:spacing w:after="0" w:line="183"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left="1060" w:hanging="531"/>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shares of common stock will be eligible for sale in the public market upon the expiration of lock-up agreements entered into in connection with this</w:t>
      </w:r>
    </w:p>
    <w:p>
      <w:pPr>
        <w:spacing w:after="0" w:line="32"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17"/>
          <w:szCs w:val="17"/>
          <w:color w:val="auto"/>
        </w:rPr>
        <w:t>offering,</w:t>
      </w:r>
      <w:r>
        <w:rPr>
          <w:sz w:val="20"/>
          <w:szCs w:val="20"/>
          <w:color w:val="auto"/>
        </w:rPr>
        <w:tab/>
      </w:r>
      <w:r>
        <w:rPr>
          <w:rFonts w:ascii="Arial" w:cs="Arial" w:eastAsia="Arial" w:hAnsi="Arial"/>
          <w:sz w:val="17"/>
          <w:szCs w:val="17"/>
          <w:color w:val="auto"/>
        </w:rPr>
        <w:t>of which would be subject to volume, manner of sale and other limitations under Rule 144, as described below.</w:t>
      </w:r>
    </w:p>
    <w:p>
      <w:pPr>
        <w:spacing w:after="0" w:line="218" w:lineRule="exact"/>
        <w:rPr>
          <w:sz w:val="20"/>
          <w:szCs w:val="20"/>
          <w:color w:val="auto"/>
        </w:rPr>
      </w:pPr>
    </w:p>
    <w:p>
      <w:pPr>
        <w:jc w:val="both"/>
        <w:ind w:firstLine="426"/>
        <w:spacing w:after="0" w:line="262" w:lineRule="auto"/>
        <w:rPr>
          <w:sz w:val="20"/>
          <w:szCs w:val="20"/>
          <w:color w:val="auto"/>
        </w:rPr>
      </w:pPr>
      <w:r>
        <w:rPr>
          <w:rFonts w:ascii="Arial" w:cs="Arial" w:eastAsia="Arial" w:hAnsi="Arial"/>
          <w:sz w:val="17"/>
          <w:szCs w:val="17"/>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70"/>
        <w:spacing w:after="0" w:line="282"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w:t>
      </w:r>
    </w:p>
    <w:p>
      <w:pPr>
        <w:spacing w:after="0" w:line="482" w:lineRule="exact"/>
        <w:rPr>
          <w:sz w:val="20"/>
          <w:szCs w:val="20"/>
          <w:color w:val="auto"/>
        </w:rPr>
      </w:pPr>
    </w:p>
    <w:p>
      <w:pPr>
        <w:sectPr>
          <w:pgSz w:w="11900" w:h="16838" w:orient="portrait"/>
          <w:cols w:equalWidth="0" w:num="3">
            <w:col w:w="580" w:space="480"/>
            <w:col w:w="7620" w:space="720"/>
            <w:col w:w="2020"/>
          </w:cols>
          <w:pgMar w:left="240" w:top="131" w:right="239" w:bottom="1440" w:gutter="0" w:footer="0" w:header="0"/>
          <w:type w:val="continuous"/>
        </w:sectPr>
      </w:pPr>
    </w:p>
    <w:p>
      <w:pPr>
        <w:ind w:left="1060" w:hanging="531"/>
        <w:spacing w:after="0" w:line="28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0"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The holders of approximately 24,963,370 shares of our common stock or their transferees are also entitled to certain rights with respect to registration of those shares for offer or sale to the public. If the holders, by exercising their registration rights, cause a large number of shares to be registered and sold in the public market, the sales could have a material adverse effect on the market price for our common stock.</w:t>
      </w:r>
    </w:p>
    <w:p>
      <w:pPr>
        <w:spacing w:after="0" w:line="179"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Any employee, officer or director of or consultant who purchased shares pursuant to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w:t>
      </w:r>
    </w:p>
    <w:p>
      <w:pPr>
        <w:spacing w:after="0" w:line="18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In addition, we have filed registration statements on Form S-8 under the Securities Act to register all of the shares of common stock issued or reserved to be issued pursuant to our employee benefit plans. As a result, any options exercised under the 2012 Omnibus Equity Incentive Plan, any shares purchased under our 2012 Employee Stock Purchase Plan, and any securities issued pursuant to these benefit plans will also be freely tradable in the public market following the expiration of the lock-up agreements and arrangements described above, except that shares held by affiliates will still be subject to the volume limitation, manner of sale, notice and public information requirements of Rule 144 unless otherwise resalable under Rule 701.</w:t>
      </w:r>
    </w:p>
    <w:p>
      <w:pPr>
        <w:spacing w:after="0" w:line="187"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As of August 21, 2013, there were outstanding options for the purchase of 1,907,659 shares of our common stock, of which options to purchase 629,168 shares were exercisable. See "Risk Factors—Future sales of our common stock in the public market could cause our share price to decline," "Management—Employee Benefit and Stock Plans" and "Description of Capital Stock—Registration Rights."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AND ESTATE TAX CONSEQUENCES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 NON-U.S. HOLDERS</w:t>
      </w:r>
    </w:p>
    <w:p>
      <w:pPr>
        <w:spacing w:after="0" w:line="218"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auto"/>
        </w:rPr>
        <w:t>The following is a summary of material U.S. federal income tax and estate tax consequences to non-U.S. holders relating to the ownership and disposition of our common stock issued pursuant to this offering, but does not purport to be a complete analysis of all the potential tax considerations relating thereto. This summary is based upon the provisions of the Code, Treasury regulations promulgated thereunder, administrative rulings and judicial decisions, all as in effect on the date hereof. These authorities may be changed, possibly retroactively, so as to result in U.S. federal income or estate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6"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 non-U.S. holder's particular circumstances or to non-U.S. holders that may be subject to special tax rules, including, without limitation:</w:t>
      </w:r>
    </w:p>
    <w:p>
      <w:pPr>
        <w:spacing w:after="0" w:line="192"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partnerships or other entities treated as pass-through entities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who hold our common stock as part of a straddle, hedge, conversion, constructive sale, or other integrated security transaction; or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w:t>
      </w:r>
    </w:p>
    <w:p>
      <w:pPr>
        <w:spacing w:after="0" w:line="224"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color w:val="auto"/>
        </w:rPr>
        <w:t>If a partnership or entity treated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non-U.S. holder is a beneficial owner of shares of our common stock that is not,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or political subdivision thereof, or the District of Columbia;</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partnership;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If we make a distribution of cash or other property (other than certain pro rata distributions of our common stock) in respect of our common stock, the distribution will be treated as a dividend to the extent it is paid from our current or accumulated earnings and profits (as determined under U.S. federal income tax principles). If the amount of a distribution exceeds our current and accumulated earnings and profits, such excess first will be treated as a tax-free return of capital to the extent of the non-U.S. holder's adjusted tax basis in our common stock, and thereafter will be treated as capital gain. Distributions treated as dividends on our common stock held by a non-U.S. holder generally will be subject to U.S. federal withholding tax at a rate of 30%, or at a lower rate if provided by an applicable income tax treaty and the non-U.S. holder has provided the documentation required to claim benefits under such treaty. Generally, to claim the benefits of an income tax treaty, a non-U.S. holder will be required to provide a properly executed IRS Form W-8BEN.</w:t>
      </w:r>
    </w:p>
    <w:p>
      <w:pPr>
        <w:spacing w:after="0" w:line="175" w:lineRule="exact"/>
        <w:rPr>
          <w:sz w:val="20"/>
          <w:szCs w:val="20"/>
          <w:color w:val="auto"/>
        </w:rPr>
      </w:pPr>
    </w:p>
    <w:p>
      <w:pPr>
        <w:jc w:val="both"/>
        <w:ind w:firstLine="347"/>
        <w:spacing w:after="0" w:line="261" w:lineRule="auto"/>
        <w:rPr>
          <w:sz w:val="20"/>
          <w:szCs w:val="20"/>
          <w:color w:val="auto"/>
        </w:rPr>
      </w:pPr>
      <w:r>
        <w:rPr>
          <w:rFonts w:ascii="Arial" w:cs="Arial" w:eastAsia="Arial" w:hAnsi="Arial"/>
          <w:sz w:val="17"/>
          <w:szCs w:val="17"/>
          <w:color w:val="auto"/>
        </w:rPr>
        <w:t>If, however, a dividend is effectively connected with the conduct of a trade or business in the United States by the non-U.S. holder (and, if an applicable tax treaty so provides, is attributable to a permanent establishment or fixed base maintained by the non-U.S. holder in the United States), the dividend will not be subject to the 30% U.S. federal withholding tax (provided the non-U.S. holder has provided the appropriate documentation, generally an IRS Form W-8ECI, to the withholding agent), but the non-U.S. holder generally will be subject to U.S. federal income tax in respect of the dividend on a net income basis, and at graduated rates, in substantially the same manner as U.S. persons. Dividends received by a non-U.S. holder that is a corporation for U.S. federal income tax purposes and which are effectively connected with the conduct of a U.S. trade or business may also be subject to a branch profits tax at the rate of 30% (or a lower rate if provided by an applicable tax treaty).</w:t>
      </w:r>
    </w:p>
    <w:p>
      <w:pPr>
        <w:spacing w:after="0" w:line="190" w:lineRule="exact"/>
        <w:rPr>
          <w:sz w:val="20"/>
          <w:szCs w:val="20"/>
          <w:color w:val="auto"/>
        </w:rPr>
      </w:pPr>
    </w:p>
    <w:p>
      <w:pPr>
        <w:jc w:val="both"/>
        <w:ind w:right="20" w:firstLine="457"/>
        <w:spacing w:after="0" w:line="282" w:lineRule="auto"/>
        <w:rPr>
          <w:sz w:val="20"/>
          <w:szCs w:val="20"/>
          <w:color w:val="auto"/>
        </w:rPr>
      </w:pPr>
      <w:r>
        <w:rPr>
          <w:rFonts w:ascii="Arial" w:cs="Arial" w:eastAsia="Arial" w:hAnsi="Arial"/>
          <w:sz w:val="17"/>
          <w:szCs w:val="17"/>
          <w:color w:val="auto"/>
        </w:rPr>
        <w:t>A non-U.S. holder that is eligible for a reduced rate of U.S. federal withholding tax under an income tax treaty may obtain a refund or credit of any excess amounts withheld by timely filing an appropriate claim for a refund together with the required information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Subject to the discussion below of the Foreign Account Tax Compliance Act, or FATCA, and backup withholding, a non-U.S. holder generally will not be subject to U.S. federal income or withholding tax on any gain realized on the sale or other disposition of our common stock unless:</w:t>
      </w:r>
    </w:p>
    <w:p>
      <w:pPr>
        <w:spacing w:after="0" w:line="183" w:lineRule="exact"/>
        <w:rPr>
          <w:sz w:val="20"/>
          <w:szCs w:val="20"/>
          <w:color w:val="auto"/>
        </w:rPr>
      </w:pPr>
    </w:p>
    <w:p>
      <w:pPr>
        <w:ind w:left="106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such non-U.S. holder is an individual who is present in the United States for 183 days or more in the taxable year of such sale or disposition, and certain other conditions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in the United States (and, if an applicable tax treaty so provides, is attributable to a permanent establishment or a fixed base maintained by the non-U.S. holder in the United States); or</w:t>
      </w:r>
    </w:p>
    <w:p>
      <w:pPr>
        <w:spacing w:after="0" w:line="172"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"United States real property holding corporation" for U.S. federal income tax purposes, or a USRPHC, at any time within the shorter of the five-year period preceding the disposition or the non-U.S. holder's holding period for our common stock.</w:t>
      </w:r>
    </w:p>
    <w:p>
      <w:pPr>
        <w:spacing w:after="0" w:line="179"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A non-U.S. holder that is an individual and who is present in the United States for 183 days or more in the taxable year of such sale or disposition, if certain other conditions are met, will be subject to tax at a gross rate of 30% on the amount by which such non-U.S. holder's taxable capital gains allocable to U.S. sources, including gain from the sale or other disposition of our common stock, exceed capital losses allocable to U.S. sources, except as otherwise provided in an applicable income tax treaty.</w:t>
      </w:r>
    </w:p>
    <w:p>
      <w:pPr>
        <w:spacing w:after="0" w:line="185"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Gain realized by a non-U.S. holder that is effectively connected with such non-U.S. holder's conduct of a trade or business in the U.S. generally will be subject to U.S. federal income tax on a net income basis, and at graduated rates, in substantially the same manner as a U.S. person (except as provided by an applicable tax treaty). In addition, if such non-U.S. holder is a corporation for U.S. federal income tax purposes, it may also be subject to a branch profits tax at the rate of 30% (or a lower rate if provided by an applicable tax treaty).</w:t>
      </w:r>
    </w:p>
    <w:p>
      <w:pPr>
        <w:spacing w:after="0" w:line="18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do not expect to be treated as a USRPHC as of the date hereof; however, there can be no assurances that we are not now or will not become in the future a USRPHC. If, however, we were a USRPHC during the applicable testing period, as long as our common stock is regularly traded on an established securities market, our common stock will be treated as a U.S. real property interest only for a non-U.S. holder who actually or constructively holds (at any time within the shorter of the five-year period preceding the disposition or the non-U.S. holder's holding period) more than 5% of such regularly traded stock. Please note, though, that we can provide no assurance that our common stock will remain regularly traded.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Legislation Affecting Taxation of Our Common Stock Held By or Through Foreign Entities</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Sections 1471 through 1474 of the Internal Revenue Code, the FATCA provisions, impose U.S. withholding taxes on certain types of payments made to certain foreign entities. Failure to comply with the additional certification, information reporting and other specified requirements imposed under FATCA could result in U.S. withholding tax being imposed on payments of dividend distributions and sales proceeds of common stock held by or through a foreign entity. Treasury Regulations provide that FATCA withholding generally will apply to (i) payments of dividend distributions made after June 30, 2014, (ii) gross proceeds from the sale, exchange or retirement of common stock paid after December 31, 2016 and (iii) certain "foreign pass-thru payments" received with respect to common stock held through foreign financial institutions after the later of December 31, 2016 and the date that final Treasury Regulations defining the term "foreign pass-thru payments" are issued. Prospective investors should consult their own tax advisors regarding FATCA and its effect on them.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a non-U.S. holder, the non-U.S. holder's name and address, and the amount of tax withheld, if any. A similar report is sent to the non-U.S. holder. Pursuant to applicable income tax treaties or other agreements, the IRS may make these reports available to tax authorities in the non-U.S. holder country of residence.</w:t>
      </w:r>
    </w:p>
    <w:p>
      <w:pPr>
        <w:spacing w:after="0" w:line="179"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information reporting and backup withholding unless the non-U.S. holder establishes an exemption, for example by properly certifying the non-U.S. holder's status on a Form W-8BEN or another appropriate version of IRS Form W-8. Notwithstanding the foregoing, backup withholding and information reporting may apply if either we or our paying agent has actual knowledge, or reason to know, that the non-U.S. holder is a U.S. person.</w:t>
      </w:r>
    </w:p>
    <w:p>
      <w:pPr>
        <w:spacing w:after="0" w:line="18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Deutsche Bank Securities Inc. and Jefferies LLC are acting as representatives, have severally agreed to purchase, and we have agreed to sell to them, the number of shares indicated below:</w:t>
      </w:r>
    </w:p>
    <w:p>
      <w:pPr>
        <w:spacing w:after="0" w:line="175" w:lineRule="exact"/>
        <w:rPr>
          <w:sz w:val="20"/>
          <w:szCs w:val="20"/>
          <w:color w:val="auto"/>
        </w:rPr>
      </w:pPr>
    </w:p>
    <w:p>
      <w:pPr>
        <w:ind w:left="1720"/>
        <w:spacing w:after="0"/>
        <w:tabs>
          <w:tab w:leader="none" w:pos="862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5447030</wp:posOffset>
            </wp:positionH>
            <wp:positionV relativeFrom="paragraph">
              <wp:posOffset>5080</wp:posOffset>
            </wp:positionV>
            <wp:extent cx="715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Allen &amp; Company LLC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Stifel, Nicolaus &amp; Company, Incorporated</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27305</wp:posOffset>
            </wp:positionV>
            <wp:extent cx="715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5447030</wp:posOffset>
            </wp:positionH>
            <wp:positionV relativeFrom="paragraph">
              <wp:posOffset>31115</wp:posOffset>
            </wp:positionV>
            <wp:extent cx="7156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47625</wp:posOffset>
            </wp:positionV>
            <wp:extent cx="7156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1"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 or, in the case of a default with respect to the underwriters' option to purchase additional shares described below, the underwriting agreement may be terminated.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additional shares of common stock at the public offering price listed on the cover page of this prospectus, less underwriting discounts and commissions. To the extent the option is exercised, each underwriter will become obligated, subject to certain conditions, to purchase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6" w:lineRule="exact"/>
        <w:rPr>
          <w:sz w:val="20"/>
          <w:szCs w:val="20"/>
          <w:color w:val="auto"/>
        </w:rPr>
      </w:pPr>
    </w:p>
    <w:p>
      <w:pPr>
        <w:jc w:val="both"/>
        <w:ind w:firstLine="387"/>
        <w:spacing w:after="0" w:line="282"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to the selling stockholders. These amounts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30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36"/>
        </w:trPr>
        <w:tc>
          <w:tcPr>
            <w:tcW w:w="7520" w:type="dxa"/>
            <w:vAlign w:val="bottom"/>
            <w:gridSpan w:val="3"/>
          </w:tcPr>
          <w:p>
            <w:pPr>
              <w:spacing w:after="0"/>
              <w:rPr>
                <w:sz w:val="20"/>
                <w:szCs w:val="20"/>
                <w:color w:val="auto"/>
              </w:rPr>
            </w:pPr>
            <w:r>
              <w:rPr>
                <w:rFonts w:ascii="Arial" w:cs="Arial" w:eastAsia="Arial" w:hAnsi="Arial"/>
                <w:sz w:val="17"/>
                <w:szCs w:val="17"/>
                <w:color w:val="auto"/>
                <w:w w:val="91"/>
              </w:rPr>
              <w:t>shown assuming both no exercise and full exercise of the underwriters' option to purchase up to an additional</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6"/>
          </w:tcPr>
          <w:p>
            <w:pPr>
              <w:ind w:left="320"/>
              <w:spacing w:after="0"/>
              <w:rPr>
                <w:sz w:val="20"/>
                <w:szCs w:val="20"/>
                <w:color w:val="auto"/>
              </w:rPr>
            </w:pPr>
            <w:r>
              <w:rPr>
                <w:rFonts w:ascii="Arial" w:cs="Arial" w:eastAsia="Arial" w:hAnsi="Arial"/>
                <w:sz w:val="17"/>
                <w:szCs w:val="17"/>
                <w:color w:val="auto"/>
                <w:w w:val="87"/>
              </w:rPr>
              <w:t>shares of common stock.</w:t>
            </w:r>
          </w:p>
        </w:tc>
      </w:tr>
      <w:tr>
        <w:trPr>
          <w:trHeight w:val="409"/>
        </w:trPr>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4"/>
        </w:trPr>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480" w:type="dxa"/>
            <w:vAlign w:val="bottom"/>
          </w:tcPr>
          <w:p>
            <w:pPr>
              <w:jc w:val="right"/>
              <w:ind w:right="68"/>
              <w:spacing w:after="0" w:line="124" w:lineRule="exact"/>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0"/>
                <w:szCs w:val="10"/>
                <w:color w:val="auto"/>
              </w:rPr>
            </w:pPr>
          </w:p>
        </w:tc>
        <w:tc>
          <w:tcPr>
            <w:tcW w:w="620" w:type="dxa"/>
            <w:vAlign w:val="bottom"/>
          </w:tcPr>
          <w:p>
            <w:pPr>
              <w:ind w:left="220"/>
              <w:spacing w:after="0" w:line="124" w:lineRule="exact"/>
              <w:rPr>
                <w:sz w:val="20"/>
                <w:szCs w:val="20"/>
                <w:color w:val="auto"/>
              </w:rPr>
            </w:pPr>
            <w:r>
              <w:rPr>
                <w:rFonts w:ascii="Arial" w:cs="Arial" w:eastAsia="Arial" w:hAnsi="Arial"/>
                <w:sz w:val="13"/>
                <w:szCs w:val="13"/>
                <w:b w:val="1"/>
                <w:bCs w:val="1"/>
                <w:color w:val="auto"/>
              </w:rPr>
              <w:t>No</w:t>
            </w:r>
          </w:p>
        </w:tc>
        <w:tc>
          <w:tcPr>
            <w:tcW w:w="160" w:type="dxa"/>
            <w:vAlign w:val="bottom"/>
          </w:tcPr>
          <w:p>
            <w:pPr>
              <w:spacing w:after="0"/>
              <w:rPr>
                <w:sz w:val="10"/>
                <w:szCs w:val="10"/>
                <w:color w:val="auto"/>
              </w:rPr>
            </w:pPr>
          </w:p>
        </w:tc>
        <w:tc>
          <w:tcPr>
            <w:tcW w:w="560" w:type="dxa"/>
            <w:vAlign w:val="bottom"/>
          </w:tcPr>
          <w:p>
            <w:pPr>
              <w:jc w:val="right"/>
              <w:ind w:right="74"/>
              <w:spacing w:after="0" w:line="124"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57"/>
        </w:trPr>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w w:val="97"/>
              </w:rPr>
              <w:t>Exercise</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Exercise</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3"/>
        </w:trPr>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Underwriting discounts and commissions to be paid by: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0" w:type="dxa"/>
            <w:vAlign w:val="bottom"/>
          </w:tcPr>
          <w:p>
            <w:pPr>
              <w:ind w:left="180"/>
              <w:spacing w:after="0"/>
              <w:rPr>
                <w:sz w:val="20"/>
                <w:szCs w:val="20"/>
                <w:color w:val="auto"/>
              </w:rPr>
            </w:pPr>
            <w:r>
              <w:rPr>
                <w:rFonts w:ascii="Arial" w:cs="Arial" w:eastAsia="Arial" w:hAnsi="Arial"/>
                <w:sz w:val="17"/>
                <w:szCs w:val="17"/>
                <w:color w:val="auto"/>
              </w:rPr>
              <w:t>The selling stockholders</w:t>
            </w:r>
          </w:p>
        </w:tc>
        <w:tc>
          <w:tcPr>
            <w:tcW w:w="480" w:type="dxa"/>
            <w:vAlign w:val="bottom"/>
          </w:tcPr>
          <w:p>
            <w:pPr>
              <w:jc w:val="right"/>
              <w:ind w:right="32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5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480" w:type="dxa"/>
            <w:vAlign w:val="bottom"/>
          </w:tcPr>
          <w:p>
            <w:pPr>
              <w:jc w:val="right"/>
              <w:ind w:right="32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5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11"/>
        </w:trPr>
        <w:tc>
          <w:tcPr>
            <w:tcW w:w="9500" w:type="dxa"/>
            <w:vAlign w:val="bottom"/>
            <w:gridSpan w:val="8"/>
          </w:tcPr>
          <w:p>
            <w:pPr>
              <w:jc w:val="right"/>
              <w:ind w:right="454"/>
              <w:spacing w:after="0"/>
              <w:rPr>
                <w:sz w:val="20"/>
                <w:szCs w:val="20"/>
                <w:color w:val="auto"/>
              </w:rPr>
            </w:pPr>
            <w:r>
              <w:rPr>
                <w:rFonts w:ascii="Arial" w:cs="Arial" w:eastAsia="Arial" w:hAnsi="Arial"/>
                <w:sz w:val="17"/>
                <w:szCs w:val="17"/>
                <w:color w:val="auto"/>
                <w:w w:val="94"/>
              </w:rPr>
              <w:t>The estimated offering expenses payable by us, exclusive of the underwriting discounts and commissions, are approximately $</w:t>
            </w:r>
          </w:p>
        </w:tc>
        <w:tc>
          <w:tcPr>
            <w:tcW w:w="660" w:type="dxa"/>
            <w:vAlign w:val="bottom"/>
            <w:gridSpan w:val="3"/>
          </w:tcPr>
          <w:p>
            <w:pPr>
              <w:ind w:left="20"/>
              <w:spacing w:after="0"/>
              <w:rPr>
                <w:sz w:val="20"/>
                <w:szCs w:val="20"/>
                <w:color w:val="auto"/>
              </w:rPr>
            </w:pPr>
            <w:r>
              <w:rPr>
                <w:rFonts w:ascii="Arial" w:cs="Arial" w:eastAsia="Arial" w:hAnsi="Arial"/>
                <w:sz w:val="17"/>
                <w:szCs w:val="17"/>
                <w:color w:val="auto"/>
              </w:rPr>
              <w:t>million.</w:t>
            </w:r>
          </w:p>
        </w:tc>
      </w:tr>
    </w:tbl>
    <w:p>
      <w:pPr>
        <w:spacing w:after="0" w:line="20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is listed on the New York Stock Exchange under the trading symbol "SSTK".</w:t>
      </w:r>
    </w:p>
    <w:p>
      <w:pPr>
        <w:spacing w:after="0" w:line="224" w:lineRule="exact"/>
        <w:rPr>
          <w:sz w:val="20"/>
          <w:szCs w:val="20"/>
          <w:color w:val="auto"/>
        </w:rPr>
      </w:pPr>
    </w:p>
    <w:p>
      <w:pPr>
        <w:jc w:val="both"/>
        <w:ind w:firstLine="497"/>
        <w:spacing w:after="0" w:line="265" w:lineRule="auto"/>
        <w:rPr>
          <w:sz w:val="20"/>
          <w:szCs w:val="20"/>
          <w:color w:val="auto"/>
        </w:rPr>
      </w:pPr>
      <w:r>
        <w:rPr>
          <w:rFonts w:ascii="Arial" w:cs="Arial" w:eastAsia="Arial" w:hAnsi="Arial"/>
          <w:sz w:val="17"/>
          <w:szCs w:val="17"/>
          <w:color w:val="auto"/>
        </w:rPr>
        <w:t>In connection with this offering, we and our directors, officers and the selling stockholders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90 days after the date of this prospectus (or such earlier date or dates as agreed between us and Morgan Stanley &amp; Co. LLC and Deutsche Bank Securities Inc.):</w:t>
      </w:r>
    </w:p>
    <w:p>
      <w:pPr>
        <w:spacing w:after="0" w:line="199" w:lineRule="exact"/>
        <w:rPr>
          <w:sz w:val="20"/>
          <w:szCs w:val="20"/>
          <w:color w:val="auto"/>
        </w:rPr>
      </w:pPr>
    </w:p>
    <w:p>
      <w:pPr>
        <w:jc w:val="both"/>
        <w:ind w:left="106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convertible into or exercisable or exchangeable for common stock;</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 whether any such transaction described in the immediately preceding bullet or this bullet is to be settled by delivery of our common stock or such other securities, in cash or otherwise; or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shares of common stock or any security convertible into or exercisable or exchangeable for common stock (except for registrations of shares on Form S-8).</w:t>
      </w:r>
    </w:p>
    <w:p>
      <w:pPr>
        <w:spacing w:after="0" w:line="170" w:lineRule="exact"/>
        <w:rPr>
          <w:sz w:val="20"/>
          <w:szCs w:val="20"/>
          <w:color w:val="auto"/>
        </w:rPr>
      </w:pPr>
    </w:p>
    <w:p>
      <w:pPr>
        <w:jc w:val="both"/>
        <w:ind w:firstLine="375"/>
        <w:spacing w:after="0" w:line="262" w:lineRule="auto"/>
        <w:rPr>
          <w:sz w:val="20"/>
          <w:szCs w:val="20"/>
          <w:color w:val="auto"/>
        </w:rPr>
      </w:pPr>
      <w:r>
        <w:rPr>
          <w:rFonts w:ascii="Arial" w:cs="Arial" w:eastAsia="Arial" w:hAnsi="Arial"/>
          <w:sz w:val="17"/>
          <w:szCs w:val="17"/>
          <w:color w:val="auto"/>
        </w:rPr>
        <w:t>In addition, we and all directors and officers and the holders of our outstanding stock and stock options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90 days after the date of this prospectus (or such earlier date or dates as agreed between us and Morgan Stanley &amp; Co. LLC and Deutsche Bank Securities Inc.), file any registration statement with the SEC relating to the offering of any shares of common stock or any securities convertible into or exercisable or exchangeable for common stock. The restrictions described in the preceding paragraph do not apply to:</w:t>
      </w:r>
    </w:p>
    <w:p>
      <w:pPr>
        <w:spacing w:after="0" w:line="201"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sales of our common stock to the underwriters;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transactions relating to shares of our common stock or other securities acquired in open market transactions after the completion of this offering, provided that no filing under Section 16(a) of the Exchange Act shall be required or shall be voluntarily made in connection with subsequent sales of our common stock or other securities acquired in such open market transactions;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7"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shares of our common stock (i) to the spouse, domestic partner, parent, child or grandchild of the security holder or to any trust (or similar entity) formed for the benefit of such person,</w:t>
      </w:r>
    </w:p>
    <w:p>
      <w:pPr>
        <w:jc w:val="both"/>
        <w:ind w:left="1060" w:hanging="6"/>
        <w:spacing w:after="0" w:line="261" w:lineRule="auto"/>
        <w:tabs>
          <w:tab w:leader="none" w:pos="1311" w:val="left"/>
        </w:tabs>
        <w:numPr>
          <w:ilvl w:val="1"/>
          <w:numId w:val="85"/>
        </w:numPr>
        <w:rPr>
          <w:rFonts w:ascii="Arial" w:cs="Arial" w:eastAsia="Arial" w:hAnsi="Arial"/>
          <w:sz w:val="17"/>
          <w:szCs w:val="17"/>
          <w:color w:val="auto"/>
        </w:rPr>
      </w:pPr>
      <w:r>
        <w:rPr>
          <w:rFonts w:ascii="Arial" w:cs="Arial" w:eastAsia="Arial" w:hAnsi="Arial"/>
          <w:sz w:val="17"/>
          <w:szCs w:val="17"/>
          <w:color w:val="auto"/>
        </w:rPr>
        <w:t>by bona fide gift, will or intestacy, (iii) to equity holders, limited partners or affiliates of a security holder or (iv) to a trustor or beneficiary of a trust, provided that in the case of any such transfer or distribution, the transferee, donee or distributee must sign and deliver a lock-up letter substantially in the form of the lock-up letter signed by the holders of our outstanding stock and no filing under Section 16(a) of the Exchange Act, reporting a reduction in beneficial ownership of shares of common stock, shall be required or shall be voluntarily made in respect of the transfer or distribution during the 90-day restricted period;</w:t>
      </w:r>
    </w:p>
    <w:p>
      <w:pPr>
        <w:spacing w:after="0" w:line="215"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dispositions of shares of our common stock or any securities convertible into our common stock to us in a transaction exempt from Section 16(b) of the Exchange Act solely in connection with the payment of taxes and exercise price due with respect to stock options or warrants or the vesting of restricted securities, insofar as such stock options, warrants or restricted securities are outstanding on the date of this prospectus and provided that no public reports or filings reporting the transaction shall be required or shall be voluntarily made in respect of the disposition;</w:t>
      </w:r>
    </w:p>
    <w:p>
      <w:pPr>
        <w:spacing w:after="0" w:line="181" w:lineRule="exact"/>
        <w:rPr>
          <w:rFonts w:ascii="Arial" w:cs="Arial" w:eastAsia="Arial" w:hAnsi="Arial"/>
          <w:sz w:val="16"/>
          <w:szCs w:val="16"/>
          <w:color w:val="auto"/>
        </w:rPr>
      </w:pPr>
    </w:p>
    <w:p>
      <w:pPr>
        <w:ind w:left="1060" w:hanging="531"/>
        <w:spacing w:after="0"/>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our common stock, provided that</w:t>
      </w:r>
    </w:p>
    <w:p>
      <w:pPr>
        <w:spacing w:after="0" w:line="31" w:lineRule="exact"/>
        <w:rPr>
          <w:rFonts w:ascii="Arial" w:cs="Arial" w:eastAsia="Arial" w:hAnsi="Arial"/>
          <w:sz w:val="16"/>
          <w:szCs w:val="16"/>
          <w:color w:val="auto"/>
        </w:rPr>
      </w:pPr>
    </w:p>
    <w:p>
      <w:pPr>
        <w:jc w:val="both"/>
        <w:ind w:left="1060" w:hanging="6"/>
        <w:spacing w:after="0" w:line="266" w:lineRule="auto"/>
        <w:tabs>
          <w:tab w:leader="none" w:pos="1269" w:val="left"/>
        </w:tabs>
        <w:numPr>
          <w:ilvl w:val="1"/>
          <w:numId w:val="86"/>
        </w:numPr>
        <w:rPr>
          <w:rFonts w:ascii="Arial" w:cs="Arial" w:eastAsia="Arial" w:hAnsi="Arial"/>
          <w:sz w:val="17"/>
          <w:szCs w:val="17"/>
          <w:color w:val="auto"/>
        </w:rPr>
      </w:pPr>
      <w:r>
        <w:rPr>
          <w:rFonts w:ascii="Arial" w:cs="Arial" w:eastAsia="Arial" w:hAnsi="Arial"/>
          <w:sz w:val="17"/>
          <w:szCs w:val="17"/>
          <w:color w:val="auto"/>
        </w:rPr>
        <w:t>such plan does not provide for the transfer of our common stock during the 90-day restricted period and (ii) to the extent a public announcement or filing under the Exchange Act, if any, is required regarding the establishment of such plan, such announcement or filing shall include a statement that no transfer of our common stock may be made under such plan during the 90-day restricted period;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occurring by operation of law, provided such shares or security remain subject to the restrictions described in this paragraph;</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transfers of shares of our common stock or any security convertible into or exercisable or exchangeable for our common stock pursuant to a qualifying bona fide third party tender offer, merger, consolidation or other similar transaction made to all holders of our common stock pursuant to which 66.67% of our then outstanding capital stock is sold or otherwise transferred, provided that in the event that such tender offer, merger, consolidation or other such transaction is not completed, the shares of common stock owned by the selling stockholders shall remain subject to the foregoing restrictions; and</w:t>
      </w:r>
    </w:p>
    <w:p>
      <w:pPr>
        <w:spacing w:after="0" w:line="167" w:lineRule="exact"/>
        <w:rPr>
          <w:rFonts w:ascii="Arial" w:cs="Arial" w:eastAsia="Arial" w:hAnsi="Arial"/>
          <w:sz w:val="15"/>
          <w:szCs w:val="15"/>
          <w:color w:val="auto"/>
        </w:rPr>
      </w:pPr>
    </w:p>
    <w:p>
      <w:pPr>
        <w:jc w:val="both"/>
        <w:ind w:left="1060" w:hanging="531"/>
        <w:spacing w:after="0" w:line="322"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transfers of shares of our common stock pursuant to a trading plan established under Rule 10b5-1 under the Exchange Act prior to the date hereof, provided that to the extent a public announcement or filing under the Exchange Act, if any, is required regarding such transfer, such announcement or filing shall include a statement that such transfers were made pursuant to such a trading plan established prior to the date hereof.</w:t>
      </w:r>
    </w:p>
    <w:p>
      <w:pPr>
        <w:spacing w:after="0" w:line="145"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because of any of these liabilities.</w:t>
      </w:r>
    </w:p>
    <w:p>
      <w:pPr>
        <w:spacing w:after="0" w:line="170"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5" w:lineRule="exact"/>
        <w:rPr>
          <w:sz w:val="20"/>
          <w:szCs w:val="20"/>
          <w:color w:val="auto"/>
        </w:rPr>
      </w:pPr>
    </w:p>
    <w:p>
      <w:pPr>
        <w:jc w:val="both"/>
        <w:ind w:firstLine="567"/>
        <w:spacing w:after="0" w:line="31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70"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5"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jc w:val="both"/>
        <w:ind w:firstLine="349"/>
        <w:spacing w:after="0" w:line="270" w:lineRule="auto"/>
        <w:tabs>
          <w:tab w:leader="none" w:pos="67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9" w:lineRule="exact"/>
        <w:rPr>
          <w:sz w:val="20"/>
          <w:szCs w:val="20"/>
          <w:color w:val="auto"/>
        </w:rPr>
      </w:pPr>
    </w:p>
    <w:p>
      <w:pPr>
        <w:ind w:firstLine="363"/>
        <w:spacing w:after="0" w:line="282" w:lineRule="auto"/>
        <w:tabs>
          <w:tab w:leader="none" w:pos="6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24" w:lineRule="exact"/>
        <w:rPr>
          <w:sz w:val="20"/>
          <w:szCs w:val="20"/>
          <w:color w:val="auto"/>
        </w:rPr>
      </w:pPr>
    </w:p>
    <w:p>
      <w:pPr>
        <w:jc w:val="both"/>
        <w:ind w:firstLine="382"/>
        <w:spacing w:after="0" w:line="270" w:lineRule="auto"/>
        <w:tabs>
          <w:tab w:leader="none" w:pos="707" w:val="left"/>
        </w:tabs>
        <w:numPr>
          <w:ilvl w:val="1"/>
          <w:numId w:val="8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79" w:lineRule="exact"/>
        <w:rPr>
          <w:rFonts w:ascii="Arial" w:cs="Arial" w:eastAsia="Arial" w:hAnsi="Arial"/>
          <w:sz w:val="17"/>
          <w:szCs w:val="17"/>
          <w:color w:val="auto"/>
        </w:rPr>
      </w:pPr>
    </w:p>
    <w:p>
      <w:pPr>
        <w:ind w:firstLine="348"/>
        <w:spacing w:after="0" w:line="282" w:lineRule="auto"/>
        <w:tabs>
          <w:tab w:leader="none" w:pos="6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The validity of the common stock offered hereby will be passed upon for us by Orrick, Herrington &amp; Sutcliffe LLP, New York, New York. Certain legal matters in connection with this offering will be passed upon for the underwriters by Willkie Farr &amp; Gallagher LLP, New York, New York.</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The financial statements as of December 31, 2011 and 2012 and for each of the three years in the period ended December 31, 2012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The exhibits to the registration statement should be referenced for the complete contents of these contracts and documents. A copy of the registration statement, the exhibits and schedules thereto and any other document we file may be inspected without charge at the public reference facilities maintained by the SEC in 100 F Street, N.E., Room 1580, Washington, D.C. 20549 and copies of all or any part of the registration statement may be obtained from this office,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firstLine="344"/>
        <w:spacing w:after="0" w:line="306" w:lineRule="auto"/>
        <w:rPr>
          <w:sz w:val="20"/>
          <w:szCs w:val="20"/>
          <w:color w:val="auto"/>
        </w:rPr>
      </w:pPr>
      <w:r>
        <w:rPr>
          <w:rFonts w:ascii="Arial" w:cs="Arial" w:eastAsia="Arial" w:hAnsi="Arial"/>
          <w:sz w:val="15"/>
          <w:szCs w:val="15"/>
          <w:color w:val="auto"/>
        </w:rPr>
        <w:t>We are subject to the information and reporting requirements of the Securities Exchange Act and, in accordance with this law, are required to file periodic reports, proxy statements and other information with the SEC. These periodic reports, proxy statements and other information are available for inspection and copying at the SEC's public reference facilities and the website of the SEC referred to above. Shutterstock maintains a website at www.shutterstock.com. You may also access our periodic reports, proxy statements and other information free of charge at this website as soon as reasonably practicable after such material is electronically filed with, or furnished to, the SEC. The information contained in, or that can be accessed through, our website is not incorporated by reference and is not part of this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60" w:type="dxa"/>
            <w:vAlign w:val="bottom"/>
            <w:gridSpan w:val="11"/>
          </w:tcPr>
          <w:p>
            <w:pPr>
              <w:jc w:val="center"/>
              <w:ind w:right="540"/>
              <w:spacing w:after="0"/>
              <w:rPr>
                <w:sz w:val="20"/>
                <w:szCs w:val="20"/>
                <w:color w:val="auto"/>
              </w:rPr>
            </w:pPr>
            <w:r>
              <w:rPr>
                <w:rFonts w:ascii="Arial" w:cs="Arial" w:eastAsia="Arial" w:hAnsi="Arial"/>
                <w:sz w:val="17"/>
                <w:szCs w:val="17"/>
                <w:b w:val="1"/>
                <w:bCs w:val="1"/>
                <w:color w:val="auto"/>
              </w:rPr>
              <w:t>INDEX TO CONSOLIDATED FINANCIAL STATEMENTS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3"/>
        </w:trPr>
        <w:tc>
          <w:tcPr>
            <w:tcW w:w="9800" w:type="dxa"/>
            <w:vAlign w:val="bottom"/>
            <w:gridSpan w:val="14"/>
          </w:tcPr>
          <w:p>
            <w:pPr>
              <w:ind w:left="1160"/>
              <w:spacing w:after="0"/>
              <w:rPr>
                <w:sz w:val="20"/>
                <w:szCs w:val="20"/>
                <w:color w:val="auto"/>
              </w:rPr>
            </w:pPr>
            <w:r>
              <w:rPr>
                <w:rFonts w:ascii="Arial" w:cs="Arial" w:eastAsia="Arial" w:hAnsi="Arial"/>
                <w:sz w:val="17"/>
                <w:szCs w:val="17"/>
                <w:b w:val="1"/>
                <w:bCs w:val="1"/>
                <w:color w:val="auto"/>
              </w:rPr>
              <w:t>Audited Consolidated Financial Statements: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1320" w:type="dxa"/>
            <w:vAlign w:val="bottom"/>
          </w:tcPr>
          <w:p>
            <w:pPr>
              <w:spacing w:after="0"/>
              <w:rPr>
                <w:sz w:val="15"/>
                <w:szCs w:val="15"/>
                <w:color w:val="auto"/>
              </w:rPr>
            </w:pPr>
          </w:p>
        </w:tc>
        <w:tc>
          <w:tcPr>
            <w:tcW w:w="8480" w:type="dxa"/>
            <w:vAlign w:val="bottom"/>
            <w:gridSpan w:val="13"/>
          </w:tcPr>
          <w:p>
            <w:pPr>
              <w:spacing w:after="0" w:line="179" w:lineRule="exact"/>
              <w:rPr>
                <w:rFonts w:ascii="Arial" w:cs="Arial" w:eastAsia="Arial" w:hAnsi="Arial"/>
                <w:sz w:val="17"/>
                <w:szCs w:val="17"/>
                <w:color w:val="0000EE"/>
              </w:rPr>
            </w:pPr>
            <w:hyperlink w:anchor="page137">
              <w:r>
                <w:rPr>
                  <w:rFonts w:ascii="Arial" w:cs="Arial" w:eastAsia="Arial" w:hAnsi="Arial"/>
                  <w:sz w:val="17"/>
                  <w:szCs w:val="17"/>
                  <w:color w:val="0000EE"/>
                </w:rPr>
                <w:t>Report of Independent Registered Public Accounting Firm</w:t>
              </w:r>
            </w:hyperlink>
          </w:p>
        </w:tc>
        <w:tc>
          <w:tcPr>
            <w:tcW w:w="80" w:type="dxa"/>
            <w:vAlign w:val="bottom"/>
          </w:tcPr>
          <w:p>
            <w:pPr>
              <w:spacing w:after="0"/>
              <w:rPr>
                <w:sz w:val="15"/>
                <w:szCs w:val="15"/>
                <w:color w:val="auto"/>
              </w:rPr>
            </w:pPr>
          </w:p>
        </w:tc>
        <w:tc>
          <w:tcPr>
            <w:tcW w:w="1540" w:type="dxa"/>
            <w:vAlign w:val="bottom"/>
            <w:gridSpan w:val="2"/>
          </w:tcPr>
          <w:p>
            <w:pPr>
              <w:jc w:val="right"/>
              <w:ind w:right="1300"/>
              <w:spacing w:after="0" w:line="179" w:lineRule="exact"/>
              <w:rPr>
                <w:rFonts w:ascii="Arial" w:cs="Arial" w:eastAsia="Arial" w:hAnsi="Arial"/>
                <w:sz w:val="17"/>
                <w:szCs w:val="17"/>
                <w:color w:val="0000EE"/>
                <w:w w:val="86"/>
              </w:rPr>
            </w:pPr>
            <w:hyperlink w:anchor="page137">
              <w:r>
                <w:rPr>
                  <w:rFonts w:ascii="Arial" w:cs="Arial" w:eastAsia="Arial" w:hAnsi="Arial"/>
                  <w:sz w:val="17"/>
                  <w:szCs w:val="17"/>
                  <w:color w:val="0000EE"/>
                  <w:w w:val="86"/>
                </w:rPr>
                <w:t>F-2</w:t>
              </w:r>
            </w:hyperlink>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320" w:type="dxa"/>
            <w:vAlign w:val="bottom"/>
          </w:tcPr>
          <w:p>
            <w:pPr>
              <w:spacing w:after="0"/>
              <w:rPr>
                <w:sz w:val="16"/>
                <w:szCs w:val="16"/>
                <w:color w:val="auto"/>
              </w:rPr>
            </w:pPr>
          </w:p>
        </w:tc>
        <w:tc>
          <w:tcPr>
            <w:tcW w:w="8480" w:type="dxa"/>
            <w:vAlign w:val="bottom"/>
            <w:gridSpan w:val="13"/>
          </w:tcPr>
          <w:p>
            <w:pPr>
              <w:spacing w:after="0" w:line="189" w:lineRule="exact"/>
              <w:rPr>
                <w:rFonts w:ascii="Arial" w:cs="Arial" w:eastAsia="Arial" w:hAnsi="Arial"/>
                <w:sz w:val="17"/>
                <w:szCs w:val="17"/>
                <w:color w:val="0000EE"/>
              </w:rPr>
            </w:pPr>
            <w:hyperlink w:anchor="page138">
              <w:r>
                <w:rPr>
                  <w:rFonts w:ascii="Arial" w:cs="Arial" w:eastAsia="Arial" w:hAnsi="Arial"/>
                  <w:sz w:val="17"/>
                  <w:szCs w:val="17"/>
                  <w:color w:val="0000EE"/>
                </w:rPr>
                <w:t>Consolidated Balance Sheets—as of December 31, 2011 and 2012</w:t>
              </w:r>
            </w:hyperlink>
          </w:p>
        </w:tc>
        <w:tc>
          <w:tcPr>
            <w:tcW w:w="80" w:type="dxa"/>
            <w:vAlign w:val="bottom"/>
          </w:tcPr>
          <w:p>
            <w:pPr>
              <w:spacing w:after="0"/>
              <w:rPr>
                <w:sz w:val="16"/>
                <w:szCs w:val="16"/>
                <w:color w:val="auto"/>
              </w:rPr>
            </w:pPr>
          </w:p>
        </w:tc>
        <w:tc>
          <w:tcPr>
            <w:tcW w:w="1540" w:type="dxa"/>
            <w:vAlign w:val="bottom"/>
            <w:gridSpan w:val="2"/>
          </w:tcPr>
          <w:p>
            <w:pPr>
              <w:jc w:val="right"/>
              <w:ind w:right="1300"/>
              <w:spacing w:after="0" w:line="189" w:lineRule="exact"/>
              <w:rPr>
                <w:rFonts w:ascii="Arial" w:cs="Arial" w:eastAsia="Arial" w:hAnsi="Arial"/>
                <w:sz w:val="17"/>
                <w:szCs w:val="17"/>
                <w:color w:val="0000EE"/>
                <w:w w:val="86"/>
              </w:rPr>
            </w:pPr>
            <w:hyperlink w:anchor="page138">
              <w:r>
                <w:rPr>
                  <w:rFonts w:ascii="Arial" w:cs="Arial" w:eastAsia="Arial" w:hAnsi="Arial"/>
                  <w:sz w:val="17"/>
                  <w:szCs w:val="17"/>
                  <w:color w:val="0000EE"/>
                  <w:w w:val="86"/>
                </w:rPr>
                <w:t>F-3</w:t>
              </w:r>
            </w:hyperlink>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320" w:type="dxa"/>
            <w:vAlign w:val="bottom"/>
          </w:tcPr>
          <w:p>
            <w:pPr>
              <w:spacing w:after="0"/>
              <w:rPr>
                <w:sz w:val="16"/>
                <w:szCs w:val="16"/>
                <w:color w:val="auto"/>
              </w:rPr>
            </w:pPr>
          </w:p>
        </w:tc>
        <w:tc>
          <w:tcPr>
            <w:tcW w:w="6620" w:type="dxa"/>
            <w:vAlign w:val="bottom"/>
            <w:tcBorders>
              <w:bottom w:val="single" w:sz="8" w:color="0000EE"/>
            </w:tcBorders>
            <w:gridSpan w:val="8"/>
          </w:tcPr>
          <w:p>
            <w:pPr>
              <w:spacing w:after="0" w:line="189" w:lineRule="exact"/>
              <w:rPr>
                <w:rFonts w:ascii="Arial" w:cs="Arial" w:eastAsia="Arial" w:hAnsi="Arial"/>
                <w:sz w:val="17"/>
                <w:szCs w:val="17"/>
                <w:color w:val="0000EE"/>
                <w:w w:val="89"/>
              </w:rPr>
            </w:pPr>
            <w:hyperlink w:anchor="page139">
              <w:r>
                <w:rPr>
                  <w:rFonts w:ascii="Arial" w:cs="Arial" w:eastAsia="Arial" w:hAnsi="Arial"/>
                  <w:sz w:val="17"/>
                  <w:szCs w:val="17"/>
                  <w:color w:val="0000EE"/>
                  <w:w w:val="89"/>
                </w:rPr>
                <w:t>Consolidated Statements of Operations—for the years ended December 31, 2010, 2011 and 2012</w:t>
              </w:r>
            </w:hyperlink>
          </w:p>
        </w:tc>
        <w:tc>
          <w:tcPr>
            <w:tcW w:w="186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86"/>
              </w:rPr>
            </w:pPr>
            <w:hyperlink w:anchor="page139">
              <w:r>
                <w:rPr>
                  <w:rFonts w:ascii="Arial" w:cs="Arial" w:eastAsia="Arial" w:hAnsi="Arial"/>
                  <w:sz w:val="17"/>
                  <w:szCs w:val="17"/>
                  <w:color w:val="0000EE"/>
                  <w:w w:val="86"/>
                </w:rPr>
                <w:t>F-4</w:t>
              </w:r>
            </w:hyperlink>
          </w:p>
        </w:tc>
        <w:tc>
          <w:tcPr>
            <w:tcW w:w="1300" w:type="dxa"/>
            <w:vAlign w:val="bottom"/>
          </w:tcPr>
          <w:p>
            <w:pPr>
              <w:spacing w:after="0"/>
              <w:rPr>
                <w:sz w:val="16"/>
                <w:szCs w:val="16"/>
                <w:color w:val="auto"/>
              </w:rPr>
            </w:pPr>
          </w:p>
        </w:tc>
      </w:tr>
      <w:tr>
        <w:trPr>
          <w:trHeight w:val="190"/>
        </w:trPr>
        <w:tc>
          <w:tcPr>
            <w:tcW w:w="1320" w:type="dxa"/>
            <w:vAlign w:val="bottom"/>
          </w:tcPr>
          <w:p>
            <w:pPr>
              <w:spacing w:after="0"/>
              <w:rPr>
                <w:sz w:val="16"/>
                <w:szCs w:val="16"/>
                <w:color w:val="auto"/>
              </w:rPr>
            </w:pPr>
          </w:p>
        </w:tc>
        <w:tc>
          <w:tcPr>
            <w:tcW w:w="7940" w:type="dxa"/>
            <w:vAlign w:val="bottom"/>
            <w:tcBorders>
              <w:bottom w:val="single" w:sz="8" w:color="0000EE"/>
            </w:tcBorders>
            <w:gridSpan w:val="12"/>
          </w:tcPr>
          <w:p>
            <w:pPr>
              <w:spacing w:after="0" w:line="189" w:lineRule="exact"/>
              <w:rPr>
                <w:rFonts w:ascii="Arial" w:cs="Arial" w:eastAsia="Arial" w:hAnsi="Arial"/>
                <w:sz w:val="17"/>
                <w:szCs w:val="17"/>
                <w:color w:val="0000EE"/>
                <w:w w:val="90"/>
              </w:rPr>
            </w:pPr>
            <w:hyperlink w:anchor="page140">
              <w:r>
                <w:rPr>
                  <w:rFonts w:ascii="Arial" w:cs="Arial" w:eastAsia="Arial" w:hAnsi="Arial"/>
                  <w:sz w:val="17"/>
                  <w:szCs w:val="17"/>
                  <w:color w:val="0000EE"/>
                  <w:w w:val="90"/>
                </w:rPr>
                <w:t>Consolidated Statements of Stockholders' Equity / Members' Deficit—for the years ended December 31, 2010, 2011</w:t>
              </w:r>
            </w:hyperlink>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89" w:lineRule="exact"/>
              <w:rPr>
                <w:rFonts w:ascii="Arial" w:cs="Arial" w:eastAsia="Arial" w:hAnsi="Arial"/>
                <w:sz w:val="17"/>
                <w:szCs w:val="17"/>
                <w:color w:val="0000EE"/>
                <w:w w:val="87"/>
              </w:rPr>
            </w:pPr>
            <w:hyperlink w:anchor="page140">
              <w:r>
                <w:rPr>
                  <w:rFonts w:ascii="Arial" w:cs="Arial" w:eastAsia="Arial" w:hAnsi="Arial"/>
                  <w:sz w:val="17"/>
                  <w:szCs w:val="17"/>
                  <w:color w:val="0000EE"/>
                  <w:w w:val="87"/>
                </w:rPr>
                <w:t>and 2012</w:t>
              </w:r>
            </w:hyperlink>
          </w:p>
        </w:tc>
        <w:tc>
          <w:tcPr>
            <w:tcW w:w="7660" w:type="dxa"/>
            <w:vAlign w:val="bottom"/>
            <w:gridSpan w:val="11"/>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86"/>
              </w:rPr>
            </w:pPr>
            <w:hyperlink w:anchor="page140">
              <w:r>
                <w:rPr>
                  <w:rFonts w:ascii="Arial" w:cs="Arial" w:eastAsia="Arial" w:hAnsi="Arial"/>
                  <w:sz w:val="17"/>
                  <w:szCs w:val="17"/>
                  <w:color w:val="0000EE"/>
                  <w:w w:val="86"/>
                </w:rPr>
                <w:t>F-5</w:t>
              </w:r>
            </w:hyperlink>
          </w:p>
        </w:tc>
        <w:tc>
          <w:tcPr>
            <w:tcW w:w="1300" w:type="dxa"/>
            <w:vAlign w:val="bottom"/>
          </w:tcPr>
          <w:p>
            <w:pPr>
              <w:spacing w:after="0"/>
              <w:rPr>
                <w:sz w:val="16"/>
                <w:szCs w:val="16"/>
                <w:color w:val="auto"/>
              </w:rPr>
            </w:pPr>
          </w:p>
        </w:tc>
      </w:tr>
      <w:tr>
        <w:trPr>
          <w:trHeight w:val="190"/>
        </w:trPr>
        <w:tc>
          <w:tcPr>
            <w:tcW w:w="1320" w:type="dxa"/>
            <w:vAlign w:val="bottom"/>
          </w:tcPr>
          <w:p>
            <w:pPr>
              <w:spacing w:after="0"/>
              <w:rPr>
                <w:sz w:val="16"/>
                <w:szCs w:val="16"/>
                <w:color w:val="auto"/>
              </w:rPr>
            </w:pPr>
          </w:p>
        </w:tc>
        <w:tc>
          <w:tcPr>
            <w:tcW w:w="8480" w:type="dxa"/>
            <w:vAlign w:val="bottom"/>
            <w:gridSpan w:val="13"/>
          </w:tcPr>
          <w:p>
            <w:pPr>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Consolidated Statements of Cash Flows—for the years ended December 31, 2010, 2011 and 2012</w:t>
              </w:r>
            </w:hyperlink>
          </w:p>
        </w:tc>
        <w:tc>
          <w:tcPr>
            <w:tcW w:w="80" w:type="dxa"/>
            <w:vAlign w:val="bottom"/>
          </w:tcPr>
          <w:p>
            <w:pPr>
              <w:spacing w:after="0"/>
              <w:rPr>
                <w:sz w:val="16"/>
                <w:szCs w:val="16"/>
                <w:color w:val="auto"/>
              </w:rPr>
            </w:pPr>
          </w:p>
        </w:tc>
        <w:tc>
          <w:tcPr>
            <w:tcW w:w="1540" w:type="dxa"/>
            <w:vAlign w:val="bottom"/>
            <w:gridSpan w:val="2"/>
          </w:tcPr>
          <w:p>
            <w:pPr>
              <w:jc w:val="right"/>
              <w:ind w:right="1300"/>
              <w:spacing w:after="0" w:line="189" w:lineRule="exact"/>
              <w:rPr>
                <w:rFonts w:ascii="Arial" w:cs="Arial" w:eastAsia="Arial" w:hAnsi="Arial"/>
                <w:sz w:val="17"/>
                <w:szCs w:val="17"/>
                <w:color w:val="0000EE"/>
                <w:w w:val="86"/>
              </w:rPr>
            </w:pPr>
            <w:hyperlink w:anchor="page141">
              <w:r>
                <w:rPr>
                  <w:rFonts w:ascii="Arial" w:cs="Arial" w:eastAsia="Arial" w:hAnsi="Arial"/>
                  <w:sz w:val="17"/>
                  <w:szCs w:val="17"/>
                  <w:color w:val="0000EE"/>
                  <w:w w:val="86"/>
                </w:rPr>
                <w:t>F-6</w:t>
              </w:r>
            </w:hyperlink>
          </w:p>
        </w:tc>
      </w:tr>
      <w:tr>
        <w:trPr>
          <w:trHeight w:val="190"/>
        </w:trPr>
        <w:tc>
          <w:tcPr>
            <w:tcW w:w="1320" w:type="dxa"/>
            <w:vAlign w:val="bottom"/>
          </w:tcPr>
          <w:p>
            <w:pPr>
              <w:spacing w:after="0"/>
              <w:rPr>
                <w:sz w:val="16"/>
                <w:szCs w:val="16"/>
                <w:color w:val="auto"/>
              </w:rPr>
            </w:pPr>
          </w:p>
        </w:tc>
        <w:tc>
          <w:tcPr>
            <w:tcW w:w="6660" w:type="dxa"/>
            <w:vAlign w:val="bottom"/>
            <w:tcBorders>
              <w:top w:val="single" w:sz="8" w:color="0000EE"/>
            </w:tcBorders>
            <w:gridSpan w:val="9"/>
          </w:tcPr>
          <w:p>
            <w:pPr>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Notes to Consolidated Financial Statements</w:t>
              </w:r>
            </w:hyperlink>
          </w:p>
        </w:tc>
        <w:tc>
          <w:tcPr>
            <w:tcW w:w="18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0000EE"/>
            </w:tcBorders>
          </w:tcPr>
          <w:p>
            <w:pPr>
              <w:jc w:val="right"/>
              <w:spacing w:after="0" w:line="189" w:lineRule="exact"/>
              <w:rPr>
                <w:rFonts w:ascii="Arial" w:cs="Arial" w:eastAsia="Arial" w:hAnsi="Arial"/>
                <w:sz w:val="17"/>
                <w:szCs w:val="17"/>
                <w:color w:val="0000EE"/>
                <w:w w:val="86"/>
              </w:rPr>
            </w:pPr>
            <w:hyperlink w:anchor="page142">
              <w:r>
                <w:rPr>
                  <w:rFonts w:ascii="Arial" w:cs="Arial" w:eastAsia="Arial" w:hAnsi="Arial"/>
                  <w:sz w:val="17"/>
                  <w:szCs w:val="17"/>
                  <w:color w:val="0000EE"/>
                  <w:w w:val="86"/>
                </w:rPr>
                <w:t>F-7</w:t>
              </w:r>
            </w:hyperlink>
          </w:p>
        </w:tc>
        <w:tc>
          <w:tcPr>
            <w:tcW w:w="130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0"/>
        </w:trPr>
        <w:tc>
          <w:tcPr>
            <w:tcW w:w="9800" w:type="dxa"/>
            <w:vAlign w:val="bottom"/>
            <w:gridSpan w:val="14"/>
          </w:tcPr>
          <w:p>
            <w:pPr>
              <w:ind w:left="1160"/>
              <w:spacing w:after="0"/>
              <w:rPr>
                <w:sz w:val="20"/>
                <w:szCs w:val="20"/>
                <w:color w:val="auto"/>
              </w:rPr>
            </w:pPr>
            <w:r>
              <w:rPr>
                <w:rFonts w:ascii="Arial" w:cs="Arial" w:eastAsia="Arial" w:hAnsi="Arial"/>
                <w:sz w:val="17"/>
                <w:szCs w:val="17"/>
                <w:b w:val="1"/>
                <w:bCs w:val="1"/>
                <w:color w:val="auto"/>
              </w:rPr>
              <w:t>Unaudited Consolidated Financial Statements: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1320" w:type="dxa"/>
            <w:vAlign w:val="bottom"/>
          </w:tcPr>
          <w:p>
            <w:pPr>
              <w:spacing w:after="0"/>
              <w:rPr>
                <w:sz w:val="15"/>
                <w:szCs w:val="15"/>
                <w:color w:val="auto"/>
              </w:rPr>
            </w:pPr>
          </w:p>
        </w:tc>
        <w:tc>
          <w:tcPr>
            <w:tcW w:w="5980" w:type="dxa"/>
            <w:vAlign w:val="bottom"/>
            <w:tcBorders>
              <w:bottom w:val="single" w:sz="8" w:color="0000EE"/>
            </w:tcBorders>
            <w:gridSpan w:val="7"/>
          </w:tcPr>
          <w:p>
            <w:pPr>
              <w:spacing w:after="0" w:line="179" w:lineRule="exact"/>
              <w:rPr>
                <w:rFonts w:ascii="Arial" w:cs="Arial" w:eastAsia="Arial" w:hAnsi="Arial"/>
                <w:sz w:val="17"/>
                <w:szCs w:val="17"/>
                <w:color w:val="0000EE"/>
                <w:w w:val="89"/>
              </w:rPr>
            </w:pPr>
            <w:hyperlink w:anchor="page169">
              <w:r>
                <w:rPr>
                  <w:rFonts w:ascii="Arial" w:cs="Arial" w:eastAsia="Arial" w:hAnsi="Arial"/>
                  <w:sz w:val="17"/>
                  <w:szCs w:val="17"/>
                  <w:color w:val="0000EE"/>
                  <w:w w:val="89"/>
                </w:rPr>
                <w:t>Consolidated Balance Sheets—as of December 31, 2012 and June 30, 2013 (unaudited)</w:t>
              </w:r>
            </w:hyperlink>
          </w:p>
        </w:tc>
        <w:tc>
          <w:tcPr>
            <w:tcW w:w="2500" w:type="dxa"/>
            <w:vAlign w:val="bottom"/>
            <w:gridSpan w:val="6"/>
          </w:tcPr>
          <w:p>
            <w:pPr>
              <w:spacing w:after="0"/>
              <w:rPr>
                <w:sz w:val="15"/>
                <w:szCs w:val="15"/>
                <w:color w:val="auto"/>
              </w:rPr>
            </w:pPr>
          </w:p>
        </w:tc>
        <w:tc>
          <w:tcPr>
            <w:tcW w:w="320" w:type="dxa"/>
            <w:vAlign w:val="bottom"/>
            <w:tcBorders>
              <w:bottom w:val="single" w:sz="8" w:color="0000EE"/>
            </w:tcBorders>
            <w:gridSpan w:val="2"/>
          </w:tcPr>
          <w:p>
            <w:pPr>
              <w:jc w:val="right"/>
              <w:spacing w:after="0" w:line="179" w:lineRule="exact"/>
              <w:rPr>
                <w:rFonts w:ascii="Arial" w:cs="Arial" w:eastAsia="Arial" w:hAnsi="Arial"/>
                <w:sz w:val="17"/>
                <w:szCs w:val="17"/>
                <w:color w:val="0000EE"/>
                <w:w w:val="85"/>
              </w:rPr>
            </w:pPr>
            <w:hyperlink w:anchor="page169">
              <w:r>
                <w:rPr>
                  <w:rFonts w:ascii="Arial" w:cs="Arial" w:eastAsia="Arial" w:hAnsi="Arial"/>
                  <w:sz w:val="17"/>
                  <w:szCs w:val="17"/>
                  <w:color w:val="0000EE"/>
                  <w:w w:val="85"/>
                </w:rPr>
                <w:t>F-34</w:t>
              </w:r>
            </w:hyperlink>
          </w:p>
        </w:tc>
        <w:tc>
          <w:tcPr>
            <w:tcW w:w="1300" w:type="dxa"/>
            <w:vAlign w:val="bottom"/>
          </w:tcPr>
          <w:p>
            <w:pPr>
              <w:spacing w:after="0"/>
              <w:rPr>
                <w:sz w:val="15"/>
                <w:szCs w:val="15"/>
                <w:color w:val="auto"/>
              </w:rPr>
            </w:pPr>
          </w:p>
        </w:tc>
      </w:tr>
      <w:tr>
        <w:trPr>
          <w:trHeight w:val="190"/>
        </w:trPr>
        <w:tc>
          <w:tcPr>
            <w:tcW w:w="1320" w:type="dxa"/>
            <w:vAlign w:val="bottom"/>
          </w:tcPr>
          <w:p>
            <w:pPr>
              <w:spacing w:after="0"/>
              <w:rPr>
                <w:sz w:val="16"/>
                <w:szCs w:val="16"/>
                <w:color w:val="auto"/>
              </w:rPr>
            </w:pPr>
          </w:p>
        </w:tc>
        <w:tc>
          <w:tcPr>
            <w:tcW w:w="8480" w:type="dxa"/>
            <w:vAlign w:val="bottom"/>
            <w:gridSpan w:val="13"/>
          </w:tcPr>
          <w:p>
            <w:pPr>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Unaudited Consolidated Statements of Operations—for the six months ended June 30, 2012 and 2013</w:t>
              </w:r>
            </w:hyperlink>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170">
              <w:r>
                <w:rPr>
                  <w:rFonts w:ascii="Arial" w:cs="Arial" w:eastAsia="Arial" w:hAnsi="Arial"/>
                  <w:sz w:val="17"/>
                  <w:szCs w:val="17"/>
                  <w:color w:val="0000EE"/>
                  <w:w w:val="85"/>
                </w:rPr>
                <w:t>F-35</w:t>
              </w:r>
            </w:hyperlink>
          </w:p>
        </w:tc>
      </w:tr>
      <w:tr>
        <w:trPr>
          <w:trHeight w:val="20"/>
        </w:trPr>
        <w:tc>
          <w:tcPr>
            <w:tcW w:w="132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32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320" w:type="dxa"/>
            <w:vAlign w:val="bottom"/>
          </w:tcPr>
          <w:p>
            <w:pPr>
              <w:spacing w:after="0"/>
              <w:rPr>
                <w:sz w:val="16"/>
                <w:szCs w:val="16"/>
                <w:color w:val="auto"/>
              </w:rPr>
            </w:pPr>
          </w:p>
        </w:tc>
        <w:tc>
          <w:tcPr>
            <w:tcW w:w="7000" w:type="dxa"/>
            <w:vAlign w:val="bottom"/>
            <w:tcBorders>
              <w:bottom w:val="single" w:sz="8" w:color="0000EE"/>
            </w:tcBorders>
            <w:gridSpan w:val="11"/>
          </w:tcPr>
          <w:p>
            <w:pPr>
              <w:spacing w:after="0" w:line="189" w:lineRule="exact"/>
              <w:rPr>
                <w:rFonts w:ascii="Arial" w:cs="Arial" w:eastAsia="Arial" w:hAnsi="Arial"/>
                <w:sz w:val="17"/>
                <w:szCs w:val="17"/>
                <w:color w:val="0000EE"/>
                <w:w w:val="89"/>
              </w:rPr>
            </w:pPr>
            <w:hyperlink w:anchor="page171">
              <w:r>
                <w:rPr>
                  <w:rFonts w:ascii="Arial" w:cs="Arial" w:eastAsia="Arial" w:hAnsi="Arial"/>
                  <w:sz w:val="17"/>
                  <w:szCs w:val="17"/>
                  <w:color w:val="0000EE"/>
                  <w:w w:val="89"/>
                </w:rPr>
                <w:t>Unaudited Consolidated Statements of Cash Flows—for the six months ended June 30, 2012 and 2013</w:t>
              </w:r>
            </w:hyperlink>
          </w:p>
        </w:tc>
        <w:tc>
          <w:tcPr>
            <w:tcW w:w="1480" w:type="dxa"/>
            <w:vAlign w:val="bottom"/>
            <w:gridSpan w:val="2"/>
          </w:tcPr>
          <w:p>
            <w:pPr>
              <w:spacing w:after="0"/>
              <w:rPr>
                <w:sz w:val="16"/>
                <w:szCs w:val="16"/>
                <w:color w:val="auto"/>
              </w:rPr>
            </w:pPr>
          </w:p>
        </w:tc>
        <w:tc>
          <w:tcPr>
            <w:tcW w:w="32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171">
              <w:r>
                <w:rPr>
                  <w:rFonts w:ascii="Arial" w:cs="Arial" w:eastAsia="Arial" w:hAnsi="Arial"/>
                  <w:sz w:val="17"/>
                  <w:szCs w:val="17"/>
                  <w:color w:val="0000EE"/>
                  <w:w w:val="85"/>
                </w:rPr>
                <w:t>F-36</w:t>
              </w:r>
            </w:hyperlink>
          </w:p>
        </w:tc>
        <w:tc>
          <w:tcPr>
            <w:tcW w:w="1300" w:type="dxa"/>
            <w:vAlign w:val="bottom"/>
          </w:tcPr>
          <w:p>
            <w:pPr>
              <w:spacing w:after="0"/>
              <w:rPr>
                <w:sz w:val="16"/>
                <w:szCs w:val="16"/>
                <w:color w:val="auto"/>
              </w:rPr>
            </w:pPr>
          </w:p>
        </w:tc>
      </w:tr>
      <w:tr>
        <w:trPr>
          <w:trHeight w:val="190"/>
        </w:trPr>
        <w:tc>
          <w:tcPr>
            <w:tcW w:w="1320" w:type="dxa"/>
            <w:vAlign w:val="bottom"/>
          </w:tcPr>
          <w:p>
            <w:pPr>
              <w:spacing w:after="0"/>
              <w:rPr>
                <w:sz w:val="16"/>
                <w:szCs w:val="16"/>
                <w:color w:val="auto"/>
              </w:rPr>
            </w:pPr>
          </w:p>
        </w:tc>
        <w:tc>
          <w:tcPr>
            <w:tcW w:w="8480" w:type="dxa"/>
            <w:vAlign w:val="bottom"/>
            <w:gridSpan w:val="13"/>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Notes to Unaudited Consolidated Financial Statements</w:t>
              </w:r>
            </w:hyperlink>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172">
              <w:r>
                <w:rPr>
                  <w:rFonts w:ascii="Arial" w:cs="Arial" w:eastAsia="Arial" w:hAnsi="Arial"/>
                  <w:sz w:val="17"/>
                  <w:szCs w:val="17"/>
                  <w:color w:val="0000EE"/>
                  <w:w w:val="85"/>
                </w:rPr>
                <w:t>F-37</w:t>
              </w:r>
            </w:hyperlink>
          </w:p>
        </w:tc>
      </w:tr>
      <w:tr>
        <w:trPr>
          <w:trHeight w:val="436"/>
        </w:trPr>
        <w:tc>
          <w:tcPr>
            <w:tcW w:w="1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8"/>
          </w:tcPr>
          <w:p>
            <w:pPr>
              <w:jc w:val="center"/>
              <w:ind w:right="3680"/>
              <w:spacing w:after="0"/>
              <w:rPr>
                <w:sz w:val="20"/>
                <w:szCs w:val="20"/>
                <w:color w:val="auto"/>
              </w:rPr>
            </w:pPr>
            <w:r>
              <w:rPr>
                <w:rFonts w:ascii="Arial" w:cs="Arial" w:eastAsia="Arial" w:hAnsi="Arial"/>
                <w:sz w:val="17"/>
                <w:szCs w:val="17"/>
                <w:color w:val="auto"/>
                <w:w w:val="93"/>
              </w:rPr>
              <w:t>F-1</w:t>
            </w: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18" w:lineRule="exact"/>
        <w:rPr>
          <w:sz w:val="20"/>
          <w:szCs w:val="20"/>
          <w:color w:val="auto"/>
        </w:rPr>
      </w:pPr>
    </w:p>
    <w:p>
      <w:pPr>
        <w:jc w:val="both"/>
        <w:ind w:firstLine="368"/>
        <w:spacing w:after="0" w:line="27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stockholders' equity/members' deficit and of cash flows present fairly, in all material respects, the financial position of Shutterstock, Inc. (formerly Shutterstock Images LLC) and its subsidiaries at December 31, 2012 and December 31, 2011, and the results of their operations and their cash flows for each of the three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1,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(In thousands, except par value amount)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102,096</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Credit card receivables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964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1,738</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1,554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18,760</w:t>
            </w: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7"/>
                <w:szCs w:val="17"/>
                <w:color w:val="auto"/>
              </w:rPr>
              <w:t>Due from related party</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18,074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125,975</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3,844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5,255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13,239</w:t>
            </w: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427</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147,114</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PREFERRED MEMBERS' INTEREST, MEMBERS' DEFICIT</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300" w:type="dxa"/>
            <w:vAlign w:val="bottom"/>
          </w:tcPr>
          <w:p>
            <w:pPr>
              <w:ind w:left="180"/>
              <w:spacing w:after="0"/>
              <w:rPr>
                <w:sz w:val="20"/>
                <w:szCs w:val="20"/>
                <w:color w:val="auto"/>
              </w:rPr>
            </w:pPr>
            <w:r>
              <w:rPr>
                <w:rFonts w:ascii="Arial" w:cs="Arial" w:eastAsia="Arial" w:hAnsi="Arial"/>
                <w:sz w:val="17"/>
                <w:szCs w:val="17"/>
                <w:b w:val="1"/>
                <w:bCs w:val="1"/>
                <w:color w:val="auto"/>
              </w:rPr>
              <w:t>AND STOCKHOLDERS' EQUITY</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2,606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10,875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15,606</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Contributor royalties payable</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5,261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6,984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28,451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37,934</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Term loan facility</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46,510</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69,291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49,058</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70,180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color w:val="auto"/>
              </w:rPr>
              <w:t>Redeemable preferred members' interest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33,725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equity/members' deficit: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Common members' interest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5,699</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2"/>
              </w:rPr>
              <w:t>Common stock, $0.01 par value; no shares were authorized and outstanding as of December 31, 2011</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200,000 shares authorized and 33,513 shares outstanding as of December 31, 2012;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48,282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Retained earnings/accumulated deficit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(63,627)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28,317</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Total stockholders' equity/members' deficit</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(57,928)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Total liabilities, redeemable preferred members' interest, and stockholders' equity/members' deficit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147,114</w:t>
            </w:r>
          </w:p>
        </w:tc>
        <w:tc>
          <w:tcPr>
            <w:tcW w:w="0" w:type="dxa"/>
            <w:vAlign w:val="bottom"/>
          </w:tcPr>
          <w:p>
            <w:pPr>
              <w:spacing w:after="0"/>
              <w:rPr>
                <w:sz w:val="1"/>
                <w:szCs w:val="1"/>
                <w:color w:val="auto"/>
              </w:rPr>
            </w:pPr>
          </w:p>
        </w:tc>
      </w:tr>
      <w:tr>
        <w:trPr>
          <w:trHeight w:val="26"/>
        </w:trPr>
        <w:tc>
          <w:tcPr>
            <w:tcW w:w="7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For Share and Per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82,973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120,271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169,616</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32,353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64,676</w:t>
            </w: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17,820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31,929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45,107</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9,777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16,330</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8,414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10,171</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21,651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63,178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97,381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147,764</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19,795</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19,814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(25,738)</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18,938</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47,543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7"/>
                <w:szCs w:val="17"/>
                <w:color w:val="auto"/>
              </w:rPr>
              <w:t>Preferred interest distributed</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6,475</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7,144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interest accretion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7,068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Undistributed (loss) earnings to participating stockholder/members</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(3,659)</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(2,692)</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(4,086)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available to common stockholders/members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42,629</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w w:val="95"/>
              </w:rPr>
              <w:t>Net income (loss) per basic share available to common stockholders/members:</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Undistributed</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(0.50)</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(0.39)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w w:val="93"/>
              </w:rPr>
              <w:t>Net income (loss) per diluted share available to common stockholders/members:</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Undistributed</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(0.50)</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(0.39)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Weighted average shares outstanding:</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20,770,041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20,849,242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23,785,299</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20,770,041</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20,849,242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23,833,223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39" w:name="page140"/>
    <w:bookmarkEnd w:id="139"/>
    <w:p>
      <w:pPr>
        <w:jc w:val="center"/>
        <w:ind w:right="14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CONSOLIDATED STATEMENTS OF STOCKHOLDERS' EQUITY/MEMBERS' DEFICIT</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(In Thousands, Except Share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Common</w:t>
            </w:r>
          </w:p>
        </w:tc>
        <w:tc>
          <w:tcPr>
            <w:tcW w:w="13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820" w:type="dxa"/>
            <w:vAlign w:val="bottom"/>
          </w:tcPr>
          <w:p>
            <w:pPr>
              <w:spacing w:after="0"/>
              <w:rPr>
                <w:sz w:val="5"/>
                <w:szCs w:val="5"/>
                <w:color w:val="auto"/>
              </w:rPr>
            </w:pPr>
          </w:p>
        </w:tc>
        <w:tc>
          <w:tcPr>
            <w:tcW w:w="1020" w:type="dxa"/>
            <w:vAlign w:val="bottom"/>
            <w:gridSpan w:val="4"/>
            <w:vMerge w:val="restart"/>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Membership</w:t>
            </w:r>
          </w:p>
        </w:tc>
        <w:tc>
          <w:tcPr>
            <w:tcW w:w="1320" w:type="dxa"/>
            <w:vAlign w:val="bottom"/>
            <w:tcBorders>
              <w:bottom w:val="single" w:sz="8" w:color="auto"/>
            </w:tcBorders>
            <w:gridSpan w:val="3"/>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restart"/>
          </w:tcPr>
          <w:p>
            <w:pPr>
              <w:jc w:val="right"/>
              <w:ind w:right="380"/>
              <w:spacing w:after="0" w:line="144" w:lineRule="exact"/>
              <w:rPr>
                <w:sz w:val="20"/>
                <w:szCs w:val="20"/>
                <w:color w:val="auto"/>
              </w:rPr>
            </w:pPr>
            <w:r>
              <w:rPr>
                <w:rFonts w:ascii="Arial" w:cs="Arial" w:eastAsia="Arial" w:hAnsi="Arial"/>
                <w:sz w:val="13"/>
                <w:szCs w:val="13"/>
                <w:b w:val="1"/>
                <w:bCs w:val="1"/>
                <w:color w:val="auto"/>
              </w:rPr>
              <w:t>Additional</w:t>
            </w:r>
          </w:p>
        </w:tc>
        <w:tc>
          <w:tcPr>
            <w:tcW w:w="150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Accumulated Deficit/</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82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gridSpan w:val="2"/>
          </w:tcPr>
          <w:p>
            <w:pPr>
              <w:spacing w:after="0"/>
              <w:rPr>
                <w:sz w:val="13"/>
                <w:szCs w:val="13"/>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Paid-in Capital</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2"/>
              </w:rPr>
              <w:t>Retained Earnings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4,782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(47,665)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7"/>
                <w:szCs w:val="17"/>
                <w:color w:val="auto"/>
              </w:rPr>
              <w:t>Common members' distribution</w:t>
            </w: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(19,425)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(19,425)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7"/>
                <w:szCs w:val="17"/>
                <w:color w:val="auto"/>
                <w:w w:val="98"/>
              </w:rPr>
              <w:t>Preferred members' interest accretion</w:t>
            </w: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(7,068)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18,938</w:t>
            </w:r>
          </w:p>
        </w:tc>
        <w:tc>
          <w:tcPr>
            <w:tcW w:w="0" w:type="dxa"/>
            <w:vAlign w:val="bottom"/>
          </w:tcPr>
          <w:p>
            <w:pPr>
              <w:spacing w:after="0"/>
              <w:rPr>
                <w:sz w:val="1"/>
                <w:szCs w:val="1"/>
                <w:color w:val="auto"/>
              </w:rPr>
            </w:pPr>
          </w:p>
        </w:tc>
      </w:tr>
      <w:tr>
        <w:trPr>
          <w:trHeight w:val="26"/>
        </w:trPr>
        <w:tc>
          <w:tcPr>
            <w:tcW w:w="2820" w:type="dxa"/>
            <w:vAlign w:val="bottom"/>
            <w:vMerge w:val="restart"/>
          </w:tcPr>
          <w:p>
            <w:pPr>
              <w:spacing w:after="0"/>
              <w:rPr>
                <w:sz w:val="20"/>
                <w:szCs w:val="20"/>
                <w:color w:val="auto"/>
              </w:rPr>
            </w:pPr>
            <w:r>
              <w:rPr>
                <w:rFonts w:ascii="Arial" w:cs="Arial" w:eastAsia="Arial" w:hAnsi="Arial"/>
                <w:sz w:val="17"/>
                <w:szCs w:val="17"/>
                <w:color w:val="auto"/>
              </w:rPr>
              <w:t>Balance at December 31, 2010</w:t>
            </w: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(60,002)</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(54,303)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Common members' distribution</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(21,431)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7"/>
                <w:szCs w:val="17"/>
                <w:color w:val="auto"/>
                <w:w w:val="98"/>
              </w:rPr>
              <w:t>Preferred members' interest accretion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(4,058)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(4,058)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21,864</w:t>
            </w:r>
          </w:p>
        </w:tc>
        <w:tc>
          <w:tcPr>
            <w:tcW w:w="0" w:type="dxa"/>
            <w:vAlign w:val="bottom"/>
          </w:tcPr>
          <w:p>
            <w:pPr>
              <w:spacing w:after="0"/>
              <w:rPr>
                <w:sz w:val="1"/>
                <w:szCs w:val="1"/>
                <w:color w:val="auto"/>
              </w:rPr>
            </w:pPr>
          </w:p>
        </w:tc>
      </w:tr>
      <w:tr>
        <w:trPr>
          <w:trHeight w:val="26"/>
        </w:trPr>
        <w:tc>
          <w:tcPr>
            <w:tcW w:w="2820" w:type="dxa"/>
            <w:vAlign w:val="bottom"/>
            <w:vMerge w:val="restart"/>
          </w:tcPr>
          <w:p>
            <w:pPr>
              <w:spacing w:after="0"/>
              <w:rPr>
                <w:sz w:val="20"/>
                <w:szCs w:val="20"/>
                <w:color w:val="auto"/>
              </w:rPr>
            </w:pPr>
            <w:r>
              <w:rPr>
                <w:rFonts w:ascii="Arial" w:cs="Arial" w:eastAsia="Arial" w:hAnsi="Arial"/>
                <w:sz w:val="17"/>
                <w:szCs w:val="17"/>
                <w:color w:val="auto"/>
              </w:rPr>
              <w:t>Balance at December 31, 2011</w:t>
            </w: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(63,627)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(57,928)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Common members' distribution</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(27,000)</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7"/>
                <w:szCs w:val="17"/>
                <w:color w:val="auto"/>
              </w:rPr>
              <w:t>Conversion to corporation</w:t>
            </w:r>
          </w:p>
        </w:tc>
        <w:tc>
          <w:tcPr>
            <w:tcW w:w="1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(5,699)</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28,338,281</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(36,114)</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71,401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29,871</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7,558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7,558</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20"/>
                <w:szCs w:val="20"/>
                <w:color w:val="auto"/>
              </w:rPr>
            </w:pPr>
            <w:r>
              <w:rPr>
                <w:rFonts w:ascii="Arial" w:cs="Arial" w:eastAsia="Arial" w:hAnsi="Arial"/>
                <w:sz w:val="17"/>
                <w:szCs w:val="17"/>
                <w:color w:val="auto"/>
              </w:rPr>
              <w:t>Issuance of common stock in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7"/>
                <w:szCs w:val="17"/>
                <w:color w:val="auto"/>
              </w:rPr>
              <w:t>connection with the initial public</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7"/>
                <w:szCs w:val="17"/>
                <w:color w:val="auto"/>
              </w:rPr>
              <w:t>offering, net of issuance costs of</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180"/>
              <w:spacing w:after="0"/>
              <w:rPr>
                <w:sz w:val="20"/>
                <w:szCs w:val="20"/>
                <w:color w:val="auto"/>
              </w:rPr>
            </w:pPr>
            <w:r>
              <w:rPr>
                <w:rFonts w:ascii="Arial" w:cs="Arial" w:eastAsia="Arial" w:hAnsi="Arial"/>
                <w:sz w:val="17"/>
                <w:szCs w:val="17"/>
                <w:color w:val="auto"/>
              </w:rPr>
              <w:t>$11,085</w:t>
            </w: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5,175,000</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76,838</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76,890</w:t>
            </w: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47,543</w:t>
            </w:r>
          </w:p>
        </w:tc>
        <w:tc>
          <w:tcPr>
            <w:tcW w:w="0" w:type="dxa"/>
            <w:vAlign w:val="bottom"/>
          </w:tcPr>
          <w:p>
            <w:pPr>
              <w:spacing w:after="0"/>
              <w:rPr>
                <w:sz w:val="1"/>
                <w:szCs w:val="1"/>
                <w:color w:val="auto"/>
              </w:rPr>
            </w:pPr>
          </w:p>
        </w:tc>
      </w:tr>
      <w:tr>
        <w:trPr>
          <w:trHeight w:val="26"/>
        </w:trPr>
        <w:tc>
          <w:tcPr>
            <w:tcW w:w="2820" w:type="dxa"/>
            <w:vAlign w:val="bottom"/>
            <w:vMerge w:val="restart"/>
          </w:tcPr>
          <w:p>
            <w:pPr>
              <w:spacing w:after="0"/>
              <w:rPr>
                <w:sz w:val="20"/>
                <w:szCs w:val="20"/>
                <w:color w:val="auto"/>
              </w:rPr>
            </w:pPr>
            <w:r>
              <w:rPr>
                <w:rFonts w:ascii="Arial" w:cs="Arial" w:eastAsia="Arial" w:hAnsi="Arial"/>
                <w:sz w:val="17"/>
                <w:szCs w:val="17"/>
                <w:color w:val="auto"/>
              </w:rPr>
              <w:t>Balance at December 31, 2012</w:t>
            </w: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33,513,281</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48,282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28,317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240"/>
          </w:cols>
          <w:pgMar w:left="1380" w:top="337" w:right="127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18,938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47,543</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874</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1,520</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2,640</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(31,300)</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Non-cash equity based compensation</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2,122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10,385</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Bad debt reserve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Chargeback reserve</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deferred financing fees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Credit card receivables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(350)</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(553)</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(1,417)</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and non-current assets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Due from related party</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 and other liabilities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6,238</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Contributors royalties payable</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1,100</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 payable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5,372</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8,820</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9,483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28,726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39,547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45,534</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(3,442)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(3,808)</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Acquisition of intangibles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Security deposit (payment) receipt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Net proceeds from issuance of common stock in initial public offering</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81,811</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term loan facility</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Payment of term loan facility</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of term loan fee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Payment of offering fees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(4,921)</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Members' distributions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(25,900)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(28,575)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(36,000)</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(25,900)</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(28,575)</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87,999</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Cash and cash equivalents—Beginning</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4,937</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6,544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14,097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equivalents—Ending</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102,096</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Information:</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1,180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1,225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4,845</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Non-cash financing activities: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members' interest accretion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7,068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4,058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Operations</w:t>
      </w:r>
    </w:p>
    <w:p>
      <w:pPr>
        <w:spacing w:after="0" w:line="224"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Shutterstock, Inc. (the "Company" or "Shutterstock") operates an industry-leading global marketplace for commercial digital imagery. Commercial digital imagery consists of licensed photographs, illustrations and video clips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maintains its primary office location in New York City.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w:t>
      </w:r>
    </w:p>
    <w:p>
      <w:pPr>
        <w:spacing w:after="0" w:line="224" w:lineRule="exact"/>
        <w:rPr>
          <w:sz w:val="20"/>
          <w:szCs w:val="20"/>
          <w:color w:val="auto"/>
        </w:rPr>
      </w:pPr>
    </w:p>
    <w:p>
      <w:pPr>
        <w:jc w:val="both"/>
        <w:ind w:firstLine="344"/>
        <w:spacing w:after="0" w:line="263" w:lineRule="auto"/>
        <w:rPr>
          <w:sz w:val="20"/>
          <w:szCs w:val="20"/>
          <w:color w:val="auto"/>
        </w:rPr>
      </w:pPr>
      <w:r>
        <w:rPr>
          <w:rFonts w:ascii="Arial" w:cs="Arial" w:eastAsia="Arial" w:hAnsi="Arial"/>
          <w:sz w:val="17"/>
          <w:szCs w:val="17"/>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 the LLC. On October 5, 2012, the LLC reorganized, by way of a merger of the LLC with and into Shutterstock. Inc. with Shutterstock, Inc. surviving in the merger (the "Reorganization"). In connection with this Reorganization, the preferred and common membership interests in the LLC, including any interests that vested upon the Reorganization, were exchanged for an aggregate of 28,338,281 shares of Shutterstock, Inc.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24" w:lineRule="exact"/>
        <w:rPr>
          <w:sz w:val="20"/>
          <w:szCs w:val="20"/>
          <w:color w:val="auto"/>
        </w:rPr>
      </w:pPr>
    </w:p>
    <w:p>
      <w:pPr>
        <w:jc w:val="both"/>
        <w:ind w:firstLine="475"/>
        <w:spacing w:after="0" w:line="294" w:lineRule="auto"/>
        <w:rPr>
          <w:sz w:val="20"/>
          <w:szCs w:val="20"/>
          <w:color w:val="auto"/>
        </w:rPr>
      </w:pPr>
      <w:r>
        <w:rPr>
          <w:rFonts w:ascii="Arial" w:cs="Arial" w:eastAsia="Arial" w:hAnsi="Arial"/>
          <w:sz w:val="16"/>
          <w:szCs w:val="16"/>
          <w:color w:val="auto"/>
        </w:rPr>
        <w:t>On October 16, 2012, the Company completed its IPO of 5,175,000 shares of common stock, including 675,000 shares sold as a result of the underwriters' exercise of their overallotment option, at a price of $17.00 per share. The IPO resulted in net proceeds to the Company of approximately $81,811 after deducting underwriting discounts and commissions, and before deducting total expenses incurred in connection with the offering of $4,927.</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goodwill, intangibles, non-cash equity based compensation, income tax provisions and for certain non-income tax accruals. The Company bases its estimates on historical experience and on various other assumptions that it believes to be reasonable, the results of which form the basis for making judgments about carrying values of assets and liabilities that are not readily apparent from other sources. Actual results could differ from those estimates.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Use Taxes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Amounts charged to customers or paid on behalf of customers related to sales taxes, value-added taxes and other usage taxes are classified net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and Contributor Risk</w:t>
      </w:r>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0" w:lineRule="exact"/>
        <w:rPr>
          <w:sz w:val="20"/>
          <w:szCs w:val="20"/>
          <w:color w:val="auto"/>
        </w:rPr>
      </w:pPr>
    </w:p>
    <w:p>
      <w:pPr>
        <w:jc w:val="both"/>
        <w:ind w:firstLine="338"/>
        <w:spacing w:after="0" w:line="301" w:lineRule="auto"/>
        <w:rPr>
          <w:sz w:val="20"/>
          <w:szCs w:val="20"/>
          <w:color w:val="auto"/>
        </w:rPr>
      </w:pPr>
      <w:r>
        <w:rPr>
          <w:rFonts w:ascii="Arial" w:cs="Arial" w:eastAsia="Arial" w:hAnsi="Arial"/>
          <w:sz w:val="15"/>
          <w:szCs w:val="15"/>
          <w:color w:val="auto"/>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its new customers. Concentration of credit risk is limited due to the Company's large number of diversified customers. No single customer accounted for or exceeded 10% of revenue for the years ended December 31, 2010, 2011 or 2012, respectively. As of December 31, 2011 and 2012, no single customer accounted for or exceeded 10% of credit card receivables. As of December 31, 2011, four customers accounted for 56% of accounts receivable, and as of December 31, 2012, two customers accounted for 33% of accounts receivable. The customers that accounted for more than 10% of the Company's accounts receivable balance as of December 31, 2011 and 2012 accounted for less than 2% of total revenue for the years ended December 31, 2011 and 2012, respectively.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single contributor accounted for or exceeded 10% of contributor royalties for the years ended December 31, 2010, 2011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 framework under the Financial Accounting Standards Board ("FASB") guidance requires the categorization of assets and liabilities into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levels: Level 1—quoted prices (unadjusted) in active markets for identical assets or liabilities; Level 2—inputs other than quoted prices included within Level 1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are either directly or indirectly observable; and Level 3—unobservable inputs in which little or no market activity exists, therefore requiring an entity to develop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own assumptions about the assumptions that market participants would use in pricing.</w:t>
      </w:r>
    </w:p>
    <w:p>
      <w:pPr>
        <w:spacing w:after="0" w:line="218" w:lineRule="exact"/>
        <w:rPr>
          <w:sz w:val="20"/>
          <w:szCs w:val="20"/>
          <w:color w:val="auto"/>
        </w:rPr>
      </w:pPr>
    </w:p>
    <w:p>
      <w:pPr>
        <w:jc w:val="both"/>
        <w:ind w:firstLine="344"/>
        <w:spacing w:after="0" w:line="294" w:lineRule="auto"/>
        <w:rPr>
          <w:sz w:val="20"/>
          <w:szCs w:val="20"/>
          <w:color w:val="auto"/>
        </w:rPr>
      </w:pPr>
      <w:r>
        <w:rPr>
          <w:rFonts w:ascii="Arial" w:cs="Arial" w:eastAsia="Arial" w:hAnsi="Arial"/>
          <w:sz w:val="16"/>
          <w:szCs w:val="16"/>
          <w:color w:val="auto"/>
        </w:rPr>
        <w:t>The fair value of a financial instrument is the amount for which the instrument could be exchanged in a current transaction between willing parties. Cash and cash equivalents, accounts receivable, restricted cash, accounts payable, deferred revenue, and term loan facility carrying amounts approximate fair value because of the short maturity of these instruments. The Company currently has no other financial assets or liabilities that are measured at fair value.</w:t>
      </w:r>
    </w:p>
    <w:p>
      <w:pPr>
        <w:spacing w:after="0" w:line="163"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The Company's non-financial assets, which include property and equipment, intangibles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7"/>
          <w:szCs w:val="17"/>
          <w:color w:val="auto"/>
        </w:rPr>
        <w:t>The Company considers all highly liquid securities with original maturities of three months or less when acquired to be cash equivalents. Cash primarily consists of balances in checking, savings and money market accounts, which are recorded at cost and approximate fair value and are considered a Level 1 measurement based on bank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497"/>
        <w:spacing w:after="0" w:line="294" w:lineRule="auto"/>
        <w:rPr>
          <w:sz w:val="20"/>
          <w:szCs w:val="20"/>
          <w:color w:val="auto"/>
        </w:rPr>
      </w:pPr>
      <w:r>
        <w:rPr>
          <w:rFonts w:ascii="Arial" w:cs="Arial" w:eastAsia="Arial" w:hAnsi="Arial"/>
          <w:sz w:val="16"/>
          <w:szCs w:val="16"/>
          <w:color w:val="auto"/>
        </w:rPr>
        <w:t>The Company's restricted cash relates to security deposits for leased office locations. As of December 31, 2012, the Company had $243 of restricted cash recorded in prepaid expenses and other current other assets that related to a leased office location that expires in 2013 and had $182 of restricted cash recorded in restricted cash that related to a leased office location that expires in 2015, respectively. The carrying value of restricted cash approximates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Card Receivables</w:t>
      </w:r>
    </w:p>
    <w:p>
      <w:pPr>
        <w:spacing w:after="0" w:line="224"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Company's credit card receivables represent amounts due from third party credit card processors. Such amounts generally convert to cash within three to five days with little or no default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24"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As of December 31, 2011 and December 31, 2012, the Company recorded an allowance for doubtful accounts of $256 and $249,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Costs</w:t>
      </w:r>
    </w:p>
    <w:p>
      <w:pPr>
        <w:spacing w:after="0" w:line="224"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Offering costs consist of legal, accounting, consulting and filing fees related to the IPO. The deferred offering costs were offset against proceeds from the IPO upon the effectiveness of the IPO. As of December 31, 2011 and December 31, 2012, the Company deferred $511 and $0, respectively, of offering costs which are included in prepaid expenses and other current assets.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Financing Fees</w:t>
      </w:r>
    </w:p>
    <w:p>
      <w:pPr>
        <w:spacing w:after="0" w:line="224" w:lineRule="exact"/>
        <w:rPr>
          <w:sz w:val="20"/>
          <w:szCs w:val="20"/>
          <w:color w:val="auto"/>
        </w:rPr>
      </w:pPr>
    </w:p>
    <w:p>
      <w:pPr>
        <w:jc w:val="both"/>
        <w:ind w:firstLine="462"/>
        <w:spacing w:after="0" w:line="265" w:lineRule="auto"/>
        <w:rPr>
          <w:sz w:val="20"/>
          <w:szCs w:val="20"/>
          <w:color w:val="auto"/>
        </w:rPr>
      </w:pPr>
      <w:r>
        <w:rPr>
          <w:rFonts w:ascii="Arial" w:cs="Arial" w:eastAsia="Arial" w:hAnsi="Arial"/>
          <w:sz w:val="17"/>
          <w:szCs w:val="17"/>
          <w:color w:val="auto"/>
        </w:rPr>
        <w:t>The Company defers and amortizes certain financing costs related to its term loan facility. These costs are deferred and amortized over the term of the debt period. As of December 31, 2011 and December 31, 2012, the deferred financing fees balance was $0 and $125, respectively, which is included in prepaid and other current assets. There was no amortization expense of deferred financing costs for the years ended December 31, 2010 and 2011. Amortization of deferred financing costs amounted to $41 for the year ended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24"/>
        <w:spacing w:after="0" w:line="282"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The useful lives are as follows: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Equipment</w:t>
            </w:r>
          </w:p>
        </w:tc>
        <w:tc>
          <w:tcPr>
            <w:tcW w:w="476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3 years</w:t>
            </w:r>
          </w:p>
        </w:tc>
      </w:tr>
      <w:tr>
        <w:trPr>
          <w:trHeight w:val="210"/>
        </w:trPr>
        <w:tc>
          <w:tcPr>
            <w:tcW w:w="32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760" w:type="dxa"/>
            <w:vAlign w:val="bottom"/>
          </w:tcPr>
          <w:p>
            <w:pPr>
              <w:ind w:left="1500"/>
              <w:spacing w:after="0"/>
              <w:rPr>
                <w:sz w:val="20"/>
                <w:szCs w:val="20"/>
                <w:color w:val="auto"/>
              </w:rPr>
            </w:pPr>
            <w:r>
              <w:rPr>
                <w:rFonts w:ascii="Arial" w:cs="Arial" w:eastAsia="Arial" w:hAnsi="Arial"/>
                <w:sz w:val="17"/>
                <w:szCs w:val="17"/>
                <w:color w:val="auto"/>
              </w:rPr>
              <w:t>7 years</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Purchased software</w:t>
            </w:r>
          </w:p>
        </w:tc>
        <w:tc>
          <w:tcPr>
            <w:tcW w:w="476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3 years</w:t>
            </w:r>
          </w:p>
        </w:tc>
      </w:tr>
      <w:tr>
        <w:trPr>
          <w:trHeight w:val="216"/>
        </w:trPr>
        <w:tc>
          <w:tcPr>
            <w:tcW w:w="32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4760" w:type="dxa"/>
            <w:vAlign w:val="bottom"/>
          </w:tcPr>
          <w:p>
            <w:pPr>
              <w:ind w:left="1500"/>
              <w:spacing w:after="0"/>
              <w:rPr>
                <w:sz w:val="20"/>
                <w:szCs w:val="20"/>
                <w:color w:val="auto"/>
              </w:rPr>
            </w:pPr>
            <w:r>
              <w:rPr>
                <w:rFonts w:ascii="Arial" w:cs="Arial" w:eastAsia="Arial" w:hAnsi="Arial"/>
                <w:sz w:val="17"/>
                <w:szCs w:val="17"/>
                <w:color w:val="auto"/>
                <w:w w:val="98"/>
              </w:rPr>
              <w:t>Shorter of expected useful life or lease term</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Internal Use Software</w:t>
      </w:r>
    </w:p>
    <w:p>
      <w:pPr>
        <w:spacing w:after="0" w:line="224" w:lineRule="exact"/>
        <w:rPr>
          <w:sz w:val="20"/>
          <w:szCs w:val="20"/>
          <w:color w:val="auto"/>
        </w:rPr>
      </w:pPr>
    </w:p>
    <w:p>
      <w:pPr>
        <w:jc w:val="both"/>
        <w:ind w:firstLine="372"/>
        <w:spacing w:after="0" w:line="300" w:lineRule="auto"/>
        <w:rPr>
          <w:sz w:val="20"/>
          <w:szCs w:val="20"/>
          <w:color w:val="auto"/>
        </w:rPr>
      </w:pPr>
      <w:r>
        <w:rPr>
          <w:rFonts w:ascii="Arial" w:cs="Arial" w:eastAsia="Arial" w:hAnsi="Arial"/>
          <w:sz w:val="15"/>
          <w:szCs w:val="15"/>
          <w:color w:val="auto"/>
        </w:rPr>
        <w:t>The Company accounts for the cost of computer software developed or obtained for internal use of its application service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three years, beginning when the software is ready for its intended use. The Company had no amortized capital software expense for the year ended December 31, 2010. For the years ended December 31, 2011 and 2012, the Company had gross capitalized costs of $459 and $605, respectively, which is included in property and equipment and amortization expense of $41 and $154, respectively, which is included in general and administrative expense. The Company's policy is to amortize such capitalized costs using the straight-line method over the estimated useful life.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jc w:val="both"/>
        <w:ind w:firstLine="465"/>
        <w:spacing w:after="0" w:line="280"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2010, 2011 or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76"/>
        <w:spacing w:after="0" w:line="315"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 reporting unit may be below its carrying value. Goodwill has been allocated to the Company's reporting units, for the purposes of preparing our impairment analyses, based on a specific identification basis. Based on the results of the goodwill impairment assessment as of October 1, 2012, the Company concluded that the fair value of its reporting unit is more than its carrying amount, and therefore no adjustment to the carrying value of goodwill was necessary. As a result of a combination of factors in the second quarter of 2012, the Company concluded that a triggering event had occurred in the Bigstockphoto, Inc. ("Bigstock") reporting unit indicating a potential impairment and a step 1 impairment test was performed as of June 30, 2012. As a result of performing the step 1 test for goodwill impairment in the second quarter of 2012, management concluded that the fair value of the Bigstock reporting unit exceeded the carrying value. Therefore, there was no requirement to perform step 2 of the analysis and it was concluded that there is no impairment of goodwill for the Bigstock reporting unit. There were no impairments of goodwill in any of the periods presented in the consolidated financial statements. See Note 2, Goodwill and Intangible Assets,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5"/>
        <w:spacing w:after="0" w:line="298" w:lineRule="auto"/>
        <w:rPr>
          <w:sz w:val="20"/>
          <w:szCs w:val="20"/>
          <w:color w:val="auto"/>
        </w:rPr>
      </w:pPr>
      <w:r>
        <w:rPr>
          <w:rFonts w:ascii="Arial" w:cs="Arial" w:eastAsia="Arial" w:hAnsi="Arial"/>
          <w:sz w:val="15"/>
          <w:szCs w:val="15"/>
          <w:color w:val="auto"/>
        </w:rPr>
        <w:t>All revenue, net of refunds, is generated from the license of digital content through subscription or usage based plans. The Company's four plans are: subscription plans, On Demand plans, Pay As You Go, which was introduced in July 2011, and credit pack plans. The Company recognizes revenue when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2011 and 2012, the Company has recorded a chargeback allowance of $70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66" w:lineRule="exact"/>
        <w:rPr>
          <w:sz w:val="20"/>
          <w:szCs w:val="20"/>
          <w:color w:val="auto"/>
        </w:rPr>
      </w:pPr>
    </w:p>
    <w:p>
      <w:pPr>
        <w:jc w:val="both"/>
        <w:ind w:firstLine="483"/>
        <w:spacing w:after="0" w:line="279"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digital content. On-demand revenues are recognized at the time the customer downloads the digital content on a per unit basis. Revenue related to unused digital content, if any, is recognized in full at the end of the plan term. Pay As You Go plans provide for individual image download. The Company recognizes revenue as the customer downloads images. Credit-pack plans are generally for a one-year term and enable the customer 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recognizes revenue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collection to ensure it is of high quality before it may be purchased by our customers, can reject contributor's images in its sole discretion, and has credit risk.</w:t>
      </w:r>
    </w:p>
    <w:p>
      <w:pPr>
        <w:spacing w:after="0" w:line="163"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5"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auto"/>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followed the authoritative guidance in ASC 605-45 </w:t>
      </w:r>
      <w:r>
        <w:rPr>
          <w:rFonts w:ascii="Arial" w:cs="Arial" w:eastAsia="Arial" w:hAnsi="Arial"/>
          <w:sz w:val="17"/>
          <w:szCs w:val="17"/>
          <w:i w:val="1"/>
          <w:iCs w:val="1"/>
          <w:color w:val="auto"/>
        </w:rPr>
        <w:t>Principal Agent Considerations.</w:t>
      </w:r>
      <w:r>
        <w:rPr>
          <w:rFonts w:ascii="Arial" w:cs="Arial" w:eastAsia="Arial" w:hAnsi="Arial"/>
          <w:sz w:val="17"/>
          <w:szCs w:val="17"/>
          <w:color w:val="auto"/>
        </w:rPr>
        <w:t xml:space="preserve"> The Company recognizes revenue on a net basis in accordance with the type of plan sold, consistent with the plan descriptions above. The Company generally does not offer refunds or the right of return to resellers.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Company's cost of revenue includes contributor royalties, credit card processing fees, image and video clip reviewer expenses, hosting and bandwidth expenses, amortization of content intangible assets, and depreciation of network equipment, which are the direct costs related to providing content to customers. Additionally, the Company includes an allocation of overhead costs primarily related to payroll, non-cash equity-based compensation, insurance, and facilities expenses based on headcount.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 Royalties and Internal Sales Commissions</w:t>
      </w:r>
    </w:p>
    <w:p>
      <w:pPr>
        <w:spacing w:after="0" w:line="224" w:lineRule="exact"/>
        <w:rPr>
          <w:sz w:val="20"/>
          <w:szCs w:val="20"/>
          <w:color w:val="auto"/>
        </w:rPr>
      </w:pPr>
    </w:p>
    <w:p>
      <w:pPr>
        <w:jc w:val="both"/>
        <w:ind w:firstLine="453"/>
        <w:spacing w:after="0" w:line="270" w:lineRule="auto"/>
        <w:rPr>
          <w:sz w:val="20"/>
          <w:szCs w:val="20"/>
          <w:color w:val="auto"/>
        </w:rPr>
      </w:pPr>
      <w:r>
        <w:rPr>
          <w:rFonts w:ascii="Arial" w:cs="Arial" w:eastAsia="Arial" w:hAnsi="Arial"/>
          <w:sz w:val="17"/>
          <w:szCs w:val="17"/>
          <w:color w:val="auto"/>
        </w:rPr>
        <w:t>Contributor royalties earned by a contributor are generally paid weekly or monthly once a customer has downloaded the contributor's digital content and the contributor's royalty account has reached a minimum dollar level. The Company expenses contributor royalties in the period during which a customer download occurs and includes the contributor royalties in cost of revenue.</w:t>
      </w:r>
    </w:p>
    <w:p>
      <w:pPr>
        <w:spacing w:after="0" w:line="179"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7"/>
          <w:szCs w:val="17"/>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 generally up to twelve months. For the years ended December 31, 2010, 2011 and 2012, the Company deferred $352, $651, and $2,023, respectively, in internal sales commissions which is included in prepaid expenses and other current assets and amortized $256, $597 and $1,649, respectively, in internal sales commission expense which is included in sales and marketing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7"/>
          <w:szCs w:val="17"/>
          <w:color w:val="auto"/>
        </w:rPr>
        <w:t>The Company expenses research and development costs as incurred, except for costs that are capitalized for certain software development projects that have demonstrated technological feasibility. Research and development costs are primarily comprised of development personnel salaries, equipment costs as well as allocated occupancy costs and related overhead. For the year ended December 31, 2010, the Company did not capitalize any software costs and all research and development costs were expensed as incurred. For the years ended December 31, 2011 and 2012, the Company capitalized $25 and $146, respectively, which is included in total capitalized software costs included in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Company expenses the cost of advertising and promoting its products as incurred. Such costs totaled $13,547, $25,176, and $32,648 for the years ended December 31, 2010, 2011 and 2012, respectively, which are included in sales and marketing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Rent</w:t>
      </w:r>
    </w:p>
    <w:p>
      <w:pPr>
        <w:spacing w:after="0" w:line="224"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7"/>
          <w:szCs w:val="17"/>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2011, the Company has recorded a deferred rent balance of $198 which is included in other non-current liabilities. As of December 31, 2012, the Company has recorded a deferred rent balance of $122, of which $68 is included in other liabilities as it relates to a 2013 office lease expiration and $54 is included in other non-current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7"/>
          <w:szCs w:val="17"/>
          <w:color w:val="auto"/>
        </w:rPr>
        <w:t>Between June 7, 2007 and October 5, 2012, the Company was organized as a limited liability company. Beginning in 2011, the Company granted equity rights similar to options under our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the Company's 2012 Omnibus Equity Incentive Plan (the "2012 Plan").</w:t>
      </w:r>
    </w:p>
    <w:p>
      <w:pPr>
        <w:spacing w:after="0" w:line="19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The Company measures and recognizes non-cash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estimated at the time of grant and revised, if necessary, in subsequent periods if actual forfeitures differ from those estimates.</w:t>
      </w:r>
    </w:p>
    <w:p>
      <w:pPr>
        <w:spacing w:after="0" w:line="224"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The Company uses the Black-Scholes option-pricing model to determine the fair value of stock options and other equity-based awards granted pursuant to the 2012 Plan, stock purchased pursuant to the Employee Stock Purchase Plan ("2012 ESPP") and the VAR Plan awards, which are discussed further in Note 9, Equity-Based Compensation.</w:t>
      </w:r>
    </w:p>
    <w:p>
      <w:pPr>
        <w:spacing w:after="0" w:line="179"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7"/>
          <w:szCs w:val="17"/>
          <w:color w:val="auto"/>
        </w:rPr>
        <w:t>The determination of the grant date fair value using an option-pricing model requires judgment and as well as assumptions regarding a number of other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99" w:lineRule="exact"/>
        <w:rPr>
          <w:sz w:val="20"/>
          <w:szCs w:val="20"/>
          <w:color w:val="auto"/>
        </w:rPr>
      </w:pPr>
    </w:p>
    <w:p>
      <w:pPr>
        <w:jc w:val="both"/>
        <w:ind w:left="1060" w:hanging="531"/>
        <w:spacing w:after="0" w:line="296" w:lineRule="auto"/>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Stock/Membership Unit. </w:t>
      </w:r>
      <w:r>
        <w:rPr>
          <w:rFonts w:ascii="Arial" w:cs="Arial" w:eastAsia="Arial" w:hAnsi="Arial"/>
          <w:sz w:val="15"/>
          <w:szCs w:val="15"/>
          <w:color w:val="auto"/>
        </w:rPr>
        <w:t>Prior to completion of the IPO, the Company's fair value of common ownership interest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estimated internally and approved by the Board of Managers ("BOM") because the Company was not publicly traded. The Company's intention upon granting VAR Plan awards was for the granted award to have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w:t>
      </w:r>
      <w:r>
        <w:rPr>
          <w:rFonts w:ascii="Arial" w:cs="Arial" w:eastAsia="Arial" w:hAnsi="Arial"/>
          <w:sz w:val="15"/>
          <w:szCs w:val="15"/>
          <w:color w:val="auto"/>
        </w:rPr>
        <w:t xml:space="preserve"> </w:t>
      </w:r>
      <w:r>
        <w:rPr>
          <w:rFonts w:ascii="Arial" w:cs="Arial" w:eastAsia="Arial" w:hAnsi="Arial"/>
          <w:sz w:val="15"/>
          <w:szCs w:val="15"/>
          <w:i w:val="1"/>
          <w:iCs w:val="1"/>
          <w:color w:val="auto"/>
        </w:rPr>
        <w:t>Intangible Asset</w:t>
      </w:r>
      <w:r>
        <w:rPr>
          <w:rFonts w:ascii="Arial" w:cs="Arial" w:eastAsia="Arial" w:hAnsi="Arial"/>
          <w:sz w:val="15"/>
          <w:szCs w:val="15"/>
          <w:color w:val="auto"/>
        </w:rPr>
        <w:t>. The assumptions used in the valuation model were based on future expectations combined with the Company's judgment.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New York Stock Exchange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191" w:lineRule="exact"/>
        <w:rPr>
          <w:rFonts w:ascii="Arial" w:cs="Arial" w:eastAsia="Arial" w:hAnsi="Arial"/>
          <w:sz w:val="15"/>
          <w:szCs w:val="15"/>
          <w:color w:val="auto"/>
        </w:rPr>
      </w:pPr>
    </w:p>
    <w:p>
      <w:pPr>
        <w:ind w:left="1060" w:hanging="531"/>
        <w:spacing w:after="0"/>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Expected Term. </w:t>
      </w:r>
      <w:r>
        <w:rPr>
          <w:rFonts w:ascii="Arial" w:cs="Arial" w:eastAsia="Arial" w:hAnsi="Arial"/>
          <w:sz w:val="15"/>
          <w:szCs w:val="15"/>
          <w:color w:val="auto"/>
        </w:rPr>
        <w:t>The expected term is estimated using the simplified method allowed under Securities and Exchange Commission ("SEC") guidance.</w:t>
      </w:r>
    </w:p>
    <w:p>
      <w:pPr>
        <w:spacing w:after="0" w:line="260" w:lineRule="exact"/>
        <w:rPr>
          <w:rFonts w:ascii="Arial" w:cs="Arial" w:eastAsia="Arial" w:hAnsi="Arial"/>
          <w:sz w:val="15"/>
          <w:szCs w:val="15"/>
          <w:color w:val="auto"/>
        </w:rPr>
      </w:pPr>
    </w:p>
    <w:p>
      <w:pPr>
        <w:jc w:val="both"/>
        <w:ind w:left="1060" w:hanging="531"/>
        <w:spacing w:after="0" w:line="270"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As the Company does not have a trading history for its common ownership interest pre-IPO or a significant range of its common stock post-IPO, the expected price volatility for the common ownership interest and common stock was estimated by taking the average historic price volatility for industry peers based on daily price observations over a period equivalent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left="1060"/>
        <w:spacing w:after="0" w:line="262" w:lineRule="auto"/>
        <w:rPr>
          <w:sz w:val="20"/>
          <w:szCs w:val="20"/>
          <w:color w:val="auto"/>
        </w:rPr>
      </w:pPr>
      <w:r>
        <w:rPr>
          <w:rFonts w:ascii="Arial" w:cs="Arial" w:eastAsia="Arial" w:hAnsi="Arial"/>
          <w:sz w:val="17"/>
          <w:szCs w:val="17"/>
          <w:color w:val="auto"/>
        </w:rPr>
        <w:t>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201" w:lineRule="exact"/>
        <w:rPr>
          <w:sz w:val="20"/>
          <w:szCs w:val="20"/>
          <w:color w:val="auto"/>
        </w:rPr>
      </w:pPr>
    </w:p>
    <w:p>
      <w:pPr>
        <w:ind w:left="1060" w:hanging="531"/>
        <w:spacing w:after="0" w:line="28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award group.</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Dividend Yield. </w:t>
      </w:r>
      <w:r>
        <w:rPr>
          <w:rFonts w:ascii="Arial" w:cs="Arial" w:eastAsia="Arial" w:hAnsi="Arial"/>
          <w:sz w:val="17"/>
          <w:szCs w:val="17"/>
          <w:color w:val="auto"/>
        </w:rPr>
        <w:t>The Company has historically paid cash dividends or distributions to its members. Post-IPO, the Company does not intend to pay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or distributions in the foreseeable future. As a result, the Company used an expected dividend yield of zero.</w:t>
      </w:r>
    </w:p>
    <w:p>
      <w:pPr>
        <w:spacing w:after="0" w:line="170" w:lineRule="exact"/>
        <w:rPr>
          <w:sz w:val="20"/>
          <w:szCs w:val="20"/>
          <w:color w:val="auto"/>
        </w:rPr>
      </w:pPr>
    </w:p>
    <w:p>
      <w:pPr>
        <w:jc w:val="both"/>
        <w:ind w:firstLine="361"/>
        <w:spacing w:after="0" w:line="278" w:lineRule="auto"/>
        <w:rPr>
          <w:sz w:val="20"/>
          <w:szCs w:val="20"/>
          <w:color w:val="auto"/>
        </w:rPr>
      </w:pPr>
      <w:r>
        <w:rPr>
          <w:rFonts w:ascii="Arial" w:cs="Arial" w:eastAsia="Arial" w:hAnsi="Arial"/>
          <w:sz w:val="16"/>
          <w:szCs w:val="16"/>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As of December 31, 2011, no equity-based compensation expense had been recognized with respect to the VAR Plan awards because the qualifying event had not occurred. As of December 31, 2010, there were no VAR Plan awards outstanding. As a result of the completion of the IPO, the Company began recording share-based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76" w:lineRule="exact"/>
        <w:rPr>
          <w:sz w:val="20"/>
          <w:szCs w:val="20"/>
          <w:color w:val="auto"/>
        </w:rPr>
      </w:pPr>
    </w:p>
    <w:p>
      <w:pPr>
        <w:jc w:val="both"/>
        <w:ind w:firstLine="412"/>
        <w:spacing w:after="0" w:line="352" w:lineRule="auto"/>
        <w:rPr>
          <w:sz w:val="20"/>
          <w:szCs w:val="20"/>
          <w:color w:val="auto"/>
        </w:rPr>
      </w:pPr>
      <w:r>
        <w:rPr>
          <w:rFonts w:ascii="Arial" w:cs="Arial" w:eastAsia="Arial" w:hAnsi="Arial"/>
          <w:sz w:val="15"/>
          <w:szCs w:val="15"/>
          <w:color w:val="auto"/>
        </w:rPr>
        <w:t>For any equity-based awards that qualified for liability classification pre-IPO, the Company has elected to use the intrinsic value method to value the common membership interest in accordance with authoritative guidance on stock compensation. See Note 9, Equity-Based Compensation,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 were subject to income tax on their allocated share of the Company's earnings. However, the Company was subject to taxation on allocable portions of its net income or other taxes based on various methodologies employed by taxing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authorities in certain localities. The Company generally made monthly dividend distributions to its members under the terms of the LLC's operating agreement, subject to the Company's operating cash needs.</w:t>
      </w:r>
    </w:p>
    <w:p>
      <w:pPr>
        <w:spacing w:after="0" w:line="1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Effective with the Reorganization, the Company became a Delaware corporation, and therefore became subject to federal and state tax expense beginning October 6, 2012. As a result of this tax status change, the Company recorded an incremental net deferred tax asset and a one-time non-cash tax benefit of approximately $28,811.</w:t>
      </w:r>
    </w:p>
    <w:p>
      <w:pPr>
        <w:spacing w:after="0" w:line="17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The Company will file tax returns as a partnership for the period from January 1, 2012 through October 5, 2012 and will file tax returns as a corporation for the period from October 6, 2012 through December 31, 2012. Significant management judgment is required in projecting ordinary income/(loss) in order to determine the Company's estimated effective tax rate.</w:t>
      </w:r>
    </w:p>
    <w:p>
      <w:pPr>
        <w:spacing w:after="0" w:line="179" w:lineRule="exact"/>
        <w:rPr>
          <w:sz w:val="20"/>
          <w:szCs w:val="20"/>
          <w:color w:val="auto"/>
        </w:rPr>
      </w:pPr>
    </w:p>
    <w:p>
      <w:pPr>
        <w:jc w:val="both"/>
        <w:ind w:firstLine="349"/>
        <w:spacing w:after="0" w:line="278"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is included in the income tax provision. Penalties and interest, if any, on uncertain tax positions are included in income tax expense. During the year ended December 31, 2010, the Company did not record any unrecognized tax benefits. During the years ended December 31, 2011 and 2012, the Company recorded an unrecognized tax benefit in the amount of $60 and $745, respectively, for uncertain tax positions related to tax positions taken in prior years, a portion of which relates to tax refund claims. To the extent these unrecognized tax benefits are ultimately recognized, the Company's effective tax rate may be impacted in future periods.</w:t>
      </w:r>
    </w:p>
    <w:p>
      <w:pPr>
        <w:spacing w:after="0" w:line="176" w:lineRule="exact"/>
        <w:rPr>
          <w:sz w:val="20"/>
          <w:szCs w:val="20"/>
          <w:color w:val="auto"/>
        </w:rPr>
      </w:pPr>
    </w:p>
    <w:p>
      <w:pPr>
        <w:jc w:val="both"/>
        <w:ind w:firstLine="530"/>
        <w:spacing w:after="0" w:line="352" w:lineRule="auto"/>
        <w:rPr>
          <w:sz w:val="20"/>
          <w:szCs w:val="20"/>
          <w:color w:val="auto"/>
        </w:rPr>
      </w:pPr>
      <w:r>
        <w:rPr>
          <w:rFonts w:ascii="Arial" w:cs="Arial" w:eastAsia="Arial" w:hAnsi="Arial"/>
          <w:sz w:val="15"/>
          <w:szCs w:val="15"/>
          <w:color w:val="auto"/>
        </w:rPr>
        <w:t>The Company recognizes interest expense and tax penalties related to unrecognized tax benefits in income tax expense in the consolidated statements of operations. The Company did not accrue or pay any interest or penalties related to unrecognized tax benefits for the years ended December 31, 2010, 2011 and 2012.</w:t>
      </w:r>
    </w:p>
    <w:p>
      <w:pPr>
        <w:spacing w:after="0" w:line="123"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year.</w:t>
      </w:r>
    </w:p>
    <w:p>
      <w:pPr>
        <w:spacing w:after="0" w:line="187"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7"/>
          <w:szCs w:val="17"/>
          <w:color w:val="auto"/>
        </w:rPr>
        <w:t>The Company is subject to certain compliance requirements for non-income taxes, including payroll, value-added and sales-based taxes. Where appropriate, the Company has made accruals for these matters, which are reflected in the Company's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Per Share</w:t>
      </w:r>
    </w:p>
    <w:p>
      <w:pPr>
        <w:spacing w:after="0" w:line="224"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5"/>
          <w:szCs w:val="15"/>
          <w:color w:val="auto"/>
        </w:rPr>
        <w:t>Basic net income per share is computed by dividing the net income attributable to common stockholders/members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weighted-average number of each class of securities outstanding during the applicable period as a percentage of the combined weighted-average number of these securities outstanding during the period. Income available to common stockholders/members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9, Equity-Based Compensation, for further discussion.</w:t>
      </w:r>
    </w:p>
    <w:p>
      <w:pPr>
        <w:spacing w:after="0" w:line="166" w:lineRule="exact"/>
        <w:rPr>
          <w:sz w:val="20"/>
          <w:szCs w:val="20"/>
          <w:color w:val="auto"/>
        </w:rPr>
      </w:pPr>
    </w:p>
    <w:p>
      <w:pPr>
        <w:jc w:val="both"/>
        <w:ind w:firstLine="365"/>
        <w:spacing w:after="0" w:line="263"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stockholders/members adjusted for any changes in income that would result from the assumed conversion of the potential common shares by the weighted average common shares outstanding and all potential common shares, if they are dilutive. The Company had no assumed shares available to purchase for the years ended December 31, 2010 and 2011. Diluted net income available to common stockholders/members for the year ended December 31, 2012 includes the effect of 1,789,318 shares to purchase, while 106,500 shares to purchase were excluded since they were anti-dilutive.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assumed exercised shares used in calculating basic and diluted income (loss) share available to common stockholders/members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840" w:type="dxa"/>
            <w:vAlign w:val="bottom"/>
          </w:tcPr>
          <w:p>
            <w:pPr>
              <w:spacing w:after="0"/>
              <w:rPr>
                <w:sz w:val="13"/>
                <w:szCs w:val="13"/>
                <w:color w:val="auto"/>
              </w:rPr>
            </w:pPr>
          </w:p>
        </w:tc>
        <w:tc>
          <w:tcPr>
            <w:tcW w:w="222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w w:val="90"/>
              </w:rPr>
              <w:t>Year Ended December 31,</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840" w:type="dxa"/>
            <w:vAlign w:val="bottom"/>
          </w:tcPr>
          <w:p>
            <w:pPr>
              <w:spacing w:after="0"/>
              <w:rPr>
                <w:sz w:val="11"/>
                <w:szCs w:val="11"/>
                <w:color w:val="auto"/>
              </w:rPr>
            </w:pPr>
          </w:p>
        </w:tc>
        <w:tc>
          <w:tcPr>
            <w:tcW w:w="900" w:type="dxa"/>
            <w:vAlign w:val="bottom"/>
            <w:tcBorders>
              <w:bottom w:val="single" w:sz="8" w:color="auto"/>
            </w:tcBorders>
          </w:tcPr>
          <w:p>
            <w:pPr>
              <w:jc w:val="right"/>
              <w:ind w:right="241"/>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900" w:type="dxa"/>
            <w:vAlign w:val="bottom"/>
            <w:tcBorders>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20,770,041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20,849,242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23,785,299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7"/>
                <w:szCs w:val="17"/>
                <w:color w:val="auto"/>
              </w:rPr>
              <w:t>Stock options and employee stock purchase plan shares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47,924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4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20,770,041</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20,849,242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6"/>
              </w:rPr>
              <w:t>23,833,223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The Company has identified four operating segments. These four operating segments have been aggregated into one reportable segment based on the aggregation criteria within the authoritative guidance on segment reporting. The Company considered the similarity of the product sold, the distribution processes involved, targeted customers, and economic characteristics among the four operating segments in its aggregation criteria evaluation. The operating segments share operational support functions such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sales, marketing, public relations, various research and development and engineering support, in addition to the general and administrative functions of human resources, legal, finance and information technology.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represents our geographic revenue based on customer location:</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1"/>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40,536</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Europe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47,967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4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82,973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120,271</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169,616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5"/>
        <w:spacing w:after="0" w:line="315" w:lineRule="auto"/>
        <w:rPr>
          <w:sz w:val="20"/>
          <w:szCs w:val="20"/>
          <w:color w:val="auto"/>
        </w:rPr>
      </w:pPr>
      <w:r>
        <w:rPr>
          <w:rFonts w:ascii="Arial" w:cs="Arial" w:eastAsia="Arial" w:hAnsi="Arial"/>
          <w:sz w:val="16"/>
          <w:szCs w:val="16"/>
          <w:color w:val="auto"/>
        </w:rPr>
        <w:t>Included in North America is the United States which comprises 31%, 30%, and 32% of total revenue for years ended December 31, 2010, 2011, and 2012, respectively. No other country accounts for more than 10% of the Company's revenue in any period. All long-lived assets are located in North America.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24" w:lineRule="exact"/>
        <w:rPr>
          <w:sz w:val="20"/>
          <w:szCs w:val="20"/>
          <w:color w:val="auto"/>
        </w:rPr>
      </w:pPr>
    </w:p>
    <w:p>
      <w:pPr>
        <w:jc w:val="both"/>
        <w:ind w:firstLine="383"/>
        <w:spacing w:after="0" w:line="263" w:lineRule="auto"/>
        <w:rPr>
          <w:sz w:val="20"/>
          <w:szCs w:val="20"/>
          <w:color w:val="auto"/>
        </w:rPr>
      </w:pPr>
      <w:r>
        <w:rPr>
          <w:rFonts w:ascii="Arial" w:cs="Arial" w:eastAsia="Arial" w:hAnsi="Arial"/>
          <w:sz w:val="17"/>
          <w:szCs w:val="17"/>
          <w:color w:val="auto"/>
        </w:rPr>
        <w:t>The Company has determined that the U.S. Dollar is its functional currency worldwide and therefore does not have any foreign currency translation adjustment. The Company does provide for customers in select countries to pay for licenses in local currency. These local currency payments are converted into U.S. Dollars at the rate prevailing on the date of the transaction. Any refund for these transactions could result in a foreign currency transaction gain or loss depending on the movement of the foreign currency between the purchase date and the refund date. During the years ended December 31, 2010, 2011 and 2012, the Company's foreign currency transaction activity was immaterial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24" w:lineRule="exact"/>
        <w:rPr>
          <w:sz w:val="20"/>
          <w:szCs w:val="20"/>
          <w:color w:val="auto"/>
        </w:rPr>
      </w:pPr>
    </w:p>
    <w:p>
      <w:pPr>
        <w:jc w:val="both"/>
        <w:ind w:firstLine="468"/>
        <w:spacing w:after="0" w:line="270" w:lineRule="auto"/>
        <w:rPr>
          <w:sz w:val="20"/>
          <w:szCs w:val="20"/>
          <w:color w:val="auto"/>
        </w:rPr>
      </w:pPr>
      <w:r>
        <w:rPr>
          <w:rFonts w:ascii="Arial" w:cs="Arial" w:eastAsia="Arial" w:hAnsi="Arial"/>
          <w:sz w:val="17"/>
          <w:szCs w:val="17"/>
          <w:color w:val="auto"/>
        </w:rPr>
        <w:t>Comprehensive income (loss) includes certain changes in stockholders' equity that are excluded from net income (loss) such as cumulative foreign currency translation adjustments and unrealized gains or losses on marketable securities. The Company's net income equals comprehensive income for the years ended December 31, 2010, 2011, and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 Updates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the recently issued accounting standard updates are expected to have a material impact.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Goodwill and Intangible Assets</w:t>
      </w:r>
    </w:p>
    <w:p>
      <w:pPr>
        <w:spacing w:after="0" w:line="228"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The Company's goodwill balance is attributable to its Bigstock reporting unit and is tested for impairment at least annually on October 1 or upon a triggering event. There have been no changes in the carrying amount of goodwill through December 31,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Goodwill and Intangible Assets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 as of December 31, 2011 and 2012:</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3"/>
              </w:rPr>
              <w:t>As of December 31, 2011</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Average Life</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Amortizing intangible assets:</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600</w:t>
            </w:r>
          </w:p>
        </w:tc>
        <w:tc>
          <w:tcPr>
            <w:tcW w:w="3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262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w:t>
            </w:r>
          </w:p>
        </w:tc>
        <w:tc>
          <w:tcPr>
            <w:tcW w:w="3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3"/>
              </w:rPr>
              <w:t>As of December 31, 2012</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Average Life</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Amortizing intangible assets:</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600</w:t>
            </w:r>
          </w:p>
        </w:tc>
        <w:tc>
          <w:tcPr>
            <w:tcW w:w="3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(486)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Patents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6"/>
        <w:spacing w:after="0" w:line="281" w:lineRule="auto"/>
        <w:rPr>
          <w:sz w:val="20"/>
          <w:szCs w:val="20"/>
          <w:color w:val="auto"/>
        </w:rPr>
      </w:pPr>
      <w:r>
        <w:rPr>
          <w:rFonts w:ascii="Arial" w:cs="Arial" w:eastAsia="Arial" w:hAnsi="Arial"/>
          <w:sz w:val="16"/>
          <w:szCs w:val="16"/>
          <w:color w:val="auto"/>
        </w:rPr>
        <w:t>During 2011, the Company acquired a domain name for $25 which is being amortized over fifteen years. During the first quarter of 2012, the Company acquired patents for $193, which will be amortized over sixteen to nineteen years. The patents were put into service in April 2012. During the third and fourth quarters of 2012, the Company acquired domain names for $10 and $50, respectively. These domain names were put into service in the same periods of purchase and will be amortized over fifteen years. Amortization expense related to the intangible assets was $242, $244 and $243 for the years ended December 31, 2010, 2011, and 2012, respectively. The Company also determined that there was no indication of impairment for the intangible assets for all periods presented. Estimated amortization expense for the next five years is: $191 in 2013, $78 in each fiscal year 2014 through 2017 and $537 thereafter.</w:t>
      </w:r>
    </w:p>
    <w:p>
      <w:pPr>
        <w:spacing w:after="0" w:line="176" w:lineRule="exact"/>
        <w:rPr>
          <w:sz w:val="20"/>
          <w:szCs w:val="20"/>
          <w:color w:val="auto"/>
        </w:rPr>
      </w:pPr>
    </w:p>
    <w:p>
      <w:pPr>
        <w:jc w:val="both"/>
        <w:ind w:firstLine="449"/>
        <w:spacing w:after="0" w:line="265" w:lineRule="auto"/>
        <w:rPr>
          <w:sz w:val="20"/>
          <w:szCs w:val="20"/>
          <w:color w:val="auto"/>
        </w:rPr>
      </w:pPr>
      <w:r>
        <w:rPr>
          <w:rFonts w:ascii="Arial" w:cs="Arial" w:eastAsia="Arial" w:hAnsi="Arial"/>
          <w:sz w:val="17"/>
          <w:szCs w:val="17"/>
          <w:color w:val="auto"/>
        </w:rPr>
        <w:t xml:space="preserve">Based on a combination of factors that occurred in the second quarter of 2012 within the Company's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based on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Goodwill and Intangible Assets (Continued)</w:t>
      </w:r>
    </w:p>
    <w:p>
      <w:pPr>
        <w:spacing w:after="0" w:line="228"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The Company performed its annual assessment on October 1, 2012. The Company estimated the fair value of the reporting unit using a discounted cash flow projection (also referred to as the income approach). The income approach uses a reporting unit's projection of estimated future operating results and cash flows discounted to a net present value. The Company's significant assumptions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were based on management's best estimates of economic and market conditions over the projected period. The Company bases its fair value estimates on assumptions it believes to be reasonable, but which are unpredictable and inherently uncertain. Future changes to the projected financial information or other significant assumptions including the weighted-average cost of capital could have a negative result on the Bigstock reporting unit's fair value.</w:t>
      </w:r>
    </w:p>
    <w:p>
      <w:pPr>
        <w:spacing w:after="0" w:line="177"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As a result of performing the step 1 tests for goodwill impairment, management concluded that the fair value of the Bigstock reporting unit exceeded the carrying value. Therefore, there was no requirement to perform step 2 of the analysis and it was concluded that there is no impairment of goodwill for the Bigstock reporting unit. Long-lived assets held in the Bigstock reporting unit were also tested for recoverability in the second quarter of 2012, as a result of the triggering event, and no impairment was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is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spacing w:after="0"/>
              <w:rPr>
                <w:sz w:val="20"/>
                <w:szCs w:val="20"/>
                <w:color w:val="auto"/>
              </w:rPr>
            </w:pPr>
            <w:r>
              <w:rPr>
                <w:rFonts w:ascii="Arial" w:cs="Arial" w:eastAsia="Arial" w:hAnsi="Arial"/>
                <w:sz w:val="17"/>
                <w:szCs w:val="17"/>
                <w:color w:val="auto"/>
              </w:rPr>
              <w:t>Property and equipment</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10,261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(5,006)</w:t>
            </w:r>
          </w:p>
        </w:tc>
        <w:tc>
          <w:tcPr>
            <w:tcW w:w="0" w:type="dxa"/>
            <w:vAlign w:val="bottom"/>
          </w:tcPr>
          <w:p>
            <w:pPr>
              <w:spacing w:after="0"/>
              <w:rPr>
                <w:sz w:val="1"/>
                <w:szCs w:val="1"/>
                <w:color w:val="auto"/>
              </w:rPr>
            </w:pPr>
          </w:p>
        </w:tc>
      </w:tr>
      <w:tr>
        <w:trPr>
          <w:trHeight w:val="26"/>
        </w:trPr>
        <w:tc>
          <w:tcPr>
            <w:tcW w:w="6320" w:type="dxa"/>
            <w:vAlign w:val="bottom"/>
            <w:vMerge w:val="restart"/>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3,844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67"/>
        <w:spacing w:after="0" w:line="282" w:lineRule="auto"/>
        <w:rPr>
          <w:sz w:val="20"/>
          <w:szCs w:val="20"/>
          <w:color w:val="auto"/>
        </w:rPr>
      </w:pPr>
      <w:r>
        <w:rPr>
          <w:rFonts w:ascii="Arial" w:cs="Arial" w:eastAsia="Arial" w:hAnsi="Arial"/>
          <w:sz w:val="17"/>
          <w:szCs w:val="17"/>
          <w:color w:val="auto"/>
        </w:rPr>
        <w:t>Depreciation expense amounted to $632, $1,276, and $2,397, for the years ended December 31, 2010, 2011 and 2012, respectively. Depreciation expense is included in cost of revenue and general and administrative expense based on the nature of the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10"/>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Royalty tax withholdings</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9"/>
              </w:rPr>
              <w:t>4,126</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Professional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7"/>
                <w:szCs w:val="17"/>
                <w:color w:val="auto"/>
                <w:w w:val="89"/>
              </w:rPr>
              <w:t>1,332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9"/>
              </w:rPr>
              <w:t>1,742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Accrued compensation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7"/>
                <w:szCs w:val="17"/>
                <w:color w:val="auto"/>
                <w:w w:val="89"/>
              </w:rPr>
              <w:t>2,391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Accrued marketing</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7"/>
                <w:szCs w:val="17"/>
                <w:color w:val="auto"/>
                <w:w w:val="89"/>
              </w:rPr>
              <w:t>1,101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Total accrued expenses</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w w:val="99"/>
              </w:rPr>
              <w:t>10,875</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(5) Income Taxes</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00" w:type="dxa"/>
            <w:vAlign w:val="bottom"/>
            <w:gridSpan w:val="2"/>
          </w:tcPr>
          <w:p>
            <w:pPr>
              <w:ind w:left="340"/>
              <w:spacing w:after="0"/>
              <w:rPr>
                <w:sz w:val="20"/>
                <w:szCs w:val="20"/>
                <w:color w:val="auto"/>
              </w:rPr>
            </w:pPr>
            <w:r>
              <w:rPr>
                <w:rFonts w:ascii="Arial" w:cs="Arial" w:eastAsia="Arial" w:hAnsi="Arial"/>
                <w:sz w:val="17"/>
                <w:szCs w:val="17"/>
                <w:color w:val="auto"/>
              </w:rPr>
              <w:t>The following table summarizes the consolidated provision for income taxes: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16"/>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w w:val="82"/>
              </w:rPr>
              <w:t>2011</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7"/>
                <w:szCs w:val="17"/>
                <w:color w:val="auto"/>
              </w:rPr>
              <w:t>Federal provision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5"/>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4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2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 &amp; local provision</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1"/>
              </w:rPr>
              <w:t>723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Deferred: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Federal (benefit)</w:t>
            </w:r>
          </w:p>
        </w:tc>
        <w:tc>
          <w:tcPr>
            <w:tcW w:w="1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(29,772)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7"/>
                <w:szCs w:val="17"/>
                <w:color w:val="auto"/>
              </w:rPr>
              <w:t>State &amp; local (benefit) provision</w:t>
            </w:r>
          </w:p>
        </w:tc>
        <w:tc>
          <w:tcPr>
            <w:tcW w:w="120" w:type="dxa"/>
            <w:vAlign w:val="bottom"/>
          </w:tcPr>
          <w:p>
            <w:pPr>
              <w:spacing w:after="0"/>
              <w:rPr>
                <w:sz w:val="18"/>
                <w:szCs w:val="18"/>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7"/>
                <w:szCs w:val="17"/>
                <w:color w:val="auto"/>
              </w:rPr>
              <w:t>(293)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center"/>
              <w:ind w:left="37"/>
              <w:spacing w:after="0"/>
              <w:rPr>
                <w:sz w:val="20"/>
                <w:szCs w:val="20"/>
                <w:color w:val="auto"/>
              </w:rPr>
            </w:pPr>
            <w:r>
              <w:rPr>
                <w:rFonts w:ascii="Arial" w:cs="Arial" w:eastAsia="Arial" w:hAnsi="Arial"/>
                <w:sz w:val="17"/>
                <w:szCs w:val="17"/>
                <w:color w:val="auto"/>
                <w:w w:val="91"/>
              </w:rPr>
              <w:t>253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1"/>
              </w:rPr>
              <w:t>976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(25,738)</w:t>
            </w:r>
          </w:p>
        </w:tc>
        <w:tc>
          <w:tcPr>
            <w:tcW w:w="0" w:type="dxa"/>
            <w:vAlign w:val="bottom"/>
          </w:tcPr>
          <w:p>
            <w:pPr>
              <w:spacing w:after="0"/>
              <w:rPr>
                <w:sz w:val="1"/>
                <w:szCs w:val="1"/>
                <w:color w:val="auto"/>
              </w:rPr>
            </w:pPr>
          </w:p>
        </w:tc>
      </w:tr>
      <w:tr>
        <w:trPr>
          <w:trHeight w:val="26"/>
        </w:trPr>
        <w:tc>
          <w:tcPr>
            <w:tcW w:w="7400" w:type="dxa"/>
            <w:vAlign w:val="bottom"/>
            <w:gridSpan w:val="2"/>
            <w:vMerge w:val="restart"/>
          </w:tcPr>
          <w:p>
            <w:pPr>
              <w:ind w:left="340"/>
              <w:spacing w:after="0"/>
              <w:rPr>
                <w:sz w:val="20"/>
                <w:szCs w:val="20"/>
                <w:color w:val="auto"/>
              </w:rPr>
            </w:pPr>
            <w:r>
              <w:rPr>
                <w:rFonts w:ascii="Arial" w:cs="Arial" w:eastAsia="Arial" w:hAnsi="Arial"/>
                <w:sz w:val="17"/>
                <w:szCs w:val="17"/>
                <w:color w:val="auto"/>
              </w:rPr>
              <w:t>The provision for income taxes differs from statutory income tax rate as follows:</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16"/>
          </w:tcPr>
          <w:p>
            <w:pPr>
              <w:jc w:val="center"/>
              <w:ind w:right="48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440" w:type="dxa"/>
            <w:vAlign w:val="bottom"/>
            <w:tcBorders>
              <w:top w:val="single" w:sz="8" w:color="auto"/>
              <w:bottom w:val="single" w:sz="8" w:color="auto"/>
            </w:tcBorders>
            <w:gridSpan w:val="2"/>
          </w:tcPr>
          <w:p>
            <w:pPr>
              <w:jc w:val="right"/>
              <w:ind w:right="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4"/>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U.S. income tax at federal statutory rate</w:t>
            </w:r>
          </w:p>
        </w:tc>
        <w:tc>
          <w:tcPr>
            <w:tcW w:w="12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35.00%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State and local taxes, net of federal benefit</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7"/>
                <w:szCs w:val="17"/>
                <w:color w:val="auto"/>
                <w:w w:val="99"/>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Benefit from change in tax status</w:t>
            </w:r>
          </w:p>
        </w:tc>
        <w:tc>
          <w:tcPr>
            <w:tcW w:w="1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7"/>
                <w:szCs w:val="17"/>
                <w:color w:val="auto"/>
              </w:rPr>
              <w:t>(31.36)%</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LLC income not subject to federal and state tax</w:t>
            </w:r>
          </w:p>
        </w:tc>
        <w:tc>
          <w:tcPr>
            <w:tcW w:w="120" w:type="dxa"/>
            <w:vAlign w:val="bottom"/>
          </w:tcPr>
          <w:p>
            <w:pPr>
              <w:spacing w:after="0"/>
              <w:rPr>
                <w:sz w:val="18"/>
                <w:szCs w:val="18"/>
                <w:color w:val="auto"/>
              </w:rPr>
            </w:pPr>
          </w:p>
        </w:tc>
        <w:tc>
          <w:tcPr>
            <w:tcW w:w="64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7"/>
                <w:szCs w:val="17"/>
                <w:color w:val="auto"/>
                <w:w w:val="93"/>
              </w:rPr>
              <w:t>—%</w:t>
            </w:r>
          </w:p>
        </w:tc>
        <w:tc>
          <w:tcPr>
            <w:tcW w:w="1000" w:type="dxa"/>
            <w:vAlign w:val="bottom"/>
            <w:gridSpan w:val="6"/>
          </w:tcPr>
          <w:p>
            <w:pPr>
              <w:jc w:val="right"/>
              <w:ind w:right="140"/>
              <w:spacing w:after="0"/>
              <w:rPr>
                <w:sz w:val="20"/>
                <w:szCs w:val="20"/>
                <w:color w:val="auto"/>
              </w:rPr>
            </w:pPr>
            <w:r>
              <w:rPr>
                <w:rFonts w:ascii="Arial" w:cs="Arial" w:eastAsia="Arial" w:hAnsi="Arial"/>
                <w:sz w:val="17"/>
                <w:szCs w:val="17"/>
                <w:color w:val="auto"/>
              </w:rPr>
              <w:t>(131.83)%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Non-deductible—restricted stock</w:t>
            </w:r>
          </w:p>
        </w:tc>
        <w:tc>
          <w:tcPr>
            <w:tcW w:w="1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Non-deductible—other</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0.40%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7"/>
                <w:szCs w:val="17"/>
                <w:color w:val="auto"/>
                <w:w w:val="99"/>
              </w:rPr>
              <w:t>0.50%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provision (benefit) for income taxes</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4.40%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99"/>
              </w:rPr>
              <w:t>4.50%</w:t>
            </w:r>
          </w:p>
        </w:tc>
        <w:tc>
          <w:tcPr>
            <w:tcW w:w="2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7"/>
                <w:szCs w:val="17"/>
                <w:color w:val="auto"/>
              </w:rPr>
              <w:t>(117.76)%</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Effective with the Reorganization, the Company became a Delaware corporation, and therefore became subject to federal and state tax expense beginning October 6, 2012. As a result of this tax status change, the Company recorded an incremental net deferred tax asset and a one-time non-cash tax benefit of approximately $28,811.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 (Continued)</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Company's tax effects of temporary differences and tax carryforwards that give rise to significant portions of the deferred tax assets are presented below:</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7"/>
          </w:tcPr>
          <w:p>
            <w:pPr>
              <w:jc w:val="right"/>
              <w:ind w:right="48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ind w:right="29"/>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547</w:t>
            </w:r>
          </w:p>
        </w:tc>
        <w:tc>
          <w:tcPr>
            <w:tcW w:w="36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14,237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14,861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7"/>
                <w:szCs w:val="17"/>
                <w:color w:val="auto"/>
              </w:rPr>
              <w:t>Non-income tax reserve</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Non-cash equity-based compensation</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33,194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6"/>
              </w:rPr>
              <w:t>(1,195)</w:t>
            </w:r>
          </w:p>
        </w:tc>
        <w:tc>
          <w:tcPr>
            <w:tcW w:w="0" w:type="dxa"/>
            <w:vAlign w:val="bottom"/>
          </w:tcPr>
          <w:p>
            <w:pPr>
              <w:spacing w:after="0"/>
              <w:rPr>
                <w:sz w:val="1"/>
                <w:szCs w:val="1"/>
                <w:color w:val="auto"/>
              </w:rPr>
            </w:pPr>
          </w:p>
        </w:tc>
      </w:tr>
      <w:tr>
        <w:trPr>
          <w:trHeight w:val="26"/>
        </w:trPr>
        <w:tc>
          <w:tcPr>
            <w:tcW w:w="7880" w:type="dxa"/>
            <w:vAlign w:val="bottom"/>
            <w:gridSpan w:val="2"/>
            <w:vMerge w:val="restart"/>
          </w:tcPr>
          <w:p>
            <w:pPr>
              <w:ind w:left="1380"/>
              <w:spacing w:after="0"/>
              <w:rPr>
                <w:sz w:val="20"/>
                <w:szCs w:val="20"/>
                <w:color w:val="auto"/>
              </w:rPr>
            </w:pPr>
            <w:r>
              <w:rPr>
                <w:rFonts w:ascii="Arial" w:cs="Arial" w:eastAsia="Arial" w:hAnsi="Arial"/>
                <w:sz w:val="17"/>
                <w:szCs w:val="17"/>
                <w:color w:val="auto"/>
              </w:rPr>
              <w:t>Net deferred tax assets</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702</w:t>
            </w:r>
          </w:p>
        </w:tc>
        <w:tc>
          <w:tcPr>
            <w:tcW w:w="160" w:type="dxa"/>
            <w:vAlign w:val="bottom"/>
          </w:tcPr>
          <w:p>
            <w:pPr>
              <w:spacing w:after="0"/>
              <w:rPr>
                <w:sz w:val="18"/>
                <w:szCs w:val="18"/>
                <w:color w:val="auto"/>
              </w:rPr>
            </w:pPr>
          </w:p>
        </w:tc>
        <w:tc>
          <w:tcPr>
            <w:tcW w:w="2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8"/>
              </w:rPr>
              <w:t>31,999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7"/>
                <w:szCs w:val="17"/>
                <w:color w:val="auto"/>
              </w:rPr>
              <w:t>The following table summarizes changes to the Company's unrecognized tax benefits as follows:</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7"/>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6"/>
              </w:rPr>
              <w:t>2011</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Balance of unrecognized tax benefits at January 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7"/>
                <w:szCs w:val="17"/>
                <w:color w:val="auto"/>
              </w:rPr>
              <w:t>Gross additions for tax positions for prior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additions for tax positions for current year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73"/>
              </w:rPr>
              <w:t>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7"/>
                <w:szCs w:val="17"/>
                <w:color w:val="auto"/>
              </w:rPr>
              <w:t>Gross expirations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settlements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880" w:type="dxa"/>
            <w:vAlign w:val="bottom"/>
            <w:gridSpan w:val="2"/>
            <w:vMerge w:val="restart"/>
          </w:tcPr>
          <w:p>
            <w:pPr>
              <w:ind w:left="1380"/>
              <w:spacing w:after="0"/>
              <w:rPr>
                <w:sz w:val="20"/>
                <w:szCs w:val="20"/>
                <w:color w:val="auto"/>
              </w:rPr>
            </w:pPr>
            <w:r>
              <w:rPr>
                <w:rFonts w:ascii="Arial" w:cs="Arial" w:eastAsia="Arial" w:hAnsi="Arial"/>
                <w:sz w:val="17"/>
                <w:szCs w:val="17"/>
                <w:color w:val="auto"/>
              </w:rPr>
              <w:t>Balance of unrecognized tax benefits at December 31</w:t>
            </w: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color w:val="auto"/>
                <w:w w:val="73"/>
              </w:rPr>
              <w:t>60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There was no unrecognized tax benefit recorded during the year ended December 31, 2010. The liability for unrecognized tax benefits is included in other non-current liabilities. The Company has no on-going tax examinations. The Company is no longer subject to U.S. Federal or state and local tax examinations by tax authorities for years before 2008. The Company does not anticipate significant changes to its uncertain tax positions through the next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Facility</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On September 21, 2012, the Company entered into a loan and security agreement with Silicon Valley Bank providing for a $12,000 term loan facility, which the Company refers to as the term loan facility. The Company will use the net proceeds from the term loan facility for working capital and general business purposes. The term loan facility provides for a term loan of $12,000 and matures on the earlier of (i) September 21, 2013 and (ii) the date on which such facility is accelerated following the occurrence of an event of default. The term loan facility provides for interest on the term loan, at the Company's option, at the prime rate as published in the Wall Street Journal minus 0.75%, or a LIBOR-based rate plus a margin of 2.00%. The Company generally selects the one-month LIBOR-based rate. On February 21, 2013,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 Facility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Company selected the one-month LIBOR-based rate in connection with the reset of its term loan facility. The newly selected rate expires on March 21, 2013 at which time the Company can select a new interest rate option. On December 24, 2012, the Company paid down $6,000 of the term loan facility.</w:t>
      </w:r>
    </w:p>
    <w:p>
      <w:pPr>
        <w:spacing w:after="0" w:line="170"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term loan facility includes financial covenants of a minimum EBITDA determined quarterly, measured on a trailing 12 month basis and a minimum liquidity requirement. The term loan also includes customary negative and affirmative covenants including, among others, limitations on the Company's ability to: (i) incur additional debt; (ii) create liens; (iii) make certain investments, loans and advances; (iv) sell assets; (v) pay dividends or make distributions or other restricted payments; (vi) engage in mergers or consolidations (other than the Reorganization); or (vii) change its business.</w:t>
      </w:r>
    </w:p>
    <w:p>
      <w:pPr>
        <w:spacing w:after="0" w:line="185" w:lineRule="exact"/>
        <w:rPr>
          <w:sz w:val="20"/>
          <w:szCs w:val="20"/>
          <w:color w:val="auto"/>
        </w:rPr>
      </w:pPr>
    </w:p>
    <w:p>
      <w:pPr>
        <w:jc w:val="both"/>
        <w:ind w:firstLine="440"/>
        <w:spacing w:after="0" w:line="322" w:lineRule="auto"/>
        <w:rPr>
          <w:sz w:val="20"/>
          <w:szCs w:val="20"/>
          <w:color w:val="auto"/>
        </w:rPr>
      </w:pPr>
      <w:r>
        <w:rPr>
          <w:rFonts w:ascii="Arial" w:cs="Arial" w:eastAsia="Arial" w:hAnsi="Arial"/>
          <w:sz w:val="15"/>
          <w:szCs w:val="15"/>
          <w:color w:val="auto"/>
        </w:rPr>
        <w:t>Amounts under the term loan facility may become due upon certain events of default including, among others, failure to comply with the term loan facility's covenants, bankruptcy, default on certain other indebtedness or a change in control. The default rate under the term loan facility is an additional 2.00% per annum over the otherwise applicable rate. All obligations under the term loan facility are secured by substantially all of the Company's assets, other than its intellectual property.</w:t>
      </w:r>
    </w:p>
    <w:p>
      <w:pPr>
        <w:spacing w:after="0" w:line="145"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auto"/>
        </w:rPr>
        <w:t>At December 31, 2012, the Company was in compliance with the financial covenants and other covenants applicable to it under the term loan facility and the outstanding term loan facility balance was $6,000. At December 31, 2012, the Company recorded accrued interest in the amount of $3, which is included in accrued expenses at December 31, 2012.</w:t>
      </w:r>
    </w:p>
    <w:p>
      <w:pPr>
        <w:spacing w:after="0" w:line="179" w:lineRule="exact"/>
        <w:rPr>
          <w:sz w:val="20"/>
          <w:szCs w:val="20"/>
          <w:color w:val="auto"/>
        </w:rPr>
      </w:pPr>
    </w:p>
    <w:p>
      <w:pPr>
        <w:jc w:val="both"/>
        <w:ind w:firstLine="473"/>
        <w:spacing w:after="0" w:line="265" w:lineRule="auto"/>
        <w:rPr>
          <w:sz w:val="20"/>
          <w:szCs w:val="20"/>
          <w:color w:val="auto"/>
        </w:rPr>
      </w:pPr>
      <w:r>
        <w:rPr>
          <w:rFonts w:ascii="Arial" w:cs="Arial" w:eastAsia="Arial" w:hAnsi="Arial"/>
          <w:sz w:val="17"/>
          <w:szCs w:val="17"/>
          <w:color w:val="auto"/>
        </w:rPr>
        <w:t>The Company capitalizes costs directly associated with acquiring third party financing. Deferred financing costs are included in prepaid expenses and other current assets and are amortized on a straight-line basis as interest expense over the term of the related indebtedness. In cases where amounts borrowed are paid in advance, financing costs related to the amount borrowed are accelerated. As of December 31, 2012, deferred financing costs, net of accumulated amortization were $125.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28" w:lineRule="exact"/>
        <w:rPr>
          <w:sz w:val="20"/>
          <w:szCs w:val="20"/>
          <w:color w:val="auto"/>
        </w:rPr>
      </w:pPr>
    </w:p>
    <w:p>
      <w:pPr>
        <w:jc w:val="both"/>
        <w:ind w:firstLine="394"/>
        <w:spacing w:after="0" w:line="265" w:lineRule="auto"/>
        <w:rPr>
          <w:sz w:val="20"/>
          <w:szCs w:val="20"/>
          <w:color w:val="auto"/>
        </w:rPr>
      </w:pPr>
      <w:r>
        <w:rPr>
          <w:rFonts w:ascii="Arial" w:cs="Arial" w:eastAsia="Arial" w:hAnsi="Arial"/>
          <w:sz w:val="17"/>
          <w:szCs w:val="17"/>
          <w:color w:val="auto"/>
        </w:rPr>
        <w:t>The Company leases facilities under agreements accounted for as operating leases. Rental expense for operating leases for the years ended December 31, 2010, 2011, and 2012 was approximately $872, $1,113 and $1,799,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85" w:lineRule="exact"/>
        <w:rPr>
          <w:sz w:val="20"/>
          <w:szCs w:val="20"/>
          <w:color w:val="auto"/>
        </w:rPr>
      </w:pPr>
    </w:p>
    <w:p>
      <w:pPr>
        <w:jc w:val="both"/>
        <w:ind w:firstLine="367"/>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December 31, 2012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Year Ending December 31</w:t>
            </w:r>
          </w:p>
        </w:tc>
        <w:tc>
          <w:tcPr>
            <w:tcW w:w="1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Operating Leases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5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3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gridSpan w:val="2"/>
          </w:tcPr>
          <w:p>
            <w:pPr>
              <w:jc w:val="right"/>
              <w:ind w:right="2515"/>
              <w:spacing w:after="0"/>
              <w:rPr>
                <w:sz w:val="20"/>
                <w:szCs w:val="20"/>
                <w:color w:val="auto"/>
              </w:rPr>
            </w:pPr>
            <w:r>
              <w:rPr>
                <w:rFonts w:ascii="Arial" w:cs="Arial" w:eastAsia="Arial" w:hAnsi="Arial"/>
                <w:sz w:val="17"/>
                <w:szCs w:val="17"/>
                <w:color w:val="auto"/>
              </w:rPr>
              <w:t>F-23</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4" w:lineRule="exact"/>
        <w:rPr>
          <w:sz w:val="20"/>
          <w:szCs w:val="20"/>
          <w:color w:val="auto"/>
        </w:rPr>
      </w:pPr>
    </w:p>
    <w:p>
      <w:pPr>
        <w:jc w:val="both"/>
        <w:ind w:firstLine="498"/>
        <w:spacing w:after="0" w:line="270" w:lineRule="auto"/>
        <w:rPr>
          <w:sz w:val="20"/>
          <w:szCs w:val="20"/>
          <w:color w:val="auto"/>
        </w:rPr>
      </w:pPr>
      <w:r>
        <w:rPr>
          <w:rFonts w:ascii="Arial" w:cs="Arial" w:eastAsia="Arial" w:hAnsi="Arial"/>
          <w:sz w:val="17"/>
          <w:szCs w:val="17"/>
          <w:color w:val="auto"/>
        </w:rPr>
        <w:t>For the years ended December 31, 2011 and 2012, the Company spent approximately $1,900 and $2,575, respectively, for servers and related hardware to accommodate increased business volume. The additions are included in "Assets—Property and equipment, net" on the balance sheet. As of December 31, 2012, the Company had no significant committed purchases related to data server equipment.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4"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As of December 31, 2012, the Company had unconditional purchase obligations in the amount of $3,409, which consisted primarily of contracts related to infrastructure services and contractual commitments for software licenses and marketing services. As of December 31, 2012, the Company's unconditional purchase obligations for the years ending December 31, 2013, 2014 and 2015 are $2,274, $943 and $192,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511"/>
        <w:spacing w:after="0" w:line="278" w:lineRule="auto"/>
        <w:rPr>
          <w:sz w:val="20"/>
          <w:szCs w:val="20"/>
          <w:color w:val="auto"/>
        </w:rPr>
      </w:pPr>
      <w:r>
        <w:rPr>
          <w:rFonts w:ascii="Arial" w:cs="Arial" w:eastAsia="Arial" w:hAnsi="Arial"/>
          <w:sz w:val="16"/>
          <w:szCs w:val="16"/>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active litigation matters.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4"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unlimited indemnification. As of December 31, 2011 and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 and Indemnification Agreements</w:t>
      </w:r>
    </w:p>
    <w:p>
      <w:pPr>
        <w:spacing w:after="0" w:line="224"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 The Company's employment agreement between the former Bigstock owner and the Company expired in 2010.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Employee Benefit Plans</w:t>
      </w:r>
    </w:p>
    <w:p>
      <w:pPr>
        <w:spacing w:after="0" w:line="228" w:lineRule="exact"/>
        <w:rPr>
          <w:sz w:val="20"/>
          <w:szCs w:val="20"/>
          <w:color w:val="auto"/>
        </w:rPr>
      </w:pPr>
    </w:p>
    <w:p>
      <w:pPr>
        <w:jc w:val="both"/>
        <w:ind w:firstLine="460"/>
        <w:spacing w:after="0" w:line="270" w:lineRule="auto"/>
        <w:rPr>
          <w:sz w:val="20"/>
          <w:szCs w:val="20"/>
          <w:color w:val="auto"/>
        </w:rPr>
      </w:pPr>
      <w:r>
        <w:rPr>
          <w:rFonts w:ascii="Arial" w:cs="Arial" w:eastAsia="Arial" w:hAnsi="Arial"/>
          <w:sz w:val="17"/>
          <w:szCs w:val="17"/>
          <w:color w:val="auto"/>
        </w:rPr>
        <w:t>The Company previously maintained a Simple IRA plan ("IRA Plan") that covered all eligible employees. The plan was implemented on June 7, 2007. The Company provided for annual discretionary employer matching contributions not to exceed 3% of employees' compensation for the year. Matching contributions were fully vested and non-forfeitable.</w:t>
      </w:r>
    </w:p>
    <w:p>
      <w:pPr>
        <w:spacing w:after="0" w:line="179"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The Company terminated the IRA Plan on December 31, 2010 and replaced it with a 401(k) defined contribution plan ("401(k) Plan"). Similar to the IRA Plan, the Company provides for annual discretionary employer matching contributions not to exceed 3% of employees' compensation for the year. Matching contributions also are fully vested and non-forfeitable.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recorded $77, $221 and $412 of employer matching contributions for the years ended December 31, 2010, 2011, and 2012,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Omnibus Equity Incentive Plan</w:t>
      </w:r>
    </w:p>
    <w:p>
      <w:pPr>
        <w:spacing w:after="0" w:line="224"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6"/>
          <w:szCs w:val="16"/>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is 6,750,000 shares of common stock. The number of shares available for issuance under the 2012 Plan will be increased annually commencing January 1, 2013 by an amount equal to the lesser of 1,500,000 shares of common stock, 3% of the outstanding shares of common stock as of the last day immediately preceding fiscal year, or such other amount as determined by the Company's board of directors. Any awards issued under the 2012 Plan that are forfeited by the participant, will become available for future grant under the 2012 Plan. In connection with the Company's reorganization to a corporation, the VAR Plan awards were exchanged for options to purchase shares of common stock of Shutterstock, Inc. granted pursuant to the Company's 2012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2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On October 10, 2012, the Company's 2012 ESPP became effective. The 2012 ESPP provides participating employees with the option to purchase common stock through payroll deductions of up to 15% of eligible compensation and a maximum purchase of 1,000 shares during each offering period. The common stock is purchased at 85% of the lower of the fair market value of common stock on (1) the first trading day of the offering period, or (2) the last day of the offering period. The offering periods generally start on the first trading day on or after June 1 and December 1 of each year; however, the first such offering period commenced on October 10, 2012, the date the Company's Registration Statement was declared effective. An employee will not be granted rights to purchase common stock if an employee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 (Continued)</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immediately after the grant would own stock possessing 5% or more of the total combined voting power or value of all classes of the Company's capital stock or holds rights to purchase stock under all of the Company's employee stock purchase plans that would accrue at a rate that exceeds $25 worth of stock for each calendar year. The Company has reserved 2,000,000 shares for issuance under the 2012 ESPP. The number of shares available for issuance under the 2012 ESPP provides for an annual increase commencing January 1, 2013 by an amount equal to the lesser of 1,000,000 shares of common stock, 3% of the outstanding shares of our common stock as of the last day immediately preceding fiscal year, or such other amount as determined by the Company's board of directors. As of December 31, 2012, no shares had been issued under the 2012 ESPP.</w:t>
      </w:r>
    </w:p>
    <w:p>
      <w:pPr>
        <w:spacing w:after="0" w:line="188"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The Company estimates the fair value of purchase rights under the 2012 ESPP using the Black-Scholes valuation model. The fair value of each purchase right under the 2012 ESPP was estimated on the date of grant using the Black-Scholes option valuation model and the straight-line attribution approach with the following weighted-average assumptions: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Period from</w:t>
            </w:r>
          </w:p>
        </w:tc>
      </w:tr>
      <w:tr>
        <w:trPr>
          <w:trHeight w:val="144"/>
        </w:trPr>
        <w:tc>
          <w:tcPr>
            <w:tcW w:w="6580" w:type="dxa"/>
            <w:vAlign w:val="bottom"/>
          </w:tcPr>
          <w:p>
            <w:pPr>
              <w:spacing w:after="0"/>
              <w:rPr>
                <w:sz w:val="12"/>
                <w:szCs w:val="12"/>
                <w:color w:val="auto"/>
              </w:rPr>
            </w:pP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October 10, 2012</w:t>
            </w:r>
          </w:p>
        </w:tc>
      </w:tr>
      <w:tr>
        <w:trPr>
          <w:trHeight w:val="144"/>
        </w:trPr>
        <w:tc>
          <w:tcPr>
            <w:tcW w:w="6580" w:type="dxa"/>
            <w:vAlign w:val="bottom"/>
          </w:tcPr>
          <w:p>
            <w:pPr>
              <w:spacing w:after="0"/>
              <w:rPr>
                <w:sz w:val="12"/>
                <w:szCs w:val="12"/>
                <w:color w:val="auto"/>
              </w:rPr>
            </w:pP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1"/>
              </w:rPr>
              <w:t>to</w:t>
            </w:r>
          </w:p>
        </w:tc>
      </w:tr>
      <w:tr>
        <w:trPr>
          <w:trHeight w:val="157"/>
        </w:trPr>
        <w:tc>
          <w:tcPr>
            <w:tcW w:w="65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December 31, 2012</w:t>
            </w: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60" w:type="dxa"/>
            <w:vAlign w:val="bottom"/>
            <w:shd w:val="clear" w:color="auto" w:fill="CCEEFF"/>
          </w:tcPr>
          <w:p>
            <w:pPr>
              <w:spacing w:after="0"/>
              <w:rPr>
                <w:sz w:val="17"/>
                <w:szCs w:val="17"/>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Volatility</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0.15%</w:t>
            </w:r>
          </w:p>
        </w:tc>
      </w:tr>
      <w:tr>
        <w:trPr>
          <w:trHeight w:val="216"/>
        </w:trPr>
        <w:tc>
          <w:tcPr>
            <w:tcW w:w="6580" w:type="dxa"/>
            <w:vAlign w:val="bottom"/>
          </w:tcPr>
          <w:p>
            <w:pPr>
              <w:spacing w:after="0"/>
              <w:rPr>
                <w:sz w:val="20"/>
                <w:szCs w:val="20"/>
                <w:color w:val="auto"/>
              </w:rPr>
            </w:pPr>
            <w:r>
              <w:rPr>
                <w:rFonts w:ascii="Arial" w:cs="Arial" w:eastAsia="Arial" w:hAnsi="Arial"/>
                <w:sz w:val="17"/>
                <w:szCs w:val="17"/>
                <w:color w:val="auto"/>
              </w:rPr>
              <w:t>Dividend yield</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jc w:val="both"/>
        <w:ind w:firstLine="483"/>
        <w:spacing w:after="0" w:line="270" w:lineRule="auto"/>
        <w:rPr>
          <w:sz w:val="20"/>
          <w:szCs w:val="20"/>
          <w:color w:val="auto"/>
        </w:rPr>
      </w:pPr>
      <w:r>
        <w:rPr>
          <w:rFonts w:ascii="Arial" w:cs="Arial" w:eastAsia="Arial" w:hAnsi="Arial"/>
          <w:sz w:val="17"/>
          <w:szCs w:val="17"/>
          <w:color w:val="auto"/>
        </w:rPr>
        <w:t>There was no non-cash stock-based compensation in connection with the 2012 ESPP for the years ended December 31, 2010 and 2011. The Company has recognized a non-cash stock-based compensation expense of $134, net of estimated forfeitures, in connection with the 2012 ESPP for the year ended December 31,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Appreciation Rights Plan</w:t>
      </w:r>
    </w:p>
    <w:p>
      <w:pPr>
        <w:spacing w:after="0" w:line="224"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interest. The VAR Plan awards were subject to a time-based vesting requirement and a condition that a change of control occur for a payment to trigger with respect to the VAR Plan awards. Payment could occur in the form of cash, units or other securities at the discretion of the BOM and are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Given the change-of-control condition, there was no equity-based compensation charge recorded for the year ended December 31, 2011. In connection with the Reorganization, all of the VAR Plan awards were exchanged for options to purchase an aggregate of 1,661,719 shares of common stock of Shutterstock, Inc. with only a time-based vesting requirement, which were granted pursuant to the Company's 2012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 (Continued)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Company's VAR Plan awards were made in the form of notional units and were exchanged for options to purchase shares of common stock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 upon the Reorganization. The following is a summary of these awards and weighted average exercise price per option/notional unit: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Plan</w:t>
            </w:r>
          </w:p>
        </w:tc>
        <w:tc>
          <w:tcPr>
            <w:tcW w:w="13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5"/>
              </w:rPr>
              <w:t>Weighted Average</w:t>
            </w:r>
          </w:p>
        </w:tc>
      </w:tr>
      <w:tr>
        <w:trPr>
          <w:trHeight w:val="157"/>
        </w:trPr>
        <w:tc>
          <w:tcPr>
            <w:tcW w:w="55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Options/Units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Exercise Price</w:t>
            </w:r>
          </w:p>
        </w:tc>
        <w:tc>
          <w:tcPr>
            <w:tcW w:w="160" w:type="dxa"/>
            <w:vAlign w:val="bottom"/>
          </w:tcPr>
          <w:p>
            <w:pPr>
              <w:spacing w:after="0"/>
              <w:rPr>
                <w:sz w:val="13"/>
                <w:szCs w:val="13"/>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560" w:type="dxa"/>
            <w:vAlign w:val="bottom"/>
          </w:tcPr>
          <w:p>
            <w:pPr>
              <w:spacing w:after="0"/>
              <w:rPr>
                <w:sz w:val="20"/>
                <w:szCs w:val="20"/>
                <w:color w:val="auto"/>
              </w:rPr>
            </w:pPr>
            <w:r>
              <w:rPr>
                <w:rFonts w:ascii="Arial" w:cs="Arial" w:eastAsia="Arial" w:hAnsi="Arial"/>
                <w:sz w:val="17"/>
                <w:szCs w:val="17"/>
                <w:color w:val="auto"/>
              </w:rPr>
              <w:t>Units 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1,370,500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15.08</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(26,000)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14.21</w:t>
            </w:r>
          </w:p>
        </w:tc>
        <w:tc>
          <w:tcPr>
            <w:tcW w:w="1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60" w:type="dxa"/>
            <w:vAlign w:val="bottom"/>
            <w:shd w:val="clear" w:color="auto" w:fill="CCEEFF"/>
          </w:tcPr>
          <w:p>
            <w:pPr>
              <w:spacing w:after="0"/>
              <w:rPr>
                <w:sz w:val="17"/>
                <w:szCs w:val="17"/>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7"/>
                <w:szCs w:val="17"/>
                <w:color w:val="auto"/>
              </w:rPr>
              <w:t>Options/Units 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418,000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19.38</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Options/Units exercised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Options/Units cancelled or forfeited</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(70,218)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21.15</w:t>
            </w:r>
          </w:p>
        </w:tc>
        <w:tc>
          <w:tcPr>
            <w:tcW w:w="1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1,692,282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160" w:type="dxa"/>
            <w:vAlign w:val="bottom"/>
            <w:shd w:val="clear" w:color="auto" w:fill="CCEEFF"/>
          </w:tcPr>
          <w:p>
            <w:pPr>
              <w:spacing w:after="0"/>
              <w:rPr>
                <w:sz w:val="17"/>
                <w:szCs w:val="17"/>
                <w:color w:val="auto"/>
              </w:rPr>
            </w:pPr>
          </w:p>
        </w:tc>
      </w:tr>
      <w:tr>
        <w:trPr>
          <w:trHeight w:val="26"/>
        </w:trPr>
        <w:tc>
          <w:tcPr>
            <w:tcW w:w="5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As of December 31, 2011, no VAR Plan notional units were exercised or exercisable as no qualifying event had occurred. As of December 31, 2012, no options were exercised. The intrinsic value of the VAR Plan notional units outstanding at December 31, 2011 and the total stock options at December 31, 2012 was approximately $2,100 and $16,700, respectively. No stock options or VAR Plan notional units expired during the years ended December 31, 2011 and 2012. The following is a summary of the Company's non-vested stock options/VAR Plan notional units: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4"/>
          </w:tcPr>
          <w:p>
            <w:pPr>
              <w:jc w:val="center"/>
              <w:ind w:right="1860"/>
              <w:spacing w:after="0"/>
              <w:rPr>
                <w:sz w:val="20"/>
                <w:szCs w:val="20"/>
                <w:color w:val="auto"/>
              </w:rPr>
            </w:pPr>
            <w:r>
              <w:rPr>
                <w:rFonts w:ascii="Arial" w:cs="Arial" w:eastAsia="Arial" w:hAnsi="Arial"/>
                <w:sz w:val="13"/>
                <w:szCs w:val="13"/>
                <w:b w:val="1"/>
                <w:bCs w:val="1"/>
                <w:color w:val="auto"/>
                <w:w w:val="89"/>
              </w:rPr>
              <w:t>Weighted Average</w:t>
            </w:r>
          </w:p>
        </w:tc>
      </w:tr>
      <w:tr>
        <w:trPr>
          <w:trHeight w:val="144"/>
        </w:trPr>
        <w:tc>
          <w:tcPr>
            <w:tcW w:w="1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00" w:type="dxa"/>
            <w:vAlign w:val="bottom"/>
            <w:gridSpan w:val="2"/>
          </w:tcPr>
          <w:p>
            <w:pPr>
              <w:jc w:val="right"/>
              <w:ind w:right="500"/>
              <w:spacing w:after="0" w:line="144" w:lineRule="exact"/>
              <w:rPr>
                <w:sz w:val="20"/>
                <w:szCs w:val="20"/>
                <w:color w:val="auto"/>
              </w:rPr>
            </w:pPr>
            <w:r>
              <w:rPr>
                <w:rFonts w:ascii="Arial" w:cs="Arial" w:eastAsia="Arial" w:hAnsi="Arial"/>
                <w:sz w:val="13"/>
                <w:szCs w:val="13"/>
                <w:b w:val="1"/>
                <w:bCs w:val="1"/>
                <w:color w:val="auto"/>
              </w:rPr>
              <w:t>Plan</w:t>
            </w:r>
          </w:p>
        </w:tc>
        <w:tc>
          <w:tcPr>
            <w:tcW w:w="180" w:type="dxa"/>
            <w:vAlign w:val="bottom"/>
          </w:tcPr>
          <w:p>
            <w:pPr>
              <w:spacing w:after="0"/>
              <w:rPr>
                <w:sz w:val="12"/>
                <w:szCs w:val="12"/>
                <w:color w:val="auto"/>
              </w:rPr>
            </w:pPr>
          </w:p>
        </w:tc>
        <w:tc>
          <w:tcPr>
            <w:tcW w:w="2860" w:type="dxa"/>
            <w:vAlign w:val="bottom"/>
            <w:gridSpan w:val="3"/>
          </w:tcPr>
          <w:p>
            <w:pPr>
              <w:jc w:val="center"/>
              <w:ind w:right="2060"/>
              <w:spacing w:after="0" w:line="144" w:lineRule="exact"/>
              <w:rPr>
                <w:sz w:val="20"/>
                <w:szCs w:val="20"/>
                <w:color w:val="auto"/>
              </w:rPr>
            </w:pPr>
            <w:r>
              <w:rPr>
                <w:rFonts w:ascii="Arial" w:cs="Arial" w:eastAsia="Arial" w:hAnsi="Arial"/>
                <w:sz w:val="13"/>
                <w:szCs w:val="13"/>
                <w:b w:val="1"/>
                <w:bCs w:val="1"/>
                <w:color w:val="auto"/>
                <w:w w:val="96"/>
              </w:rPr>
              <w:t>Grant Date</w:t>
            </w:r>
          </w:p>
        </w:tc>
      </w:tr>
      <w:tr>
        <w:trPr>
          <w:trHeight w:val="157"/>
        </w:trPr>
        <w:tc>
          <w:tcPr>
            <w:tcW w:w="1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w w:val="98"/>
              </w:rPr>
              <w:t>Options/Units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3"/>
              </w:rPr>
              <w:t>Fair Value</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2010</w:t>
            </w:r>
          </w:p>
        </w:tc>
        <w:tc>
          <w:tcPr>
            <w:tcW w:w="2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Units granted</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1,370,500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Units vested</w:t>
            </w:r>
          </w:p>
        </w:tc>
        <w:tc>
          <w:tcPr>
            <w:tcW w:w="2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3360" w:type="dxa"/>
            <w:vAlign w:val="bottom"/>
            <w:gridSpan w:val="3"/>
          </w:tcPr>
          <w:p>
            <w:pPr>
              <w:jc w:val="right"/>
              <w:ind w:right="100"/>
              <w:spacing w:after="0"/>
              <w:rPr>
                <w:sz w:val="20"/>
                <w:szCs w:val="20"/>
                <w:color w:val="auto"/>
              </w:rPr>
            </w:pPr>
            <w:r>
              <w:rPr>
                <w:rFonts w:ascii="Arial" w:cs="Arial" w:eastAsia="Arial" w:hAnsi="Arial"/>
                <w:sz w:val="17"/>
                <w:szCs w:val="17"/>
                <w:color w:val="auto"/>
              </w:rPr>
              <w:t>(26,000)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2011</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Options/Units granted</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418,000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Options/Units vested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(435,939)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Options/Units cancelled or forfeited</w:t>
            </w:r>
          </w:p>
        </w:tc>
        <w:tc>
          <w:tcPr>
            <w:tcW w:w="3360" w:type="dxa"/>
            <w:vAlign w:val="bottom"/>
            <w:gridSpan w:val="3"/>
          </w:tcPr>
          <w:p>
            <w:pPr>
              <w:jc w:val="right"/>
              <w:ind w:right="100"/>
              <w:spacing w:after="0"/>
              <w:rPr>
                <w:sz w:val="20"/>
                <w:szCs w:val="20"/>
                <w:color w:val="auto"/>
              </w:rPr>
            </w:pPr>
            <w:r>
              <w:rPr>
                <w:rFonts w:ascii="Arial" w:cs="Arial" w:eastAsia="Arial" w:hAnsi="Arial"/>
                <w:sz w:val="17"/>
                <w:szCs w:val="17"/>
                <w:color w:val="auto"/>
              </w:rPr>
              <w:t>(70,218)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Unvested options at December 31, 2012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1,256,343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60" w:type="dxa"/>
            <w:vAlign w:val="bottom"/>
            <w:gridSpan w:val="3"/>
          </w:tcPr>
          <w:p>
            <w:pPr>
              <w:jc w:val="right"/>
              <w:ind w:right="2500"/>
              <w:spacing w:after="0"/>
              <w:rPr>
                <w:sz w:val="20"/>
                <w:szCs w:val="20"/>
                <w:color w:val="auto"/>
              </w:rPr>
            </w:pPr>
            <w:r>
              <w:rPr>
                <w:rFonts w:ascii="Arial" w:cs="Arial" w:eastAsia="Arial" w:hAnsi="Arial"/>
                <w:sz w:val="17"/>
                <w:szCs w:val="17"/>
                <w:color w:val="auto"/>
              </w:rPr>
              <w:t>F-27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weighted average assumptions were used in the fair value calculation for the years ended December 31, 2011 and 2012: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55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December 31, 2011</w:t>
            </w: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2012</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160" w:type="dxa"/>
            <w:vAlign w:val="bottom"/>
            <w:shd w:val="clear" w:color="auto" w:fill="CCEEFF"/>
          </w:tcPr>
          <w:p>
            <w:pPr>
              <w:jc w:val="right"/>
              <w:ind w:right="161"/>
              <w:spacing w:after="0"/>
              <w:rPr>
                <w:sz w:val="20"/>
                <w:szCs w:val="20"/>
                <w:color w:val="auto"/>
              </w:rPr>
            </w:pPr>
            <w:r>
              <w:rPr>
                <w:rFonts w:ascii="Arial" w:cs="Arial" w:eastAsia="Arial" w:hAnsi="Arial"/>
                <w:sz w:val="17"/>
                <w:szCs w:val="17"/>
                <w:color w:val="auto"/>
              </w:rPr>
              <w:t>5.5–6.6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65"/>
              <w:spacing w:after="0"/>
              <w:rPr>
                <w:sz w:val="20"/>
                <w:szCs w:val="20"/>
                <w:color w:val="auto"/>
              </w:rPr>
            </w:pPr>
            <w:r>
              <w:rPr>
                <w:rFonts w:ascii="Arial" w:cs="Arial" w:eastAsia="Arial" w:hAnsi="Arial"/>
                <w:sz w:val="17"/>
                <w:szCs w:val="17"/>
                <w:color w:val="auto"/>
              </w:rPr>
              <w:t>5.2–6.3</w:t>
            </w:r>
          </w:p>
        </w:tc>
      </w:tr>
      <w:tr>
        <w:trPr>
          <w:trHeight w:val="210"/>
        </w:trPr>
        <w:tc>
          <w:tcPr>
            <w:tcW w:w="5520" w:type="dxa"/>
            <w:vAlign w:val="bottom"/>
          </w:tcPr>
          <w:p>
            <w:pPr>
              <w:spacing w:after="0"/>
              <w:rPr>
                <w:sz w:val="20"/>
                <w:szCs w:val="20"/>
                <w:color w:val="auto"/>
              </w:rPr>
            </w:pPr>
            <w:r>
              <w:rPr>
                <w:rFonts w:ascii="Arial" w:cs="Arial" w:eastAsia="Arial" w:hAnsi="Arial"/>
                <w:sz w:val="17"/>
                <w:szCs w:val="17"/>
                <w:color w:val="auto"/>
              </w:rPr>
              <w:t>Volatility</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44%–47%</w:t>
            </w:r>
          </w:p>
        </w:tc>
        <w:tc>
          <w:tcPr>
            <w:tcW w:w="1300" w:type="dxa"/>
            <w:vAlign w:val="bottom"/>
            <w:gridSpan w:val="2"/>
          </w:tcPr>
          <w:p>
            <w:pPr>
              <w:jc w:val="right"/>
              <w:ind w:right="105"/>
              <w:spacing w:after="0"/>
              <w:rPr>
                <w:sz w:val="20"/>
                <w:szCs w:val="20"/>
                <w:color w:val="auto"/>
              </w:rPr>
            </w:pPr>
            <w:r>
              <w:rPr>
                <w:rFonts w:ascii="Arial" w:cs="Arial" w:eastAsia="Arial" w:hAnsi="Arial"/>
                <w:sz w:val="17"/>
                <w:szCs w:val="17"/>
                <w:color w:val="auto"/>
              </w:rPr>
              <w:t>49%</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1.0%–1.6%</w:t>
            </w:r>
          </w:p>
        </w:tc>
      </w:tr>
      <w:tr>
        <w:trPr>
          <w:trHeight w:val="216"/>
        </w:trPr>
        <w:tc>
          <w:tcPr>
            <w:tcW w:w="5520" w:type="dxa"/>
            <w:vAlign w:val="bottom"/>
          </w:tcPr>
          <w:p>
            <w:pPr>
              <w:spacing w:after="0"/>
              <w:rPr>
                <w:sz w:val="20"/>
                <w:szCs w:val="20"/>
                <w:color w:val="auto"/>
              </w:rPr>
            </w:pPr>
            <w:r>
              <w:rPr>
                <w:rFonts w:ascii="Arial" w:cs="Arial" w:eastAsia="Arial" w:hAnsi="Arial"/>
                <w:sz w:val="17"/>
                <w:szCs w:val="17"/>
                <w:color w:val="auto"/>
              </w:rPr>
              <w:t>Dividend yield</w:t>
            </w:r>
          </w:p>
        </w:tc>
        <w:tc>
          <w:tcPr>
            <w:tcW w:w="1160" w:type="dxa"/>
            <w:vAlign w:val="bottom"/>
          </w:tcPr>
          <w:p>
            <w:pPr>
              <w:jc w:val="right"/>
              <w:ind w:right="121"/>
              <w:spacing w:after="0"/>
              <w:rPr>
                <w:sz w:val="20"/>
                <w:szCs w:val="20"/>
                <w:color w:val="auto"/>
              </w:rPr>
            </w:pPr>
            <w:r>
              <w:rPr>
                <w:rFonts w:ascii="Arial" w:cs="Arial" w:eastAsia="Arial" w:hAnsi="Arial"/>
                <w:sz w:val="17"/>
                <w:szCs w:val="17"/>
                <w:color w:val="auto"/>
              </w:rPr>
              <w:t>0%</w:t>
            </w:r>
          </w:p>
        </w:tc>
        <w:tc>
          <w:tcPr>
            <w:tcW w:w="1300" w:type="dxa"/>
            <w:vAlign w:val="bottom"/>
            <w:gridSpan w:val="2"/>
          </w:tcPr>
          <w:p>
            <w:pPr>
              <w:jc w:val="right"/>
              <w:ind w:right="105"/>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jc w:val="both"/>
        <w:ind w:firstLine="355"/>
        <w:spacing w:after="0" w:line="281" w:lineRule="auto"/>
        <w:rPr>
          <w:sz w:val="20"/>
          <w:szCs w:val="20"/>
          <w:color w:val="auto"/>
        </w:rPr>
      </w:pPr>
      <w:r>
        <w:rPr>
          <w:rFonts w:ascii="Arial" w:cs="Arial" w:eastAsia="Arial" w:hAnsi="Arial"/>
          <w:sz w:val="16"/>
          <w:szCs w:val="16"/>
          <w:color w:val="auto"/>
        </w:rPr>
        <w:t>Following the Reorganization, the VAR Plan awards were exchanged for options to purchase shares of the Company's common stock having the same time-based vesting schedules, which range from one to six years. The VAR Plan awards that were granted and outstanding as of the Reorganization date were exchanged for options to purchase an aggregate of 1,661,719 shares of common stock of Shutterstock, Inc. As a result of the Reorganization, the Company recognized a non-cash stock-based compensation expense of $2,412, net of estimated forfeitures, in connection with a one-time acceleration charge as a result of the removal of the change of control condition. Since the Reorganization through December 31, 2012, the Company has also recognized a non-cash stock-based compensation expense of $618, net of estimated forfeitures, in connection with the normal service vesting of stock options.</w:t>
      </w:r>
    </w:p>
    <w:p>
      <w:pPr>
        <w:spacing w:after="0" w:line="176"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color w:val="auto"/>
        </w:rPr>
        <w:t>As of December 31, 2012, the total unrecognized compensation charge related to 2012 Plan non-vested options is approximately $7,300, which is expected to be recognized through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Profits Interest Awards</w:t>
      </w:r>
    </w:p>
    <w:p>
      <w:pPr>
        <w:spacing w:after="0" w:line="224"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7"/>
          <w:szCs w:val="17"/>
          <w:color w:val="auto"/>
        </w:rPr>
        <w:t>On June 7, 2007, the Company entered into an Employment Agreement with an executive of the Company whereby the executive received an 8.5% membership interest in the Company in consideration of future services to be rendered over a thirty-six month period starting on July 1, 2007. The Company recorded a compensation charge of $917, which is included in general and administrative, during the year ended December 31, 2010, related to this membership interest award based upon the award's fair market value on the date of grant. There was no compensation charge recorded during the years ended December 31, 2011 and 2012 as the executive was fully vested as of December 31, 2010.</w:t>
      </w:r>
    </w:p>
    <w:p>
      <w:pPr>
        <w:spacing w:after="0" w:line="187" w:lineRule="exact"/>
        <w:rPr>
          <w:sz w:val="20"/>
          <w:szCs w:val="20"/>
          <w:color w:val="auto"/>
        </w:rPr>
      </w:pPr>
    </w:p>
    <w:p>
      <w:pPr>
        <w:jc w:val="both"/>
        <w:ind w:firstLine="409"/>
        <w:spacing w:after="0" w:line="279" w:lineRule="auto"/>
        <w:rPr>
          <w:sz w:val="20"/>
          <w:szCs w:val="20"/>
          <w:color w:val="auto"/>
        </w:rPr>
      </w:pPr>
      <w:r>
        <w:rPr>
          <w:rFonts w:ascii="Arial" w:cs="Arial" w:eastAsia="Arial" w:hAnsi="Arial"/>
          <w:sz w:val="16"/>
          <w:szCs w:val="16"/>
          <w:color w:val="auto"/>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stipulated that the executive would have no rights to allocations or distributions relating to the Company's operating profits. Only upon a Liquidation of the Company, as defined in the Company's operating agreement, would the executive be entitled to operating profits of the Company. In connection with the Reorganization, this membership interest in the LLC was exchanged for shares of the Company's stock, which do not contain a liquidation condition. The award was determined to meet the characteristics of an equity-based award and was measured at fair value on the grant date. Based on the evaluation of the change of control condition in effect on the grant date and through each subsequent reporting period as to the probability that the change of control condition will be achieved, the Company did not record a compensation charge for this award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years ended December 31, 2010 and 2011. Upon consummation of the Reorganization and in connection with the removal of the change of control condition from the Profits Interest Agreement entered with the Company employee, the award was considered vested and the Company recognized a non-cash stock-based compensation expense of $509, which is included in general and administrative expense, during the year ended December 31, 2012. There is no unrecognized compensation charge at December 31, 2012 related to this award.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w:t>
      </w:r>
    </w:p>
    <w:p>
      <w:pPr>
        <w:spacing w:after="0" w:line="224" w:lineRule="exact"/>
        <w:rPr>
          <w:sz w:val="20"/>
          <w:szCs w:val="20"/>
          <w:color w:val="auto"/>
        </w:rPr>
      </w:pPr>
    </w:p>
    <w:p>
      <w:pPr>
        <w:jc w:val="both"/>
        <w:ind w:firstLine="497"/>
        <w:spacing w:after="0" w:line="294" w:lineRule="auto"/>
        <w:rPr>
          <w:sz w:val="20"/>
          <w:szCs w:val="20"/>
          <w:color w:val="auto"/>
        </w:rPr>
      </w:pPr>
      <w:r>
        <w:rPr>
          <w:rFonts w:ascii="Arial" w:cs="Arial" w:eastAsia="Arial" w:hAnsi="Arial"/>
          <w:sz w:val="15"/>
          <w:szCs w:val="15"/>
          <w:color w:val="auto"/>
        </w:rPr>
        <w:t>On August 17, 2010, the Company entered into a Profits Interest Agreement with an executive whereby the Company issued a membership interest in the Company in consideration of future services to be rendered. The Profits Interest Agreement terms stipulated that the executive would have no rights to allocations or distributions relating to the Company's operating profits. Only upon a Liquidation of the Company, as defined in the Company's operating agreement, would the executive be entitled to operating profits of the Company. In connection with the Reorganization, this membership interest in the LLC was exchanged for restricted and unrestricted shares of the Company's stock, which did not contain a liquidation condition. The Profits Interest Agreement was effective as of April 5, 2010 and entitled the executive to an aggregate amount of 4% of any liquidation of the Company's in excess of $300,000. The Profits Interest Grant was to vest over a six year period. The Profits Interest Agreement also contained a put feature whereby the executive had the option to put back to the Company up to 10% annually of any vested portion of the membership interest at the fair value on the date the executive would sell the vested interest back to the Company. Since the put feature did not subject the executive to the typical risks of stock ownership, the membership interest was classified as a liability and recorded utilizing the intrinsic method. The Company's process for determining the fair value of the awards included consideration of third party valuation reports and the fair value determined served as the basis for calculating the compensation charge. The Company recorded a compensation charge of $197, $2,122, and $2,827, which is included in general and administrative expense, during the years ended December 31, 2010, 2011 and 2012, respectively. This liability was re-measured each reporting period until a Liquidation occurred. As of December 31, 2011, the liability charge was included in other non-current liabilities. Upon consummation of the Reorganization, the vested portion of the profits interest was exchanged for shares of common stock of Shutterstock, Inc. and the liability in the amount of $5,147 was re-classed to equity. The unvested portion was exchanged for shares of restricted stock having the same vesting terms as the profits interest. The Amended and Restated Restricted Stock Agreement entered into by the Company with the executive governs the terms of the restricted stock. Pursuant to the terms of the Amended and Restated Restricted Stock Agreement, 50% of the then-outstanding shares of restricted stock held by the executive vested and were released from the Company's right to acquire such shares upon the effectiveness of the Company's Registration Statement on October 10, 2012. The Company recognized a non-cash stock-based compensation expense of $3,627, which is included in general and administrative expense, in connection with a one-time acceleration charge for the vesting of 50% of the unvested portion of the restricted stock award based on the exchange date fair value. Additionally, the Company recorded a non-cash stock-based compensation expense of $258, which is included in general and administrative expense, since the Reorganization date through December 31, 2012 as a result of the restricted stock's normal service vesting.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Equity-Based Compensation (Continued)</w:t>
      </w:r>
    </w:p>
    <w:p>
      <w:pPr>
        <w:spacing w:after="0" w:line="228"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7"/>
          <w:szCs w:val="17"/>
          <w:color w:val="auto"/>
        </w:rPr>
        <w:t>As of December 31, 2012, the total unrecognized compensation charge related to the restricted stock is $3,368, which is expected to be recognized through fiscal 2016.</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non-cash equity-based compensation expense included in the Company's statement of operations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2011 and 2012:</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8"/>
          </w:tcPr>
          <w:p>
            <w:pPr>
              <w:ind w:left="2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6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60" w:type="dxa"/>
            <w:vAlign w:val="bottom"/>
            <w:shd w:val="clear" w:color="auto" w:fill="CCEEFF"/>
          </w:tcPr>
          <w:p>
            <w:pPr>
              <w:spacing w:after="0"/>
              <w:rPr>
                <w:sz w:val="17"/>
                <w:szCs w:val="17"/>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783</w:t>
            </w:r>
          </w:p>
        </w:tc>
        <w:tc>
          <w:tcPr>
            <w:tcW w:w="16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7,687</w:t>
            </w:r>
          </w:p>
        </w:tc>
        <w:tc>
          <w:tcPr>
            <w:tcW w:w="1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10,385</w:t>
            </w:r>
          </w:p>
        </w:tc>
        <w:tc>
          <w:tcPr>
            <w:tcW w:w="160" w:type="dxa"/>
            <w:vAlign w:val="bottom"/>
            <w:shd w:val="clear" w:color="auto" w:fill="CCEEFF"/>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Members' Equity and Stockholders'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Members' Equity</w:t>
      </w:r>
    </w:p>
    <w:p>
      <w:pPr>
        <w:spacing w:after="0" w:line="224" w:lineRule="exact"/>
        <w:rPr>
          <w:sz w:val="20"/>
          <w:szCs w:val="20"/>
          <w:color w:val="auto"/>
        </w:rPr>
      </w:pPr>
    </w:p>
    <w:p>
      <w:pPr>
        <w:jc w:val="both"/>
        <w:ind w:firstLine="468"/>
        <w:spacing w:after="0" w:line="294" w:lineRule="auto"/>
        <w:rPr>
          <w:sz w:val="20"/>
          <w:szCs w:val="20"/>
          <w:color w:val="auto"/>
        </w:rPr>
      </w:pPr>
      <w:r>
        <w:rPr>
          <w:rFonts w:ascii="Arial" w:cs="Arial" w:eastAsia="Arial" w:hAnsi="Arial"/>
          <w:sz w:val="16"/>
          <w:szCs w:val="16"/>
          <w:color w:val="auto"/>
        </w:rPr>
        <w:t>Prior to the Reorganization, common members' equity consisted of common membership interests. Only certain members had voting rights as designated in the LLC's Operating Agreement with respect to any action presented for a vote of the Company's members and only certain members were entitled to profits interest distributions from the Company's earnings. Common membership was not transferable without prior consent from the Company's BOM.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Preferred Members' Equity</w:t>
      </w:r>
    </w:p>
    <w:p>
      <w:pPr>
        <w:spacing w:after="0" w:line="224"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5"/>
          <w:szCs w:val="15"/>
          <w:color w:val="auto"/>
        </w:rPr>
        <w:t>On June 6, 2007, prior to the Reorganization, the Company's then sole stockholder sold 25% of the common members' equity to outside investors for an aggregate purchase price of $60,000. On February 28, 2008, the outside investors paid a purchase price adjustment in the amount of $1,800 to the selling member as a result of the Company achieving an EBITDA Target as defined in the purchase agreement. The outside investors had the same rights and terms as common members' equity holders except for a liquidation preference and a put preference. The put preference provided the outside investors with the option to redeem their investment for cash with proper notice to the Company on June 6, 2011 or thereafter.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concluded that the preferred interest possessed characteristics and risks more similar to equity and classified such instrument outside of common members' equity. Since the preferred members had the option to redeem their investment for cash with proper notice to the Company on June 6, 2011 or thereafter, the Company recorded the transaction outside of common members' equity. The purchase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Members' Equity and Stockholders' Equity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agreement also provided for the reduction of preferred interests for any distributions paid to the preferred holders. A summary of the Company's preferred members' interest account activity is as follows:</w:t>
      </w:r>
    </w:p>
    <w:p>
      <w:pPr>
        <w:sectPr>
          <w:pgSz w:w="11900" w:h="16838" w:orient="portrait"/>
          <w:cols w:equalWidth="0" w:num="1">
            <w:col w:w="11420"/>
          </w:cols>
          <w:pgMar w:left="240" w:top="337" w:right="239" w:bottom="1440" w:gutter="0" w:footer="0" w:header="0"/>
        </w:sectPr>
      </w:pP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as of December 31, 2010</w:t>
      </w:r>
    </w:p>
    <w:p>
      <w:pPr>
        <w:spacing w:after="0" w:line="4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 interest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Distributions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ind w:left="1900"/>
        <w:spacing w:after="0" w:line="231" w:lineRule="auto"/>
        <w:rPr>
          <w:sz w:val="20"/>
          <w:szCs w:val="20"/>
          <w:color w:val="auto"/>
        </w:rPr>
      </w:pPr>
      <w:r>
        <w:rPr>
          <w:rFonts w:ascii="Arial" w:cs="Arial" w:eastAsia="Arial" w:hAnsi="Arial"/>
          <w:sz w:val="17"/>
          <w:szCs w:val="17"/>
          <w:color w:val="auto"/>
        </w:rPr>
        <w:t>Exchanged</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-185420</wp:posOffset>
            </wp:positionV>
            <wp:extent cx="5069840" cy="158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69840" cy="1581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Balance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128270</wp:posOffset>
            </wp:positionV>
            <wp:extent cx="5245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743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ind w:left="280" w:hanging="272"/>
        <w:spacing w:after="0"/>
        <w:tabs>
          <w:tab w:leader="none" w:pos="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36,218</w:t>
      </w:r>
    </w:p>
    <w:p>
      <w:pPr>
        <w:spacing w:after="0" w:line="13"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7,068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(6,475)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4743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36,811</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4,058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4743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33,725</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(9,000)</w:t>
      </w:r>
    </w:p>
    <w:p>
      <w:pPr>
        <w:spacing w:after="0" w:line="48"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(24,725)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4743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4"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4743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43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wp:posOffset>
            </wp:positionV>
            <wp:extent cx="4743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620"/>
          </w:cols>
          <w:pgMar w:left="240" w:top="337" w:right="239" w:bottom="1440" w:gutter="0" w:footer="0" w:header="0"/>
          <w:type w:val="continuous"/>
        </w:sectPr>
      </w:pPr>
    </w:p>
    <w:p>
      <w:pPr>
        <w:spacing w:after="0" w:line="194" w:lineRule="exact"/>
        <w:rPr>
          <w:sz w:val="20"/>
          <w:szCs w:val="20"/>
          <w:color w:val="auto"/>
        </w:rPr>
      </w:pPr>
    </w:p>
    <w:p>
      <w:pPr>
        <w:ind w:left="2240" w:hanging="523"/>
        <w:spacing w:after="0"/>
        <w:tabs>
          <w:tab w:leader="none" w:pos="22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Balance exchanged from redeemable preferred members' interest to stockholders' equity upon consummation of the Reorganization</w:t>
      </w:r>
    </w:p>
    <w:p>
      <w:pPr>
        <w:spacing w:after="0" w:line="205" w:lineRule="exact"/>
        <w:rPr>
          <w:sz w:val="20"/>
          <w:szCs w:val="20"/>
          <w:color w:val="auto"/>
        </w:rPr>
      </w:pPr>
    </w:p>
    <w:p>
      <w:pPr>
        <w:jc w:val="both"/>
        <w:ind w:firstLine="480"/>
        <w:spacing w:after="0" w:line="282" w:lineRule="auto"/>
        <w:rPr>
          <w:sz w:val="20"/>
          <w:szCs w:val="20"/>
          <w:color w:val="auto"/>
        </w:rPr>
      </w:pPr>
      <w:r>
        <w:rPr>
          <w:rFonts w:ascii="Arial" w:cs="Arial" w:eastAsia="Arial" w:hAnsi="Arial"/>
          <w:sz w:val="17"/>
          <w:szCs w:val="17"/>
          <w:color w:val="auto"/>
        </w:rPr>
        <w:t>As of the Reorganization date, the outside investors did not exercise this put preference, therefore, the entire redeemable preferred membership interests in the LLC were exchanged for shares of Shutterstock, Inc.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57"/>
        <w:spacing w:after="0" w:line="279" w:lineRule="auto"/>
        <w:rPr>
          <w:sz w:val="20"/>
          <w:szCs w:val="20"/>
          <w:color w:val="auto"/>
        </w:rPr>
      </w:pPr>
      <w:r>
        <w:rPr>
          <w:rFonts w:ascii="Arial" w:cs="Arial" w:eastAsia="Arial" w:hAnsi="Arial"/>
          <w:sz w:val="16"/>
          <w:szCs w:val="16"/>
          <w:color w:val="auto"/>
        </w:rPr>
        <w:t>In connection with the Reorganization, the common and redeemable preferred membership interests in the LLC, including any interests that vested upon the Reorganization, were exchanged for shares of Shutterstock, Inc. common stock. 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par value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24" w:lineRule="exact"/>
        <w:rPr>
          <w:sz w:val="20"/>
          <w:szCs w:val="20"/>
          <w:color w:val="auto"/>
        </w:rPr>
      </w:pPr>
    </w:p>
    <w:p>
      <w:pPr>
        <w:jc w:val="both"/>
        <w:ind w:firstLine="470"/>
        <w:spacing w:after="0" w:line="315" w:lineRule="auto"/>
        <w:rPr>
          <w:sz w:val="20"/>
          <w:szCs w:val="20"/>
          <w:color w:val="auto"/>
        </w:rPr>
      </w:pPr>
      <w:r>
        <w:rPr>
          <w:rFonts w:ascii="Arial" w:cs="Arial" w:eastAsia="Arial" w:hAnsi="Arial"/>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Members' Equity and Stockholders' Equity (Continued)</w:t>
      </w: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46"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2012, the Company has not issued and has no plans to issue any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Members</w:t>
      </w:r>
    </w:p>
    <w:p>
      <w:pPr>
        <w:spacing w:after="0" w:line="224" w:lineRule="exact"/>
        <w:rPr>
          <w:sz w:val="20"/>
          <w:szCs w:val="20"/>
          <w:color w:val="auto"/>
        </w:rPr>
      </w:pPr>
    </w:p>
    <w:p>
      <w:pPr>
        <w:jc w:val="both"/>
        <w:ind w:firstLine="355"/>
        <w:spacing w:after="0" w:line="297" w:lineRule="auto"/>
        <w:rPr>
          <w:sz w:val="20"/>
          <w:szCs w:val="20"/>
          <w:color w:val="auto"/>
        </w:rPr>
      </w:pPr>
      <w:r>
        <w:rPr>
          <w:rFonts w:ascii="Arial" w:cs="Arial" w:eastAsia="Arial" w:hAnsi="Arial"/>
          <w:sz w:val="15"/>
          <w:szCs w:val="15"/>
          <w:color w:val="auto"/>
        </w:rPr>
        <w:t>In accordance with the LLC's Amended and Restated Limited Liability Company Agreement, prior to the Reorganization, cash distributions to the members were based on their respective percentage interests to the extent cash was available as determined by the board. Distributions were also limited to the extent that liabilities, excluding any owed to the members, exceeded fair market value of the LLC 's assets. Upon a dissolution event of the LLC, any assets were to be distributed 1) to creditors, including members who are creditors, by payment or provision for payment of the debt and liabilities of the LLC and the expenses of the liquidation; 2) to the setup of any reserves that are reasonably necessary for any contingent or unforeseen liabilities or obligations of the LLC; 3) to the preferred members until they have received distributions which, when aggregated with all prior distributions made to them equal their liquidation preference; 4) to Pixel Holdings Inc., which was the LLC's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to the members in proportion to their percentage interests. For the years ended December 31, 2010, 2011 and 2012, the LLC distributed $25,900, $28,575, and $36,000, respectively, to its common and preferred members. Upon consummation of the Reorganization, the LLC's Amended and Restated Limited Liability Company Agreement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Parties</w:t>
      </w:r>
    </w:p>
    <w:p>
      <w:pPr>
        <w:spacing w:after="0" w:line="228"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Historically, customers have inadvertently sent payment for purchased subscriptions to Pixel Holdings Inc., which is wholly owned by the Company's majority stockholder. The Company recognizes revenue in accordance with its revenue recognition policy and collects the receivable from Pixel Holdings Inc. As of December 31, 2011 and 2012, uncollected payments were $168 and $0, respectively, and are included in due from related party.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Unaudited Quarterly Financial Data</w:t>
      </w:r>
    </w:p>
    <w:p>
      <w:pPr>
        <w:spacing w:after="0" w:line="228"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2012.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w w:val="97"/>
              </w:rPr>
              <w:t>Three Months Ended</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99"/>
              </w:rPr>
              <w:t>Mar. 31,</w:t>
            </w:r>
          </w:p>
        </w:tc>
        <w:tc>
          <w:tcPr>
            <w:tcW w:w="80" w:type="dxa"/>
            <w:vAlign w:val="bottom"/>
          </w:tcPr>
          <w:p>
            <w:pPr>
              <w:spacing w:after="0"/>
              <w:rPr>
                <w:sz w:val="11"/>
                <w:szCs w:val="11"/>
                <w:color w:val="auto"/>
              </w:rPr>
            </w:pP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w w:val="89"/>
              </w:rPr>
              <w:t>June. 31,</w:t>
            </w: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9"/>
              </w:rPr>
              <w:t>Sept. 30,</w:t>
            </w:r>
          </w:p>
        </w:tc>
        <w:tc>
          <w:tcPr>
            <w:tcW w:w="100" w:type="dxa"/>
            <w:vAlign w:val="bottom"/>
          </w:tcPr>
          <w:p>
            <w:pPr>
              <w:spacing w:after="0"/>
              <w:rPr>
                <w:sz w:val="11"/>
                <w:szCs w:val="11"/>
                <w:color w:val="auto"/>
              </w:rPr>
            </w:pPr>
          </w:p>
        </w:tc>
        <w:tc>
          <w:tcPr>
            <w:tcW w:w="76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93"/>
              </w:rPr>
              <w:t>Dec. 31,</w:t>
            </w: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99"/>
              </w:rPr>
              <w:t>Mar. 31,</w:t>
            </w: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1"/>
                <w:szCs w:val="11"/>
                <w:color w:val="auto"/>
              </w:rPr>
            </w:pP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w w:val="93"/>
              </w:rPr>
              <w:t>Sept. 30,</w:t>
            </w:r>
          </w:p>
        </w:tc>
        <w:tc>
          <w:tcPr>
            <w:tcW w:w="100" w:type="dxa"/>
            <w:vAlign w:val="bottom"/>
          </w:tcPr>
          <w:p>
            <w:pPr>
              <w:spacing w:after="0"/>
              <w:rPr>
                <w:sz w:val="11"/>
                <w:szCs w:val="11"/>
                <w:color w:val="auto"/>
              </w:rPr>
            </w:pPr>
          </w:p>
        </w:tc>
        <w:tc>
          <w:tcPr>
            <w:tcW w:w="620" w:type="dxa"/>
            <w:vAlign w:val="bottom"/>
          </w:tcPr>
          <w:p>
            <w:pPr>
              <w:jc w:val="right"/>
              <w:ind w:right="75"/>
              <w:spacing w:after="0" w:line="138" w:lineRule="exact"/>
              <w:rPr>
                <w:sz w:val="20"/>
                <w:szCs w:val="20"/>
                <w:color w:val="auto"/>
              </w:rPr>
            </w:pPr>
            <w:r>
              <w:rPr>
                <w:rFonts w:ascii="Arial" w:cs="Arial" w:eastAsia="Arial" w:hAnsi="Arial"/>
                <w:sz w:val="13"/>
                <w:szCs w:val="13"/>
                <w:b w:val="1"/>
                <w:bCs w:val="1"/>
                <w:color w:val="auto"/>
                <w:w w:val="93"/>
              </w:rPr>
              <w:t>Dec.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line="171" w:lineRule="exact"/>
              <w:rPr>
                <w:sz w:val="20"/>
                <w:szCs w:val="20"/>
                <w:color w:val="auto"/>
              </w:rPr>
            </w:pPr>
            <w:r>
              <w:rPr>
                <w:rFonts w:ascii="Arial" w:cs="Arial" w:eastAsia="Arial" w:hAnsi="Arial"/>
                <w:sz w:val="12"/>
                <w:szCs w:val="12"/>
                <w:b w:val="1"/>
                <w:bCs w:val="1"/>
                <w:color w:val="auto"/>
              </w:rPr>
              <w:t>2012</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line="171" w:lineRule="exact"/>
              <w:rPr>
                <w:sz w:val="20"/>
                <w:szCs w:val="20"/>
                <w:color w:val="auto"/>
              </w:rPr>
            </w:pPr>
            <w:r>
              <w:rPr>
                <w:rFonts w:ascii="Arial" w:cs="Arial" w:eastAsia="Arial" w:hAnsi="Arial"/>
                <w:sz w:val="12"/>
                <w:szCs w:val="12"/>
                <w:b w:val="1"/>
                <w:bCs w:val="1"/>
                <w:color w:val="auto"/>
              </w:rPr>
              <w:t>2012</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line="171" w:lineRule="exact"/>
              <w:rPr>
                <w:sz w:val="20"/>
                <w:szCs w:val="20"/>
                <w:color w:val="auto"/>
              </w:rPr>
            </w:pPr>
            <w:r>
              <w:rPr>
                <w:rFonts w:ascii="Arial" w:cs="Arial" w:eastAsia="Arial" w:hAnsi="Arial"/>
                <w:sz w:val="12"/>
                <w:szCs w:val="12"/>
                <w:b w:val="1"/>
                <w:bCs w:val="1"/>
                <w:color w:val="auto"/>
              </w:rPr>
              <w:t>2012</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line="171" w:lineRule="exact"/>
              <w:rPr>
                <w:sz w:val="20"/>
                <w:szCs w:val="20"/>
                <w:color w:val="auto"/>
              </w:rPr>
            </w:pPr>
            <w:r>
              <w:rPr>
                <w:rFonts w:ascii="Arial" w:cs="Arial" w:eastAsia="Arial" w:hAnsi="Arial"/>
                <w:sz w:val="12"/>
                <w:szCs w:val="12"/>
                <w:b w:val="1"/>
                <w:bCs w:val="1"/>
                <w:color w:val="auto"/>
              </w:rPr>
              <w:t>2012</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5"/>
          </w:tcPr>
          <w:p>
            <w:pPr>
              <w:jc w:val="right"/>
              <w:ind w:right="620"/>
              <w:spacing w:after="0" w:line="138" w:lineRule="exact"/>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25,475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28,912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31,156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34,728</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37,574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40,625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49,157</w:t>
            </w:r>
          </w:p>
        </w:tc>
        <w:tc>
          <w:tcPr>
            <w:tcW w:w="0" w:type="dxa"/>
            <w:vAlign w:val="bottom"/>
          </w:tcPr>
          <w:p>
            <w:pPr>
              <w:spacing w:after="0"/>
              <w:rPr>
                <w:sz w:val="1"/>
                <w:szCs w:val="1"/>
                <w:color w:val="auto"/>
              </w:rPr>
            </w:pPr>
          </w:p>
        </w:tc>
      </w:tr>
      <w:tr>
        <w:trPr>
          <w:trHeight w:val="144"/>
        </w:trPr>
        <w:tc>
          <w:tcPr>
            <w:tcW w:w="2320" w:type="dxa"/>
            <w:vAlign w:val="bottom"/>
            <w:gridSpan w:val="2"/>
          </w:tcPr>
          <w:p>
            <w:pPr>
              <w:spacing w:after="0" w:line="144" w:lineRule="exact"/>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10,179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10,977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11,373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12,975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14,389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15,436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16,057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18,794</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Sales &amp; marketing</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6,961</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6,875</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8,493</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9,600</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12,240</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11,093</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9,752</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12,022</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Product development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1,887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2,368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2,811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2,711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3,419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3,441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3,795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5,675</w:t>
            </w:r>
          </w:p>
        </w:tc>
        <w:tc>
          <w:tcPr>
            <w:tcW w:w="0" w:type="dxa"/>
            <w:vAlign w:val="bottom"/>
          </w:tcPr>
          <w:p>
            <w:pPr>
              <w:spacing w:after="0"/>
              <w:rPr>
                <w:sz w:val="1"/>
                <w:szCs w:val="1"/>
                <w:color w:val="auto"/>
              </w:rPr>
            </w:pPr>
          </w:p>
        </w:tc>
      </w:tr>
      <w:tr>
        <w:trPr>
          <w:trHeight w:val="168"/>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3,335</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3,732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4,445</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3,765</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9,709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2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Total operating expenses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21,039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22,505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25,216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28,621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33,780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34,415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33,369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46,200</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4,436</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6,407</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5,940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6,107</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3,794</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6,210</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8,891</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2,957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4,442</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6,408</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5,941</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6,109</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3,797</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6,212</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8,888</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2,908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Provision (benefit) for income tax</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273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(26,111)</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4,253</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6,135</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5,688</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5,788</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3,711</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6,071</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8,742</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29,019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Less: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Preferred interest distributed</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1,875</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1,312</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956</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2,100</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1,688</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2,263</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Preferred interest accretion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1,763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1,730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Undistributed (loss) earnings to</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20" w:type="dxa"/>
            <w:vAlign w:val="bottom"/>
            <w:gridSpan w:val="2"/>
          </w:tcPr>
          <w:p>
            <w:pPr>
              <w:ind w:left="260"/>
              <w:spacing w:after="0"/>
              <w:rPr>
                <w:sz w:val="20"/>
                <w:szCs w:val="20"/>
                <w:color w:val="auto"/>
              </w:rPr>
            </w:pPr>
            <w:r>
              <w:rPr>
                <w:rFonts w:ascii="Arial" w:cs="Arial" w:eastAsia="Arial" w:hAnsi="Arial"/>
                <w:sz w:val="13"/>
                <w:szCs w:val="13"/>
                <w:color w:val="auto"/>
                <w:w w:val="99"/>
              </w:rPr>
              <w:t>participating stockholders/members</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(1,253)</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(1,899)</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(1,172)</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(2,668)</w:t>
            </w: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Net income available to common</w:t>
            </w: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stockholders/members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28,737</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Net income (loss) per basic share</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available to 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stockholders/members: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Distributed</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68"/>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Undistributed</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(0.18)</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(0.27)</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(0.17)</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2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0.09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0.16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Net income (loss) per diluted share</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available to 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stockholders/members: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Distributed</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68"/>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Undistributed</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(0.18)</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(0.27)</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(0.17)</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2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0.09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0.16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Weighted average shares outstanding:</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2"/>
              </w:rPr>
              <w:t>20,849,242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2"/>
              </w:rPr>
              <w:t>20,849,242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2"/>
              </w:rPr>
              <w:t>32,497,727</w:t>
            </w:r>
          </w:p>
        </w:tc>
        <w:tc>
          <w:tcPr>
            <w:tcW w:w="0" w:type="dxa"/>
            <w:vAlign w:val="bottom"/>
          </w:tcPr>
          <w:p>
            <w:pPr>
              <w:spacing w:after="0"/>
              <w:rPr>
                <w:sz w:val="1"/>
                <w:szCs w:val="1"/>
                <w:color w:val="auto"/>
              </w:rPr>
            </w:pPr>
          </w:p>
        </w:tc>
      </w:tr>
      <w:tr>
        <w:trPr>
          <w:trHeight w:val="165"/>
        </w:trPr>
        <w:tc>
          <w:tcPr>
            <w:tcW w:w="232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20,849,242</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20,849,242</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32,681,570</w:t>
            </w:r>
          </w:p>
        </w:tc>
        <w:tc>
          <w:tcPr>
            <w:tcW w:w="0" w:type="dxa"/>
            <w:vAlign w:val="bottom"/>
          </w:tcPr>
          <w:p>
            <w:pPr>
              <w:spacing w:after="0"/>
              <w:rPr>
                <w:sz w:val="1"/>
                <w:szCs w:val="1"/>
                <w:color w:val="auto"/>
              </w:rPr>
            </w:pPr>
          </w:p>
        </w:tc>
      </w:tr>
      <w:tr>
        <w:trPr>
          <w:trHeight w:val="84"/>
        </w:trPr>
        <w:tc>
          <w:tcPr>
            <w:tcW w:w="106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Certain interim period balances have been reclassified within total operating expenses to conform to current period presentation.</w:t>
      </w:r>
    </w:p>
    <w:p>
      <w:pPr>
        <w:spacing w:after="0" w:line="125" w:lineRule="exact"/>
        <w:rPr>
          <w:rFonts w:ascii="Arial" w:cs="Arial" w:eastAsia="Arial" w:hAnsi="Arial"/>
          <w:sz w:val="13"/>
          <w:szCs w:val="13"/>
          <w:color w:val="auto"/>
        </w:rPr>
      </w:pPr>
    </w:p>
    <w:p>
      <w:pPr>
        <w:jc w:val="both"/>
        <w:ind w:left="1680" w:hanging="533"/>
        <w:spacing w:after="0" w:line="243" w:lineRule="auto"/>
        <w:tabs>
          <w:tab w:leader="none" w:pos="16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During the fourth quarter of fiscal year 2012, the Company identified an under-accrual in each of the prior quarters of 2012 related to non-income tax expense. As a result, the Company recorded an incremental charge of approximately $900 to general and administrative expense during the fourth quarter of 2012. The Company does not believe the adjustment is material to the fourth quarter or any previously reported periods.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0" w:type="dxa"/>
            <w:vAlign w:val="bottom"/>
          </w:tcPr>
          <w:p>
            <w:pPr>
              <w:spacing w:after="0"/>
              <w:rPr>
                <w:sz w:val="13"/>
                <w:szCs w:val="13"/>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7"/>
              <w:spacing w:after="0" w:line="138" w:lineRule="exact"/>
              <w:rPr>
                <w:sz w:val="20"/>
                <w:szCs w:val="20"/>
                <w:color w:val="auto"/>
              </w:rPr>
            </w:pPr>
            <w:r>
              <w:rPr>
                <w:rFonts w:ascii="Arial" w:cs="Arial" w:eastAsia="Arial" w:hAnsi="Arial"/>
                <w:sz w:val="13"/>
                <w:szCs w:val="13"/>
                <w:b w:val="1"/>
                <w:bCs w:val="1"/>
                <w:color w:val="auto"/>
                <w:w w:val="90"/>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102,096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112,803</w:t>
            </w: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Arial" w:cs="Arial" w:eastAsia="Arial" w:hAnsi="Arial"/>
                <w:sz w:val="17"/>
                <w:szCs w:val="17"/>
                <w:color w:val="auto"/>
              </w:rPr>
              <w:t>Credit card receivables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2,442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4,435</w:t>
            </w: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6,598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assets, net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22,340</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5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125,975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148,618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6,778</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Deferred tax assets, net</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13,239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12,786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3,213</w:t>
            </w: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15,606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16,857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Contributor royalties payable</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8,142</w:t>
            </w: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37,934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46,736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Term loan facility</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69,291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75,106</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7"/>
                <w:szCs w:val="17"/>
                <w:color w:val="auto"/>
              </w:rPr>
              <w:t>Other non-current liabilities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1,840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70,180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76,946</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180"/>
              <w:spacing w:after="0"/>
              <w:rPr>
                <w:sz w:val="20"/>
                <w:szCs w:val="20"/>
                <w:color w:val="auto"/>
              </w:rPr>
            </w:pPr>
            <w:r>
              <w:rPr>
                <w:rFonts w:ascii="Arial" w:cs="Arial" w:eastAsia="Arial" w:hAnsi="Arial"/>
                <w:sz w:val="17"/>
                <w:szCs w:val="17"/>
                <w:color w:val="auto"/>
              </w:rPr>
              <w:t>Commitments and contingencies (Note 8)</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00" w:type="dxa"/>
            <w:vAlign w:val="bottom"/>
          </w:tcPr>
          <w:p>
            <w:pPr>
              <w:ind w:left="360"/>
              <w:spacing w:after="0"/>
              <w:rPr>
                <w:sz w:val="20"/>
                <w:szCs w:val="20"/>
                <w:color w:val="auto"/>
              </w:rPr>
            </w:pPr>
            <w:r>
              <w:rPr>
                <w:rFonts w:ascii="Arial" w:cs="Arial" w:eastAsia="Arial" w:hAnsi="Arial"/>
                <w:sz w:val="17"/>
                <w:szCs w:val="17"/>
                <w:color w:val="auto"/>
              </w:rPr>
              <w:t>Common stock, $0.01 par value; 200,000 shares authorized; 33,513 and 33,692 shares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0" w:type="dxa"/>
            <w:vAlign w:val="bottom"/>
          </w:tcPr>
          <w:p>
            <w:pPr>
              <w:ind w:left="540"/>
              <w:spacing w:after="0"/>
              <w:rPr>
                <w:sz w:val="20"/>
                <w:szCs w:val="20"/>
                <w:color w:val="auto"/>
              </w:rPr>
            </w:pPr>
            <w:r>
              <w:rPr>
                <w:rFonts w:ascii="Arial" w:cs="Arial" w:eastAsia="Arial" w:hAnsi="Arial"/>
                <w:sz w:val="17"/>
                <w:szCs w:val="17"/>
                <w:color w:val="auto"/>
              </w:rPr>
              <w:t>outstanding as of December 31, 2012 and June 30, 2013, respectively</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54,520</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28,317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40,745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stockholders' equity</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76,934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95,602</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18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Unaudited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for share and per share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ind w:left="4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8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7"/>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78,199</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107,926</w:t>
            </w:r>
          </w:p>
        </w:tc>
        <w:tc>
          <w:tcPr>
            <w:tcW w:w="0" w:type="dxa"/>
            <w:vAlign w:val="bottom"/>
          </w:tcPr>
          <w:p>
            <w:pPr>
              <w:spacing w:after="0"/>
              <w:rPr>
                <w:sz w:val="1"/>
                <w:szCs w:val="1"/>
                <w:color w:val="auto"/>
              </w:rPr>
            </w:pPr>
          </w:p>
        </w:tc>
      </w:tr>
      <w:tr>
        <w:trPr>
          <w:trHeight w:val="418"/>
        </w:trPr>
        <w:tc>
          <w:tcPr>
            <w:tcW w:w="68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29,825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41,589</w:t>
            </w: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23,333</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25,292</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6,860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9,615</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8,177</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10,514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68,195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87,010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10,004</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10,009</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8,496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Preferred interest distributed</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3,788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Undistributed (loss) earnings to participating stockholder/members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Net income available to common stockholders/members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7,336</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 (loss) per basic share available to common stockholders/members: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Distributed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0.54</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Undistributed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 (loss) per diluted share available to common stockholders/members: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Distributed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0.54</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Undistributed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shares outstanding:</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20,849,242</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33,435,439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20,849,242</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1"/>
              </w:rPr>
              <w:t>33,903,898</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Unaudited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9,782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12,428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1,160</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1,725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(3,127)</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Non-cash equity-based compensation</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2,157</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 from the exercise of stock options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Bad debt reserve</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Chargeback reserve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Amortization of deferred financing fees</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Credit card receivable</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(524)</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(2,941)</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Prepaid expenses and other current and non-current assets</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(2,076)</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Due from member</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Accounts payable and other liabilities</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2,351</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Contributors royalties payable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1,158</w:t>
            </w:r>
          </w:p>
        </w:tc>
        <w:tc>
          <w:tcPr>
            <w:tcW w:w="0" w:type="dxa"/>
            <w:vAlign w:val="bottom"/>
          </w:tcPr>
          <w:p>
            <w:pPr>
              <w:spacing w:after="0"/>
              <w:rPr>
                <w:sz w:val="1"/>
                <w:szCs w:val="1"/>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5,175</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8,802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17,814</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(2,986)</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Acquisition of patents</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Security deposit receipt (payment)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34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2,681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 from the exercise of stock options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10"/>
        </w:trPr>
        <w:tc>
          <w:tcPr>
            <w:tcW w:w="7300" w:type="dxa"/>
            <w:vAlign w:val="bottom"/>
          </w:tcPr>
          <w:p>
            <w:pPr>
              <w:ind w:left="160"/>
              <w:spacing w:after="0"/>
              <w:rPr>
                <w:sz w:val="20"/>
                <w:szCs w:val="20"/>
                <w:color w:val="auto"/>
              </w:rPr>
            </w:pPr>
            <w:r>
              <w:rPr>
                <w:rFonts w:ascii="Arial" w:cs="Arial" w:eastAsia="Arial" w:hAnsi="Arial"/>
                <w:sz w:val="17"/>
                <w:szCs w:val="17"/>
                <w:color w:val="auto"/>
              </w:rPr>
              <w:t>Payment of term loan</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of offering fees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7"/>
                <w:szCs w:val="17"/>
                <w:color w:val="auto"/>
              </w:rPr>
              <w:t>Members' distributions</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(15,151)</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(15,151)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(2,330)</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14,097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102,096</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equivalents—Ending</w:t>
            </w: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15,042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112,803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Supplemental Disclosure of Cash Information:</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14,194</w:t>
            </w:r>
          </w:p>
        </w:tc>
        <w:tc>
          <w:tcPr>
            <w:tcW w:w="0" w:type="dxa"/>
            <w:vAlign w:val="bottom"/>
          </w:tcPr>
          <w:p>
            <w:pPr>
              <w:spacing w:after="0"/>
              <w:rPr>
                <w:sz w:val="1"/>
                <w:szCs w:val="1"/>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7"/>
                <w:szCs w:val="17"/>
                <w:color w:val="auto"/>
              </w:rPr>
              <w:t>Interest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Unaudited Consolidated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71" w:name="page172"/>
    <w:bookmarkEnd w:id="171"/>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24"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Operations</w:t>
      </w:r>
    </w:p>
    <w:p>
      <w:pPr>
        <w:spacing w:after="0" w:line="224"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Shutterstock, Inc. (the "Company" or "Shutterstock") operates an industry-leading global marketplace for commercial digital imagery. Commercial digital imagery consists of licensed photographs, illustrations and video clips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maintains its primary office location in New York City.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1"/>
        <w:spacing w:after="0" w:line="301" w:lineRule="auto"/>
        <w:rPr>
          <w:sz w:val="20"/>
          <w:szCs w:val="20"/>
          <w:color w:val="auto"/>
        </w:rPr>
      </w:pPr>
      <w:r>
        <w:rPr>
          <w:rFonts w:ascii="Arial" w:cs="Arial" w:eastAsia="Arial" w:hAnsi="Arial"/>
          <w:sz w:val="15"/>
          <w:szCs w:val="15"/>
          <w:color w:val="auto"/>
        </w:rPr>
        <w:t>The interim consolidated balance sheet as of June 30, 2013, the consolidated statements of operations for the six months ended June 30, 2012 and 2013, and the consolidated statements of cash flows for the six months ended June 30, 2012 and 2013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2013, its results of consolidated operations for the six months ended June 30, 2012 and 2013, and its results of consolidated cash flows for the six months ended June 30, 2012 and 2013. The financial data and the other financial information disclosed in these notes to the financial statements related to these periods are also unaudited. The results of operations for the six months ended June 30, 2013 are not necessarily indicative of the results to be expected for the year ending December 31, 2013 or for any other future annual or interim period.</w:t>
      </w:r>
    </w:p>
    <w:p>
      <w:pPr>
        <w:spacing w:after="0" w:line="164" w:lineRule="exact"/>
        <w:rPr>
          <w:sz w:val="20"/>
          <w:szCs w:val="20"/>
          <w:color w:val="auto"/>
        </w:rPr>
      </w:pPr>
    </w:p>
    <w:p>
      <w:pPr>
        <w:jc w:val="both"/>
        <w:ind w:firstLine="378"/>
        <w:spacing w:after="0" w:line="262" w:lineRule="auto"/>
        <w:rPr>
          <w:sz w:val="20"/>
          <w:szCs w:val="20"/>
          <w:color w:val="auto"/>
        </w:rPr>
      </w:pPr>
      <w:r>
        <w:rPr>
          <w:rFonts w:ascii="Arial" w:cs="Arial" w:eastAsia="Arial" w:hAnsi="Arial"/>
          <w:sz w:val="17"/>
          <w:szCs w:val="17"/>
          <w:color w:val="auto"/>
        </w:rPr>
        <w:t>There have been no changes in the significant accounting policies from those that were disclosed in Note 1 to the Company's Consolidated Financial Statements included elsewhere in this prospectus. These financial statements should also be read in conjunction with the audited Consolidated Financial Statements and Notes thereto for the year ended December 31, 2012. Certain information and note disclosures normally included in the financial statements prepared in accordance with generally accepted accounting principles ("GAAP") have been omitted pursuant to the rules and regulations of the Securities and Exchange Commission (the "SEC"). The consolidated balance sheet as of December 31, 2012 included herein was derived from the audited financial statements as of that date, but does not include all disclosures required by GAAP.</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w:t>
      </w:r>
    </w:p>
    <w:p>
      <w:pPr>
        <w:spacing w:after="0" w:line="224" w:lineRule="exact"/>
        <w:rPr>
          <w:sz w:val="20"/>
          <w:szCs w:val="20"/>
          <w:color w:val="auto"/>
        </w:rPr>
      </w:pPr>
    </w:p>
    <w:p>
      <w:pPr>
        <w:jc w:val="both"/>
        <w:ind w:firstLine="344"/>
        <w:spacing w:after="0" w:line="263" w:lineRule="auto"/>
        <w:rPr>
          <w:sz w:val="20"/>
          <w:szCs w:val="20"/>
          <w:color w:val="auto"/>
        </w:rPr>
      </w:pPr>
      <w:r>
        <w:rPr>
          <w:rFonts w:ascii="Arial" w:cs="Arial" w:eastAsia="Arial" w:hAnsi="Arial"/>
          <w:sz w:val="17"/>
          <w:szCs w:val="17"/>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 the LLC. On October 5, 2012, the LLC reorganized, by way of a merger of the LLC with and into Shutterstock, Inc. with Shutterstock, Inc. surviving in the merger (the "Reorganization"). In connection with this Reorganization, the preferred and common membership interests in the LLC, including any interests that vested upon the Reorganization, were exchanged for shares of Shutterstock, Inc. common stock and the outstanding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appreciation rights of the LLC were exchanged for options to purchase shares of common stock of Shutterstock,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56"/>
        <w:spacing w:after="0" w:line="280"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62"/>
        <w:spacing w:after="0" w:line="270" w:lineRule="auto"/>
        <w:rPr>
          <w:sz w:val="20"/>
          <w:szCs w:val="20"/>
          <w:color w:val="auto"/>
        </w:rPr>
      </w:pPr>
      <w:r>
        <w:rPr>
          <w:rFonts w:ascii="Arial" w:cs="Arial" w:eastAsia="Arial" w:hAnsi="Arial"/>
          <w:sz w:val="17"/>
          <w:szCs w:val="17"/>
          <w:color w:val="auto"/>
        </w:rPr>
        <w:t>The Company considers all highly liquid securities with original maturities of three months or less when acquired to be cash equivalents. Cash primarily consists of balances in checking, savings and money market accounts. The account balances are recorded at cost, which approximates fair value because of the short-term nature of the accounts, and are considered a Level 1 measurement based on bank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5"/>
        <w:spacing w:after="0" w:line="298" w:lineRule="auto"/>
        <w:rPr>
          <w:sz w:val="20"/>
          <w:szCs w:val="20"/>
          <w:color w:val="auto"/>
        </w:rPr>
      </w:pPr>
      <w:r>
        <w:rPr>
          <w:rFonts w:ascii="Arial" w:cs="Arial" w:eastAsia="Arial" w:hAnsi="Arial"/>
          <w:sz w:val="15"/>
          <w:szCs w:val="15"/>
          <w:color w:val="auto"/>
        </w:rPr>
        <w:t>All revenue, net of refunds, is generated from the license of digital content through subscription or usage based plans. The Company's four plans are: subscription plans, On Demand plans, Pay As You Go, and credit pack plans. The Company recognizes revenue when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2012 and June 30, 2013, the Company has recorded a chargeback allowance of $70 and $90,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66" w:lineRule="exact"/>
        <w:rPr>
          <w:sz w:val="20"/>
          <w:szCs w:val="20"/>
          <w:color w:val="auto"/>
        </w:rPr>
      </w:pPr>
    </w:p>
    <w:p>
      <w:pPr>
        <w:jc w:val="both"/>
        <w:ind w:firstLine="483"/>
        <w:spacing w:after="0" w:line="265"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term. Pay As You Go plans provide for individual image download. The Company recognizes Pay As You Go revenue as the customer downloads images.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 from its four types of plans on a gross basis in accordance with Financial Accounting Standards Board ("FASB") Accounting Standards Codification ("ASC") 605-45, "Principal Agent Considerations," as the Company is the primary obligor in the arrangement, has latitude in establishing the product's price, performs a detailed review of the digital content before accepting it to its collection to ensure it is of high quality before it may be purchased by its customers, can reject contributor's images in its sole discretion, and has credit risk.</w:t>
      </w:r>
    </w:p>
    <w:p>
      <w:pPr>
        <w:spacing w:after="0" w:line="163"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85"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auto"/>
        </w:rPr>
        <w:t>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"Principle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7"/>
          <w:szCs w:val="17"/>
          <w:color w:val="auto"/>
        </w:rPr>
        <w:t>Between June 7, 2007 and October 5, 2012, the Company was organized as a limited liability company. Beginning in 2011, the Company granted equity rights similar to options under its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the Company's 2012 Omnibus Equity Incentive Plan (the "2012 Plan").</w:t>
      </w:r>
    </w:p>
    <w:p>
      <w:pPr>
        <w:spacing w:after="0" w:line="190" w:lineRule="exact"/>
        <w:rPr>
          <w:sz w:val="20"/>
          <w:szCs w:val="20"/>
          <w:color w:val="auto"/>
        </w:rPr>
      </w:pPr>
    </w:p>
    <w:p>
      <w:pPr>
        <w:jc w:val="both"/>
        <w:ind w:firstLine="390"/>
        <w:spacing w:after="0" w:line="352" w:lineRule="auto"/>
        <w:rPr>
          <w:sz w:val="20"/>
          <w:szCs w:val="20"/>
          <w:color w:val="auto"/>
        </w:rPr>
      </w:pPr>
      <w:r>
        <w:rPr>
          <w:rFonts w:ascii="Arial" w:cs="Arial" w:eastAsia="Arial" w:hAnsi="Arial"/>
          <w:sz w:val="15"/>
          <w:szCs w:val="15"/>
          <w:color w:val="auto"/>
        </w:rPr>
        <w:t>The Company measures and recognizes non-cash equity-based compensation expense for all equity-based payment awards based on estimated fair values at the date awards are granted. The value portion of the award that is ultimately expected to vest is recognized as expense over the requisite service period. For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63"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The Company uses the Black-Scholes option-pricing model to determine the fair value of stock options and other equity-based awards granted pursuant to the 2012 Plan, stock purchased pursuant to the Employee Stock Purchase Plan ("2012 ESPP") and the VAR Plan awards, which are discussed further in Note 10, Equity-Based Compensation.</w:t>
      </w:r>
    </w:p>
    <w:p>
      <w:pPr>
        <w:spacing w:after="0" w:line="179" w:lineRule="exact"/>
        <w:rPr>
          <w:sz w:val="20"/>
          <w:szCs w:val="20"/>
          <w:color w:val="auto"/>
        </w:rPr>
      </w:pPr>
    </w:p>
    <w:p>
      <w:pPr>
        <w:jc w:val="both"/>
        <w:ind w:firstLine="473"/>
        <w:spacing w:after="0" w:line="265" w:lineRule="auto"/>
        <w:rPr>
          <w:sz w:val="20"/>
          <w:szCs w:val="20"/>
          <w:color w:val="auto"/>
        </w:rPr>
      </w:pPr>
      <w:r>
        <w:rPr>
          <w:rFonts w:ascii="Arial" w:cs="Arial" w:eastAsia="Arial" w:hAnsi="Arial"/>
          <w:sz w:val="17"/>
          <w:szCs w:val="17"/>
          <w:color w:val="auto"/>
        </w:rPr>
        <w:t>The determination of the grant date fair value using an option-pricing model requires judgment as well as assumptions regarding a number of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99" w:lineRule="exact"/>
        <w:rPr>
          <w:sz w:val="20"/>
          <w:szCs w:val="20"/>
          <w:color w:val="auto"/>
        </w:rPr>
      </w:pPr>
    </w:p>
    <w:p>
      <w:pPr>
        <w:jc w:val="both"/>
        <w:ind w:left="1060" w:hanging="531"/>
        <w:spacing w:after="0" w:line="296"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Membership Unit. </w:t>
      </w:r>
      <w:r>
        <w:rPr>
          <w:rFonts w:ascii="Arial" w:cs="Arial" w:eastAsia="Arial" w:hAnsi="Arial"/>
          <w:sz w:val="15"/>
          <w:szCs w:val="15"/>
          <w:color w:val="auto"/>
        </w:rPr>
        <w:t>Prior to completion of the IPO, the Company's fair value of common ownership interest was estimated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internally and approved by the Board of Managers ("BOM") because the Company was not publicly traded. The Company's intention upon granting VAR Plan awards was for the granted award to have an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w:t>
      </w:r>
      <w:r>
        <w:rPr>
          <w:rFonts w:ascii="Arial" w:cs="Arial" w:eastAsia="Arial" w:hAnsi="Arial"/>
          <w:sz w:val="15"/>
          <w:szCs w:val="15"/>
          <w:color w:val="auto"/>
        </w:rPr>
        <w:t xml:space="preserve"> </w:t>
      </w:r>
      <w:r>
        <w:rPr>
          <w:rFonts w:ascii="Arial" w:cs="Arial" w:eastAsia="Arial" w:hAnsi="Arial"/>
          <w:sz w:val="15"/>
          <w:szCs w:val="15"/>
          <w:i w:val="1"/>
          <w:iCs w:val="1"/>
          <w:color w:val="auto"/>
        </w:rPr>
        <w:t>Intangible Asset</w:t>
      </w:r>
      <w:r>
        <w:rPr>
          <w:rFonts w:ascii="Arial" w:cs="Arial" w:eastAsia="Arial" w:hAnsi="Arial"/>
          <w:sz w:val="15"/>
          <w:szCs w:val="15"/>
          <w:color w:val="auto"/>
        </w:rPr>
        <w:t>. The assumptions used in the valuation model were based on future expectations combined with the Company's judgment.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equity-based awards is based on the closing price of the Company's common stock on the NYSE on the date of grant and fair value for all other purposes related to equity-based awards shall be the closing price of the Company's common stock on the NYSE on the relevant date.</w:t>
      </w:r>
    </w:p>
    <w:p>
      <w:pPr>
        <w:spacing w:after="0" w:line="200" w:lineRule="exact"/>
        <w:rPr>
          <w:rFonts w:ascii="Arial" w:cs="Arial" w:eastAsia="Arial" w:hAnsi="Arial"/>
          <w:sz w:val="15"/>
          <w:szCs w:val="15"/>
          <w:color w:val="auto"/>
        </w:rPr>
      </w:pPr>
    </w:p>
    <w:p>
      <w:pPr>
        <w:spacing w:after="0" w:line="204" w:lineRule="exact"/>
        <w:rPr>
          <w:rFonts w:ascii="Arial" w:cs="Arial" w:eastAsia="Arial" w:hAnsi="Arial"/>
          <w:sz w:val="15"/>
          <w:szCs w:val="15"/>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expected term was estimated using the simplified method allowed under SEC guidance.</w:t>
      </w:r>
    </w:p>
    <w:p>
      <w:pPr>
        <w:spacing w:after="0" w:line="237"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Volatility. </w:t>
      </w:r>
      <w:r>
        <w:rPr>
          <w:rFonts w:ascii="Arial" w:cs="Arial" w:eastAsia="Arial" w:hAnsi="Arial"/>
          <w:sz w:val="15"/>
          <w:szCs w:val="15"/>
          <w:color w:val="auto"/>
        </w:rPr>
        <w:t>As the Company did not have a trading history for its common ownership interest pre-IPO and does not have a significant trading history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common stock post-IPO, the expected price volatility for the common ownership interests and common stock was estimated by taking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left="1060"/>
        <w:spacing w:after="0" w:line="261" w:lineRule="auto"/>
        <w:rPr>
          <w:sz w:val="20"/>
          <w:szCs w:val="20"/>
          <w:color w:val="auto"/>
        </w:rPr>
      </w:pPr>
      <w:r>
        <w:rPr>
          <w:rFonts w:ascii="Arial" w:cs="Arial" w:eastAsia="Arial" w:hAnsi="Arial"/>
          <w:sz w:val="17"/>
          <w:szCs w:val="17"/>
          <w:color w:val="auto"/>
        </w:rPr>
        <w:t>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203" w:lineRule="exact"/>
        <w:rPr>
          <w:sz w:val="20"/>
          <w:szCs w:val="20"/>
          <w:color w:val="auto"/>
        </w:rPr>
      </w:pPr>
    </w:p>
    <w:p>
      <w:pPr>
        <w:ind w:left="1060" w:hanging="531"/>
        <w:spacing w:after="0" w:line="282"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group.</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Dividend Yield. </w:t>
      </w:r>
      <w:r>
        <w:rPr>
          <w:rFonts w:ascii="Arial" w:cs="Arial" w:eastAsia="Arial" w:hAnsi="Arial"/>
          <w:sz w:val="17"/>
          <w:szCs w:val="17"/>
          <w:color w:val="auto"/>
        </w:rPr>
        <w:t>The Company has historically paid cash dividends or distributions to its members. Post-IPO, the Company does not intend to pay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or distributions in the foreseeable future. As a result, the Company uses an expected dividend yield of zero.</w:t>
      </w:r>
    </w:p>
    <w:p>
      <w:pPr>
        <w:spacing w:after="0" w:line="170" w:lineRule="exact"/>
        <w:rPr>
          <w:sz w:val="20"/>
          <w:szCs w:val="20"/>
          <w:color w:val="auto"/>
        </w:rPr>
      </w:pPr>
    </w:p>
    <w:p>
      <w:pPr>
        <w:jc w:val="both"/>
        <w:ind w:firstLine="361"/>
        <w:spacing w:after="0" w:line="299" w:lineRule="auto"/>
        <w:rPr>
          <w:sz w:val="20"/>
          <w:szCs w:val="20"/>
          <w:color w:val="auto"/>
        </w:rPr>
      </w:pPr>
      <w:r>
        <w:rPr>
          <w:rFonts w:ascii="Arial" w:cs="Arial" w:eastAsia="Arial" w:hAnsi="Arial"/>
          <w:sz w:val="15"/>
          <w:szCs w:val="15"/>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which do not include a change of control condition. As of June 30, 2012, no equity-based compensation expense related to the VAR Plan awards had been recognized because the qualifying event had not occurred. As a result of the completion of the IPO, the Company began recording share-based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64" w:lineRule="exact"/>
        <w:rPr>
          <w:sz w:val="20"/>
          <w:szCs w:val="20"/>
          <w:color w:val="auto"/>
        </w:rPr>
      </w:pPr>
    </w:p>
    <w:p>
      <w:pPr>
        <w:jc w:val="both"/>
        <w:ind w:firstLine="488"/>
        <w:spacing w:after="0" w:line="315" w:lineRule="auto"/>
        <w:rPr>
          <w:sz w:val="20"/>
          <w:szCs w:val="20"/>
          <w:color w:val="auto"/>
        </w:rPr>
      </w:pPr>
      <w:r>
        <w:rPr>
          <w:rFonts w:ascii="Arial" w:cs="Arial" w:eastAsia="Arial" w:hAnsi="Arial"/>
          <w:sz w:val="16"/>
          <w:szCs w:val="16"/>
          <w:color w:val="auto"/>
        </w:rPr>
        <w:t>For any equity-based awards that qualified for liability classification pre-IPO, the Company elected to use the intrinsic value method to value the common membership interest in accordance with authoritative guidance on stock compensation. See Note 10, Equity-Based Compensation,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7"/>
          <w:szCs w:val="17"/>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 were subject to income tax on their allocated share of the Company's earnings. However, the Company was subject to taxation on allocable portions of its net income or other taxes based on various methodologies employed by taxing authorities in certain localities. The Company generally made monthly dividend distributions to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members under the terms of the LLC's operating agreement, subject to the Company's operating cash needs.</w:t>
      </w:r>
    </w:p>
    <w:p>
      <w:pPr>
        <w:spacing w:after="0" w:line="224"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Effective with the Reorganization, the Company became a Delaware corporation, and therefore became subject to federal and state tax expense after October 5, 2012. As a result of this tax status change, the Company recorded an incremental net deferred tax asset and a one-time non-cash tax benefit of approximately $28,811 in the fourth quarter of the fiscal year ended December 31, 2012.</w:t>
      </w:r>
    </w:p>
    <w:p>
      <w:pPr>
        <w:spacing w:after="0" w:line="179" w:lineRule="exact"/>
        <w:rPr>
          <w:sz w:val="20"/>
          <w:szCs w:val="20"/>
          <w:color w:val="auto"/>
        </w:rPr>
      </w:pPr>
    </w:p>
    <w:p>
      <w:pPr>
        <w:jc w:val="both"/>
        <w:ind w:firstLine="431"/>
        <w:spacing w:after="0" w:line="270" w:lineRule="auto"/>
        <w:rPr>
          <w:sz w:val="20"/>
          <w:szCs w:val="20"/>
          <w:color w:val="auto"/>
        </w:rPr>
      </w:pPr>
      <w:r>
        <w:rPr>
          <w:rFonts w:ascii="Arial" w:cs="Arial" w:eastAsia="Arial" w:hAnsi="Arial"/>
          <w:sz w:val="17"/>
          <w:szCs w:val="17"/>
          <w:color w:val="auto"/>
        </w:rPr>
        <w:t>The Company filed tax returns as a partnership for the period from January 1, 2012 through October 5, 2012 and will file tax returns as a corporation for the period from October 6, 2012 through December 31, 2012 and all periods thereafter. Significant management judgment is required in projecting ordinary income in order to determine the Company's estimated effective tax rate.</w:t>
      </w:r>
    </w:p>
    <w:p>
      <w:pPr>
        <w:spacing w:after="0" w:line="179" w:lineRule="exact"/>
        <w:rPr>
          <w:sz w:val="20"/>
          <w:szCs w:val="20"/>
          <w:color w:val="auto"/>
        </w:rPr>
      </w:pPr>
    </w:p>
    <w:p>
      <w:pPr>
        <w:jc w:val="both"/>
        <w:ind w:firstLine="552"/>
        <w:spacing w:after="0" w:line="280"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if any, are adjusted in light of changing facts and circumstances, such as the outcome of a tax audit or lapses in statutes of limitations. Any reserve for uncertain tax positions is included in the income tax provision. Penalties and interest, if any, on uncertain tax positions are included in income tax expense.</w:t>
      </w:r>
    </w:p>
    <w:p>
      <w:pPr>
        <w:spacing w:after="0" w:line="17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87" w:lineRule="exact"/>
        <w:rPr>
          <w:sz w:val="20"/>
          <w:szCs w:val="20"/>
          <w:color w:val="auto"/>
        </w:rPr>
      </w:pPr>
    </w:p>
    <w:p>
      <w:pPr>
        <w:jc w:val="both"/>
        <w:ind w:firstLine="352"/>
        <w:spacing w:after="0" w:line="315" w:lineRule="auto"/>
        <w:rPr>
          <w:sz w:val="20"/>
          <w:szCs w:val="20"/>
          <w:color w:val="auto"/>
        </w:rPr>
      </w:pPr>
      <w:r>
        <w:rPr>
          <w:rFonts w:ascii="Arial" w:cs="Arial" w:eastAsia="Arial" w:hAnsi="Arial"/>
          <w:sz w:val="16"/>
          <w:szCs w:val="16"/>
          <w:color w:val="auto"/>
        </w:rPr>
        <w:t>The Company is subject to certain compliance requirements for non-income taxes, including but not limited to payroll, value-added and sales-based taxes. Where appropriate, the Company has made accruals for these matters, which are reflected in the Company's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Per Share</w:t>
      </w:r>
    </w:p>
    <w:p>
      <w:pPr>
        <w:spacing w:after="0" w:line="224" w:lineRule="exact"/>
        <w:rPr>
          <w:sz w:val="20"/>
          <w:szCs w:val="20"/>
          <w:color w:val="auto"/>
        </w:rPr>
      </w:pPr>
    </w:p>
    <w:p>
      <w:pPr>
        <w:jc w:val="both"/>
        <w:ind w:firstLine="393"/>
        <w:spacing w:after="0" w:line="301" w:lineRule="auto"/>
        <w:rPr>
          <w:sz w:val="20"/>
          <w:szCs w:val="20"/>
          <w:color w:val="auto"/>
        </w:rPr>
      </w:pPr>
      <w:r>
        <w:rPr>
          <w:rFonts w:ascii="Arial" w:cs="Arial" w:eastAsia="Arial" w:hAnsi="Arial"/>
          <w:sz w:val="15"/>
          <w:szCs w:val="15"/>
          <w:color w:val="auto"/>
        </w:rPr>
        <w:t>Basic net income per share is computed by dividing the net income attributable to common stockholders/members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 average number of each class of securities outstanding during the applicable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percentage of the combined weighted average number of these securities outstanding during the period. Income available to common stockholders/members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10, Equity-Based Compensation, for further discussion.</w:t>
      </w:r>
    </w:p>
    <w:p>
      <w:pPr>
        <w:spacing w:after="0" w:line="185" w:lineRule="exact"/>
        <w:rPr>
          <w:sz w:val="20"/>
          <w:szCs w:val="20"/>
          <w:color w:val="auto"/>
        </w:rPr>
      </w:pPr>
    </w:p>
    <w:p>
      <w:pPr>
        <w:jc w:val="both"/>
        <w:ind w:firstLine="365"/>
        <w:spacing w:after="0" w:line="263"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stockholders/members adjusted for any changes in income that would result from the assumed conversion of the potential common shares by the weighted average common shares outstanding and all potential common shares, if they are dilutive. For all periods presented, diluted net income available to common stockholders/members includes the effect of 1,716,301 options to purchase common stock while 257,800 options to purchase common stock were excluded since they were anti-dilutive. The Company had no assumed shares available to purchase for the six months ended June 30, 2012.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assumed exercised shares used in calculating basic and diluted net income (loss) share available to common stockholders/members follows:</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28,849,242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33,435,439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Stock options and employee stock purchase plan shares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440,345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8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28,849,242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33,903,898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24" w:lineRule="exact"/>
        <w:rPr>
          <w:sz w:val="20"/>
          <w:szCs w:val="20"/>
          <w:color w:val="auto"/>
        </w:rPr>
      </w:pPr>
    </w:p>
    <w:p>
      <w:pPr>
        <w:jc w:val="both"/>
        <w:ind w:firstLine="468"/>
        <w:spacing w:after="0" w:line="270" w:lineRule="auto"/>
        <w:rPr>
          <w:sz w:val="20"/>
          <w:szCs w:val="20"/>
          <w:color w:val="auto"/>
        </w:rPr>
      </w:pPr>
      <w:r>
        <w:rPr>
          <w:rFonts w:ascii="Arial" w:cs="Arial" w:eastAsia="Arial" w:hAnsi="Arial"/>
          <w:sz w:val="17"/>
          <w:szCs w:val="17"/>
          <w:color w:val="auto"/>
        </w:rPr>
        <w:t>Comprehensive income (loss) includes certain changes in stockholders' equity that are excluded from net income (loss) such as cumulative foreign currency translation adjustments and unrealized gains or losses on marketable securities. The Company's net income equals comprehensive income for the six months ended June 30, 2012 and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 Updates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the recently issued accounting standard updates is expected to have a material impact.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Information About Revenue By Geographic Area</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represents our revenue based on customer location: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3"/>
                <w:szCs w:val="13"/>
                <w:b w:val="1"/>
                <w:bCs w:val="1"/>
                <w:color w:val="auto"/>
                <w:w w:val="88"/>
              </w:rPr>
              <w:t>June 30,</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27,610</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Europe</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29,578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39,181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21,011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revenue</w:t>
            </w:r>
          </w:p>
        </w:tc>
        <w:tc>
          <w:tcPr>
            <w:tcW w:w="38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8"/>
              </w:rPr>
              <w:t>78,199</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107,926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80" w:type="dxa"/>
            <w:vAlign w:val="bottom"/>
            <w:gridSpan w:val="2"/>
          </w:tcPr>
          <w:p>
            <w:pPr>
              <w:jc w:val="right"/>
              <w:ind w:right="2135"/>
              <w:spacing w:after="0"/>
              <w:rPr>
                <w:sz w:val="20"/>
                <w:szCs w:val="20"/>
                <w:color w:val="auto"/>
              </w:rPr>
            </w:pPr>
            <w:r>
              <w:rPr>
                <w:rFonts w:ascii="Arial" w:cs="Arial" w:eastAsia="Arial" w:hAnsi="Arial"/>
                <w:sz w:val="17"/>
                <w:szCs w:val="17"/>
                <w:color w:val="auto"/>
              </w:rPr>
              <w:t>F-43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Information About Revenue By Geographic Area (Continued)</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Included in North America is the United States which comprises 33% and 32% of total revenue for the six months ended June 30, 2012 and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No other country accounts for more than 10% of the Company's revenue in any period. All long-lived assets are located in the United States.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Goodwill and Intangible Assets</w:t>
      </w:r>
    </w:p>
    <w:p>
      <w:pPr>
        <w:spacing w:after="0" w:line="228"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The Company's goodwill balance is attributable to its Bigstockphoto, Inc. ("Bigstock") reporting unit and is tested for impairment at least annually on October 1 or upon a triggering event. There have been no changes in the carrying amount of goodwill through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 as of December 31, 2012 and June 30, 2013:</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As of December 31, 2012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Average Life</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Amortizing intangible assets:</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600</w:t>
            </w:r>
          </w:p>
        </w:tc>
        <w:tc>
          <w:tcPr>
            <w:tcW w:w="34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(486)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114</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Patents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Domain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As of June 30, 2013</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Average Life</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Amortizing intangible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600</w:t>
            </w:r>
          </w:p>
        </w:tc>
        <w:tc>
          <w:tcPr>
            <w:tcW w:w="34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(561)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Patents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Domain name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Amortization expense was $124 and $112 for the six months ended June 30, 2012 and 2013, respectively. The Company also determined that there was no indication of impairment for the intangible assets for all periods presented. Estimated amortization expense for the next five years is: $77 for the remaining six months of 2013, $78 in 2014, $78 in 2015, $78 in 2016, $78 in 2017 and $539 thereafter.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is summarized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57"/>
        </w:trPr>
        <w:tc>
          <w:tcPr>
            <w:tcW w:w="6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60" w:type="dxa"/>
            <w:vAlign w:val="bottom"/>
            <w:vMerge w:val="restart"/>
          </w:tcPr>
          <w:p>
            <w:pPr>
              <w:spacing w:after="0"/>
              <w:rPr>
                <w:sz w:val="20"/>
                <w:szCs w:val="20"/>
                <w:color w:val="auto"/>
              </w:rPr>
            </w:pPr>
            <w:r>
              <w:rPr>
                <w:rFonts w:ascii="Arial" w:cs="Arial" w:eastAsia="Arial" w:hAnsi="Arial"/>
                <w:sz w:val="17"/>
                <w:szCs w:val="17"/>
                <w:color w:val="auto"/>
              </w:rPr>
              <w:t>Property and equipment</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11,819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(5,041)</w:t>
            </w:r>
          </w:p>
        </w:tc>
        <w:tc>
          <w:tcPr>
            <w:tcW w:w="0" w:type="dxa"/>
            <w:vAlign w:val="bottom"/>
          </w:tcPr>
          <w:p>
            <w:pPr>
              <w:spacing w:after="0"/>
              <w:rPr>
                <w:sz w:val="1"/>
                <w:szCs w:val="1"/>
                <w:color w:val="auto"/>
              </w:rPr>
            </w:pPr>
          </w:p>
        </w:tc>
      </w:tr>
      <w:tr>
        <w:trPr>
          <w:trHeight w:val="26"/>
        </w:trPr>
        <w:tc>
          <w:tcPr>
            <w:tcW w:w="6060" w:type="dxa"/>
            <w:vAlign w:val="bottom"/>
            <w:vMerge w:val="restart"/>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5,255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4"/>
        <w:spacing w:after="0" w:line="282" w:lineRule="auto"/>
        <w:rPr>
          <w:sz w:val="20"/>
          <w:szCs w:val="20"/>
          <w:color w:val="auto"/>
        </w:rPr>
      </w:pPr>
      <w:r>
        <w:rPr>
          <w:rFonts w:ascii="Arial" w:cs="Arial" w:eastAsia="Arial" w:hAnsi="Arial"/>
          <w:sz w:val="17"/>
          <w:szCs w:val="17"/>
          <w:color w:val="auto"/>
        </w:rPr>
        <w:t>Depreciation expense amounted to $1,036 and $1,613 for the six months ended June 30, 2012 and 2013, respectively. Depreciation expense is included in cost of revenue and general and administrative expense based on the nature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consisted of the following:</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w:t>
            </w:r>
          </w:p>
        </w:tc>
      </w:tr>
      <w:tr>
        <w:trPr>
          <w:trHeight w:val="157"/>
        </w:trPr>
        <w:tc>
          <w:tcPr>
            <w:tcW w:w="6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Royalty tax withholdings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4,976</w:t>
            </w:r>
          </w:p>
        </w:tc>
        <w:tc>
          <w:tcPr>
            <w:tcW w:w="16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Non-income taxes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5,394</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w:t>
            </w:r>
          </w:p>
        </w:tc>
        <w:tc>
          <w:tcPr>
            <w:tcW w:w="16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Accrued marketing</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393</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Other accrued expenses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1,987</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accrued expenses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16,857</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Income Taxes</w:t>
      </w:r>
    </w:p>
    <w:p>
      <w:pPr>
        <w:spacing w:after="0" w:line="228" w:lineRule="exact"/>
        <w:rPr>
          <w:sz w:val="20"/>
          <w:szCs w:val="20"/>
          <w:color w:val="auto"/>
        </w:rPr>
      </w:pPr>
    </w:p>
    <w:p>
      <w:pPr>
        <w:jc w:val="both"/>
        <w:ind w:firstLine="389"/>
        <w:spacing w:after="0" w:line="300" w:lineRule="auto"/>
        <w:rPr>
          <w:sz w:val="20"/>
          <w:szCs w:val="20"/>
          <w:color w:val="auto"/>
        </w:rPr>
      </w:pPr>
      <w:r>
        <w:rPr>
          <w:rFonts w:ascii="Arial" w:cs="Arial" w:eastAsia="Arial" w:hAnsi="Arial"/>
          <w:sz w:val="15"/>
          <w:szCs w:val="15"/>
          <w:color w:val="auto"/>
        </w:rPr>
        <w:t>The Company's effective tax rates for the six month periods ended June 30, 2012 and 2013 are 2.3% and 40.6%, respectively. The Company incurred a discrete tax expense relating to a change in its state apportionment percentage during the six months ended June 30, 2013, which increased the effective tax rate by 1.3%. Excluding this discrete expense, the effective rate would have been 39.3%. The Company has computed the provision for income taxes based on the estimated annual effective tax rates and the application of discrete items, if any, in the period applicable. Effective with the Reorganization on October 5, 2012, the Company became a Delaware corporation, and therefore became subject to federal and state tax expense. For all periods prior to the Reorganization,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The effective tax rate differs from the statutory tax rate due primarily to non-deductible expense related to non-cash equity-based compensation, and meals and entertainment.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Income Taxes (Continued)</w:t>
      </w:r>
    </w:p>
    <w:p>
      <w:pPr>
        <w:spacing w:after="0" w:line="228" w:lineRule="exact"/>
        <w:rPr>
          <w:sz w:val="20"/>
          <w:szCs w:val="20"/>
          <w:color w:val="auto"/>
        </w:rPr>
      </w:pPr>
    </w:p>
    <w:p>
      <w:pPr>
        <w:jc w:val="both"/>
        <w:ind w:firstLine="474"/>
        <w:spacing w:after="0" w:line="270" w:lineRule="auto"/>
        <w:rPr>
          <w:sz w:val="20"/>
          <w:szCs w:val="20"/>
          <w:color w:val="auto"/>
        </w:rPr>
      </w:pPr>
      <w:r>
        <w:rPr>
          <w:rFonts w:ascii="Arial" w:cs="Arial" w:eastAsia="Arial" w:hAnsi="Arial"/>
          <w:sz w:val="17"/>
          <w:szCs w:val="17"/>
          <w:color w:val="auto"/>
        </w:rPr>
        <w:t>During the six months ended June 30, 2012 and 2013, the Company recorded an unrecognized tax benefit in the amount of $18 and $973, respectively, for uncertain tax positions taken in prior years. To the extent these unrecognized tax benefits are ultimately recognized, the Company's effective tax rate may be impacted in future periods.</w:t>
      </w:r>
    </w:p>
    <w:p>
      <w:pPr>
        <w:spacing w:after="0" w:line="179" w:lineRule="exact"/>
        <w:rPr>
          <w:sz w:val="20"/>
          <w:szCs w:val="20"/>
          <w:color w:val="auto"/>
        </w:rPr>
      </w:pPr>
    </w:p>
    <w:p>
      <w:pPr>
        <w:jc w:val="both"/>
        <w:ind w:firstLine="530"/>
        <w:spacing w:after="0" w:line="270" w:lineRule="auto"/>
        <w:rPr>
          <w:sz w:val="20"/>
          <w:szCs w:val="20"/>
          <w:color w:val="auto"/>
        </w:rPr>
      </w:pPr>
      <w:r>
        <w:rPr>
          <w:rFonts w:ascii="Arial" w:cs="Arial" w:eastAsia="Arial" w:hAnsi="Arial"/>
          <w:sz w:val="17"/>
          <w:szCs w:val="17"/>
          <w:color w:val="auto"/>
        </w:rPr>
        <w:t>The Company recognizes interest expense and tax penalties related to unrecognized tax benefits in income tax expense in the consolidated statements of operations. The Company did not accrue any interest or penalties related to unrecognized tax benefits for the six months ended June 30, 2012. The Company accrued interest and penalties in the amount of $11 related to unrecognized tax benefits for the six months ended June 30, 2013.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Term Loan Facility</w:t>
      </w:r>
    </w:p>
    <w:p>
      <w:pPr>
        <w:spacing w:after="0" w:line="228"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 At December 31, 2012 and June 30, 2013, the Company recorded accrued interest in the amount of $3 and $0, respectively, which is included in accrued expenses.</w:t>
      </w:r>
    </w:p>
    <w:p>
      <w:pPr>
        <w:spacing w:after="0" w:line="185" w:lineRule="exact"/>
        <w:rPr>
          <w:sz w:val="20"/>
          <w:szCs w:val="20"/>
          <w:color w:val="auto"/>
        </w:rPr>
      </w:pPr>
    </w:p>
    <w:p>
      <w:pPr>
        <w:jc w:val="both"/>
        <w:ind w:firstLine="403"/>
        <w:spacing w:after="0" w:line="352" w:lineRule="auto"/>
        <w:rPr>
          <w:sz w:val="20"/>
          <w:szCs w:val="20"/>
          <w:color w:val="auto"/>
        </w:rPr>
      </w:pPr>
      <w:r>
        <w:rPr>
          <w:rFonts w:ascii="Arial" w:cs="Arial" w:eastAsia="Arial" w:hAnsi="Arial"/>
          <w:sz w:val="15"/>
          <w:szCs w:val="15"/>
          <w:color w:val="auto"/>
        </w:rPr>
        <w:t>The Company capitalizes costs directly associated with acquiring third party financing. As of December 31, 2012, deferred financing costs, net of accumulated amortization, were $125. During the six months ended June 30, 2013, the Company accelerated and recognized $125 as a result of paying off the term loan facility.</w:t>
      </w:r>
    </w:p>
    <w:p>
      <w:pPr>
        <w:spacing w:after="0" w:line="123" w:lineRule="exact"/>
        <w:rPr>
          <w:sz w:val="20"/>
          <w:szCs w:val="20"/>
          <w:color w:val="auto"/>
        </w:rPr>
      </w:pPr>
    </w:p>
    <w:p>
      <w:pPr>
        <w:jc w:val="both"/>
        <w:ind w:firstLine="393"/>
        <w:spacing w:after="0" w:line="282" w:lineRule="auto"/>
        <w:rPr>
          <w:sz w:val="20"/>
          <w:szCs w:val="20"/>
          <w:color w:val="auto"/>
        </w:rPr>
      </w:pPr>
      <w:r>
        <w:rPr>
          <w:rFonts w:ascii="Arial" w:cs="Arial" w:eastAsia="Arial" w:hAnsi="Arial"/>
          <w:sz w:val="17"/>
          <w:szCs w:val="17"/>
          <w:color w:val="auto"/>
        </w:rPr>
        <w:t>The Company was in compliance with the financial covenants and other covenants applicable to it under the term loan facility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The Company leases facilities under agreements accounted for as operating leases. Rental expense, inclusive of operating leases, for the six months ended June 30, 2012 and 2013 was $720 and $1,029,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w:t>
      </w:r>
    </w:p>
    <w:p>
      <w:pPr>
        <w:spacing w:after="0" w:line="185"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On March 21, 2013, the Company entered into an operating lease agreement to lease new office facilities in New York, New York. The lease commencement date shall be the later of August 1, 2013 and the date the Company takes possession; therefore, no expense was recorded during the six months ended June 30, 2013. The Company also entered into a letter of credit in the amount of $1,829 as a security deposit for the leased facilities. The letter of credit was collateralized by $1,829 of cash as of June 30, 2013, and as such, is reported as restricted cash on the consolidated balance sheet. The lease term is eleven years from the commencement date and aggregate future minimum lease payments are approximately $42,200.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4"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For the six months ended June 30, 2012 and 2013, the Company spent approximately $2,100 and $2,000, respectively, for servers and related hardware to accommodate increased business volume. The additions are included in "Assets—Property and equipment, net" on the balance sheet. As of June 30, 2013, the Company had no significant committed purchases related to data server equipment.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4" w:lineRule="exact"/>
        <w:rPr>
          <w:sz w:val="20"/>
          <w:szCs w:val="20"/>
          <w:color w:val="auto"/>
        </w:rPr>
      </w:pPr>
    </w:p>
    <w:p>
      <w:pPr>
        <w:jc w:val="both"/>
        <w:ind w:firstLine="332"/>
        <w:spacing w:after="0" w:line="282" w:lineRule="auto"/>
        <w:rPr>
          <w:sz w:val="20"/>
          <w:szCs w:val="20"/>
          <w:color w:val="auto"/>
        </w:rPr>
      </w:pPr>
      <w:r>
        <w:rPr>
          <w:rFonts w:ascii="Arial" w:cs="Arial" w:eastAsia="Arial" w:hAnsi="Arial"/>
          <w:sz w:val="17"/>
          <w:szCs w:val="17"/>
          <w:color w:val="auto"/>
        </w:rPr>
        <w:t>As of December 31, 2012 and June 30, 2013, the Company had unconditional purchase obligations in the amount of $3,409 and $2,250, which consisted primarily of contracts related to infrastructure services and contractual commitments for marketing services.</w:t>
      </w:r>
    </w:p>
    <w:p>
      <w:pPr>
        <w:spacing w:after="0" w:line="170"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auto"/>
        </w:rPr>
        <w:t>As of December 31, 2012, the Company's unconditional purchase obligations for the years ending December 31, 2013, 2014 and 2015 are $2,274, $943 and $192, respectively. As of June 30, 2013, the Company's unconditional purchase obligations for the remainder of 2013 and for the years ending December 31, 2014 and 2015 are $991, $1,063 and $196,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511"/>
        <w:spacing w:after="0" w:line="298" w:lineRule="auto"/>
        <w:rPr>
          <w:sz w:val="20"/>
          <w:szCs w:val="20"/>
          <w:color w:val="auto"/>
        </w:rPr>
      </w:pPr>
      <w:r>
        <w:rPr>
          <w:rFonts w:ascii="Arial" w:cs="Arial" w:eastAsia="Arial" w:hAnsi="Arial"/>
          <w:sz w:val="15"/>
          <w:szCs w:val="15"/>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in some cases, unlimited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indemnification. As of December 31, 2012 and as of June 30, 2013,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458"/>
        <w:spacing w:after="0" w:line="270" w:lineRule="auto"/>
        <w:rPr>
          <w:sz w:val="20"/>
          <w:szCs w:val="20"/>
          <w:color w:val="auto"/>
        </w:rPr>
      </w:pPr>
      <w:r>
        <w:rPr>
          <w:rFonts w:ascii="Arial" w:cs="Arial" w:eastAsia="Arial" w:hAnsi="Arial"/>
          <w:sz w:val="17"/>
          <w:szCs w:val="17"/>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Employee Benefit Plans</w:t>
      </w:r>
    </w:p>
    <w:p>
      <w:pPr>
        <w:spacing w:after="0" w:line="22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Company has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recorded employer matching contributions of $269 and $317 for the six months ended June 30, 2012 and 2013,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Equity-Based Compensation</w:t>
      </w:r>
    </w:p>
    <w:p>
      <w:pPr>
        <w:spacing w:after="0" w:line="228"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equity. The VAR Plan awards were subject to a time-based vesting requirement and a condition that a change of control occur for a payment to trigger with respect to the VAR Plan awards. Payment could occur in the form of cash, units or other securities at the discretion of the BOM and was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Given the change-of-control condition, there was no equity-based compensation charge recorded for the six months ended June 30, 2012. In connection with the Reorganization, all of the VAR Plan awards were exchanged for options to purchase an aggregate of 1,661,719 shares of common stock of Shutterstock, Inc. with only a time-based vesting requirement, which were granted pursuant to the Company's 2012 Plan.</w:t>
      </w:r>
    </w:p>
    <w:p>
      <w:pPr>
        <w:spacing w:after="0" w:line="181" w:lineRule="exact"/>
        <w:rPr>
          <w:sz w:val="20"/>
          <w:szCs w:val="20"/>
          <w:color w:val="auto"/>
        </w:rPr>
      </w:pPr>
    </w:p>
    <w:p>
      <w:pPr>
        <w:jc w:val="both"/>
        <w:ind w:firstLine="610"/>
        <w:spacing w:after="0" w:line="315" w:lineRule="auto"/>
        <w:rPr>
          <w:sz w:val="20"/>
          <w:szCs w:val="20"/>
          <w:color w:val="auto"/>
        </w:rPr>
      </w:pPr>
      <w:r>
        <w:rPr>
          <w:rFonts w:ascii="Arial" w:cs="Arial" w:eastAsia="Arial" w:hAnsi="Arial"/>
          <w:sz w:val="16"/>
          <w:szCs w:val="16"/>
          <w:color w:val="auto"/>
        </w:rPr>
        <w:t>The Company's VAR Plan awards were made in the form of notional units and were exchanged for options to purchase shares of common stock of Shutterstock, Inc. at the time of the Reorganization. Since the Reorganization, equity grants have been in the form of options to purchase common stock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Equity-Based Compensation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 The following table represents a summary of the Company's stock option activity for the six months ended June 30, 2013:</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Plan</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Exercise Price</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1,692,282</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Options granted</w:t>
            </w:r>
          </w:p>
        </w:tc>
        <w:tc>
          <w:tcPr>
            <w:tcW w:w="800" w:type="dxa"/>
            <w:vAlign w:val="bottom"/>
          </w:tcPr>
          <w:p>
            <w:pPr>
              <w:jc w:val="right"/>
              <w:spacing w:after="0"/>
              <w:rPr>
                <w:sz w:val="20"/>
                <w:szCs w:val="20"/>
                <w:color w:val="auto"/>
              </w:rPr>
            </w:pPr>
            <w:r>
              <w:rPr>
                <w:rFonts w:ascii="Arial" w:cs="Arial" w:eastAsia="Arial" w:hAnsi="Arial"/>
                <w:sz w:val="17"/>
                <w:szCs w:val="17"/>
                <w:color w:val="auto"/>
              </w:rPr>
              <w:t>293,100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(105,313)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Options cancelled or forfeited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(34,745)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June 30, 2013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1,845,324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00" w:type="dxa"/>
            <w:vAlign w:val="bottom"/>
            <w:vMerge w:val="restart"/>
          </w:tcPr>
          <w:p>
            <w:pPr>
              <w:spacing w:after="0"/>
              <w:rPr>
                <w:sz w:val="20"/>
                <w:szCs w:val="20"/>
                <w:color w:val="auto"/>
              </w:rPr>
            </w:pPr>
            <w:r>
              <w:rPr>
                <w:rFonts w:ascii="Arial" w:cs="Arial" w:eastAsia="Arial" w:hAnsi="Arial"/>
                <w:sz w:val="17"/>
                <w:szCs w:val="17"/>
                <w:color w:val="auto"/>
              </w:rPr>
              <w:t>Vested and exercisable at June 30, 2013</w:t>
            </w: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560,372</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15.43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color w:val="auto"/>
        </w:rPr>
        <w:t>The intrinsic value of the total stock options outstanding at December 31, 2012 and at June 30, 2013 was approximately $16,700 and $65,600, respectively. The intrinsic value of the total stock options vested and exercisable at December 31, 2012 and at June 30, 2013 was approximately $4,300 and $22,600, respectively. No stock options expired during the year ended December 31, 2012 or the six months ended June 30, 2013.</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weighted average assumptions were used in the fair value calculation for the six months ended June 30, 2012 and 2013:</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0"/>
              </w:rPr>
              <w:t>Ended June 30,</w:t>
            </w:r>
          </w:p>
        </w:tc>
      </w:tr>
      <w:tr>
        <w:trPr>
          <w:trHeight w:val="137"/>
        </w:trPr>
        <w:tc>
          <w:tcPr>
            <w:tcW w:w="6120" w:type="dxa"/>
            <w:vAlign w:val="bottom"/>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61"/>
              <w:spacing w:after="0" w:line="138"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- 6.3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Volatility</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- 1.6%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1.0 - 1.5%</w:t>
            </w:r>
          </w:p>
        </w:tc>
      </w:tr>
      <w:tr>
        <w:trPr>
          <w:trHeight w:val="216"/>
        </w:trPr>
        <w:tc>
          <w:tcPr>
            <w:tcW w:w="6120" w:type="dxa"/>
            <w:vAlign w:val="bottom"/>
          </w:tcPr>
          <w:p>
            <w:pPr>
              <w:spacing w:after="0"/>
              <w:rPr>
                <w:sz w:val="20"/>
                <w:szCs w:val="20"/>
                <w:color w:val="auto"/>
              </w:rPr>
            </w:pPr>
            <w:r>
              <w:rPr>
                <w:rFonts w:ascii="Arial" w:cs="Arial" w:eastAsia="Arial" w:hAnsi="Arial"/>
                <w:sz w:val="17"/>
                <w:szCs w:val="17"/>
                <w:color w:val="auto"/>
              </w:rPr>
              <w:t>Dividend yield</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There was no non-cash equity-based compensation in connection with the 2012 Plan for the six months ended June 30, 2012. The Company recognized non-cash equity-based compensation expense of $1,744, net of forfeitures, in connection with the vesting of stock options during the six months ended June 30, 2013. As of June 30, 2013, the total unrecognized compensation charge related to 2012 Plan non-vested options is approximately $11,500, which is expected to be recognized through fiscal year 2017.</w:t>
      </w:r>
    </w:p>
    <w:p>
      <w:pPr>
        <w:spacing w:after="0" w:line="185" w:lineRule="exact"/>
        <w:rPr>
          <w:sz w:val="20"/>
          <w:szCs w:val="20"/>
          <w:color w:val="auto"/>
        </w:rPr>
      </w:pPr>
    </w:p>
    <w:p>
      <w:pPr>
        <w:jc w:val="both"/>
        <w:ind w:firstLine="497"/>
        <w:spacing w:after="0" w:line="263" w:lineRule="auto"/>
        <w:rPr>
          <w:sz w:val="20"/>
          <w:szCs w:val="20"/>
          <w:color w:val="auto"/>
        </w:rPr>
      </w:pPr>
      <w:r>
        <w:rPr>
          <w:rFonts w:ascii="Arial" w:cs="Arial" w:eastAsia="Arial" w:hAnsi="Arial"/>
          <w:sz w:val="17"/>
          <w:szCs w:val="17"/>
          <w:color w:val="auto"/>
        </w:rPr>
        <w:t>On August 17, 2010, the Company entered into a Profits Interest Agreement with an executive whereby the Company issued a membership interest in the Company in consideration of future services to be rendered. The profits interest grant was to vest over a six year period. Upon consummation of the Reorganization, the vested portion of the profits interest was exchanged for shares of common stock of Shutterstock, Inc. and the liability relating to the vested portion of the profits interest, in the amount of $5,147, was re-classed to equity. The unvested portion of the profits interest was exchanged for shares of restricted stock having the same vesting terms as the profits interest.</w:t>
      </w:r>
    </w:p>
    <w:p>
      <w:pPr>
        <w:spacing w:after="0" w:line="187" w:lineRule="exact"/>
        <w:rPr>
          <w:sz w:val="20"/>
          <w:szCs w:val="20"/>
          <w:color w:val="auto"/>
        </w:rPr>
      </w:pPr>
    </w:p>
    <w:p>
      <w:pPr>
        <w:jc w:val="both"/>
        <w:ind w:firstLine="389"/>
        <w:spacing w:after="0" w:line="282" w:lineRule="auto"/>
        <w:rPr>
          <w:sz w:val="20"/>
          <w:szCs w:val="20"/>
          <w:color w:val="auto"/>
        </w:rPr>
      </w:pPr>
      <w:r>
        <w:rPr>
          <w:rFonts w:ascii="Arial" w:cs="Arial" w:eastAsia="Arial" w:hAnsi="Arial"/>
          <w:sz w:val="17"/>
          <w:szCs w:val="17"/>
          <w:color w:val="auto"/>
        </w:rPr>
        <w:t>On June 3, 2013, the Company issued 10,000 restricted stock units pursuant to the 2012 Plan. The restricted stock units vest 25% on the first anniversary of the relevant vesting commencement date and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Equity-Based Compensation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remaining 75% vest quarterly over three years thereafter. The restricted stock units are accounted for as equity awards and expensed based on the fair value on the date of grant over the four year vesting period.</w:t>
      </w:r>
    </w:p>
    <w:p>
      <w:pPr>
        <w:spacing w:after="0" w:line="170"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The Company recognized non-cash equity-based compensation expense of $2,157 during the six months ended June 30, 2012 related to the profits interest award and recognized non-cash equity-based compensation expense of $536 during the six months ended June 30, 2013 related to the vesting of restricted stock/restricted stock units.</w:t>
      </w:r>
    </w:p>
    <w:p>
      <w:pPr>
        <w:spacing w:after="0" w:line="179"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As of June 30, 2013, the total unrecognized compensation charge related to the restricted stock/restricted stock units is approximately $3,300, which is expected to be recognized through fiscal year 2017.</w:t>
      </w:r>
    </w:p>
    <w:p>
      <w:pPr>
        <w:spacing w:after="0" w:line="170"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On October 10, 2012, the Company's 2012 ESPP became effective. There was no non-cash equity-based compensation in connection with the 2012 ESPP for the six months ended June 30, 2012. The Company recognized non-cash equity-based compensation expense of $290, net of estimated forfeitures, in connection with the 2012 ESPP for the six months ended June 30, 2013. As of June 30, 2013, 73,717 shares have been issued under the 2012 ESPP.</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summarizes non-cash equity-based compensation expense included in the Company's statement of operations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2012 and 2013:</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r>
      <w:tr>
        <w:trPr>
          <w:trHeight w:val="157"/>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Ended June 30,</w:t>
            </w:r>
          </w:p>
        </w:tc>
      </w:tr>
      <w:tr>
        <w:trPr>
          <w:trHeight w:val="137"/>
        </w:trPr>
        <w:tc>
          <w:tcPr>
            <w:tcW w:w="64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507</w:t>
            </w:r>
          </w:p>
        </w:tc>
        <w:tc>
          <w:tcPr>
            <w:tcW w:w="160" w:type="dxa"/>
            <w:vAlign w:val="bottom"/>
          </w:tcPr>
          <w:p>
            <w:pPr>
              <w:spacing w:after="0"/>
              <w:rPr>
                <w:sz w:val="18"/>
                <w:szCs w:val="18"/>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1,314</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Distributions to Members</w:t>
      </w:r>
    </w:p>
    <w:p>
      <w:pPr>
        <w:spacing w:after="0" w:line="228"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Prior to the Reorganization and in accordance with the Company's Amended and Restated Limited Liability Company Agreement, as amended, the LLC made cash distributions to the members based on their respective percentage interest to the extent cash was available as determined by the board. During the six months ended June 30, 2012, the LLC made $15,151 in cash distributions to the preferred and common members. There have been no distributions made since the Reorganization on October 5,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us in connection with the sale of common stock being registered. All expenses will be borne by the registrant. All amounts shown are estimates except the SEC registration fee, the FINRA filing fee and the NYSE listing fee.</w:t>
      </w:r>
    </w:p>
    <w:p>
      <w:pPr>
        <w:sectPr>
          <w:pgSz w:w="11900" w:h="16838" w:orient="portrait"/>
          <w:cols w:equalWidth="0" w:num="1">
            <w:col w:w="11420"/>
          </w:cols>
          <w:pgMar w:left="240" w:top="131" w:right="239" w:bottom="1440" w:gutter="0" w:footer="0" w:header="0"/>
        </w:sectPr>
      </w:pPr>
    </w:p>
    <w:p>
      <w:pPr>
        <w:spacing w:after="0" w:line="175"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Item</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-114935</wp:posOffset>
            </wp:positionV>
            <wp:extent cx="5069840" cy="133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Transfer agent and registrar fees</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245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99"/>
        </w:numPr>
        <w:rPr>
          <w:rFonts w:ascii="Arial" w:cs="Arial" w:eastAsia="Arial" w:hAnsi="Arial"/>
          <w:sz w:val="15"/>
          <w:szCs w:val="15"/>
          <w:color w:val="auto"/>
        </w:rPr>
      </w:pPr>
      <w:r>
        <w:rPr>
          <w:rFonts w:ascii="Arial" w:cs="Arial" w:eastAsia="Arial" w:hAnsi="Arial"/>
          <w:sz w:val="15"/>
          <w:szCs w:val="15"/>
          <w:color w:val="auto"/>
        </w:rPr>
        <w:t>23,529</w:t>
      </w:r>
    </w:p>
    <w:p>
      <w:pPr>
        <w:spacing w:after="0" w:line="36" w:lineRule="exact"/>
        <w:rPr>
          <w:rFonts w:ascii="Arial" w:cs="Arial" w:eastAsia="Arial" w:hAnsi="Arial"/>
          <w:sz w:val="15"/>
          <w:szCs w:val="15"/>
          <w:color w:val="auto"/>
        </w:rPr>
      </w:pPr>
    </w:p>
    <w:p>
      <w:pPr>
        <w:ind w:left="207"/>
        <w:spacing w:after="0"/>
        <w:rPr>
          <w:rFonts w:ascii="Arial" w:cs="Arial" w:eastAsia="Arial" w:hAnsi="Arial"/>
          <w:sz w:val="15"/>
          <w:szCs w:val="15"/>
          <w:color w:val="auto"/>
        </w:rPr>
      </w:pPr>
      <w:r>
        <w:rPr>
          <w:rFonts w:ascii="Arial" w:cs="Arial" w:eastAsia="Arial" w:hAnsi="Arial"/>
          <w:sz w:val="15"/>
          <w:szCs w:val="15"/>
          <w:color w:val="auto"/>
        </w:rPr>
        <w:t>26,375</w:t>
      </w:r>
    </w:p>
    <w:p>
      <w:pPr>
        <w:spacing w:after="0" w:line="37"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587" w:hanging="587"/>
        <w:spacing w:after="0"/>
        <w:tabs>
          <w:tab w:leader="none" w:pos="58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194" w:lineRule="exact"/>
        <w:rPr>
          <w:sz w:val="20"/>
          <w:szCs w:val="20"/>
          <w:color w:val="auto"/>
        </w:rPr>
      </w:pPr>
    </w:p>
    <w:p>
      <w:pPr>
        <w:ind w:left="2240" w:hanging="523"/>
        <w:spacing w:after="0"/>
        <w:tabs>
          <w:tab w:leader="none" w:pos="22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28" w:lineRule="exact"/>
        <w:rPr>
          <w:sz w:val="20"/>
          <w:szCs w:val="20"/>
          <w:color w:val="auto"/>
        </w:rPr>
      </w:pPr>
    </w:p>
    <w:p>
      <w:pPr>
        <w:ind w:firstLine="486"/>
        <w:spacing w:after="0" w:line="282"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firstLine="414"/>
        <w:spacing w:after="0" w:line="282"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includes provisions that eliminate the personal liability of its directors for monetary damages for breach of their fiduciary duty as directors, except for the following:</w:t>
      </w:r>
    </w:p>
    <w:p>
      <w:pPr>
        <w:spacing w:after="0" w:line="183" w:lineRule="exact"/>
        <w:rPr>
          <w:sz w:val="20"/>
          <w:szCs w:val="20"/>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the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(regarding unlawful dividends and stock purchases);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benefit.</w:t>
      </w:r>
    </w:p>
    <w:p>
      <w:pPr>
        <w:spacing w:after="0" w:line="224"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To the extent Section 102(b)(7) is interpreted, or the Delaware General Corporation Law is amended, to allow similar protections for officers of a corporation, such provisions of the registrant's certificate of incorporation shall also extend to those persons.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as permitted by Section 145 of the Delaware General Corporation Law, the bylaws of the registrant provide that:</w:t>
      </w:r>
    </w:p>
    <w:p>
      <w:pPr>
        <w:spacing w:after="0" w:line="250" w:lineRule="exact"/>
        <w:rPr>
          <w:sz w:val="20"/>
          <w:szCs w:val="20"/>
          <w:color w:val="auto"/>
        </w:rPr>
      </w:pPr>
    </w:p>
    <w:p>
      <w:pPr>
        <w:jc w:val="both"/>
        <w:ind w:left="1060" w:hanging="531"/>
        <w:spacing w:after="0" w:line="287"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7" w:name="page188"/>
    <w:bookmarkEnd w:id="1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permitted by applicable law.</w:t>
      </w:r>
    </w:p>
    <w:p>
      <w:pPr>
        <w:spacing w:after="0" w:line="261" w:lineRule="exact"/>
        <w:rPr>
          <w:rFonts w:ascii="Arial" w:cs="Arial" w:eastAsia="Arial" w:hAnsi="Arial"/>
          <w:sz w:val="16"/>
          <w:szCs w:val="16"/>
          <w:color w:val="auto"/>
        </w:rPr>
      </w:pPr>
    </w:p>
    <w:p>
      <w:pPr>
        <w:ind w:left="1060" w:hanging="531"/>
        <w:spacing w:after="0" w:line="315"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79" w:lineRule="exact"/>
        <w:rPr>
          <w:sz w:val="20"/>
          <w:szCs w:val="20"/>
          <w:color w:val="auto"/>
        </w:rPr>
      </w:pPr>
    </w:p>
    <w:p>
      <w:pPr>
        <w:jc w:val="both"/>
        <w:ind w:firstLine="379"/>
        <w:spacing w:after="0" w:line="270" w:lineRule="auto"/>
        <w:rPr>
          <w:sz w:val="20"/>
          <w:szCs w:val="20"/>
          <w:color w:val="auto"/>
        </w:rPr>
      </w:pPr>
      <w:r>
        <w:rPr>
          <w:rFonts w:ascii="Arial" w:cs="Arial" w:eastAsia="Arial" w:hAnsi="Arial"/>
          <w:sz w:val="17"/>
          <w:szCs w:val="17"/>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w:t>
      </w:r>
    </w:p>
    <w:p>
      <w:pPr>
        <w:spacing w:after="0" w:line="179"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in limited circumstances by the underwriters of the registrant and its officers and directors for certain liabilities arising under the Securities Act of 1933 and otherwise.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January 1, 2010, the registrant and its predecessor, Shutterstock Images LLC, or the LLC, has issued and sold the following unregistered securities:</w:t>
      </w:r>
    </w:p>
    <w:p>
      <w:pPr>
        <w:spacing w:after="0" w:line="262" w:lineRule="exact"/>
        <w:rPr>
          <w:sz w:val="20"/>
          <w:szCs w:val="20"/>
          <w:color w:val="auto"/>
        </w:rPr>
      </w:pPr>
    </w:p>
    <w:p>
      <w:pPr>
        <w:ind w:left="106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August 2010, the LLC granted to an executive officer, in connection with his employment agreement, an equity interest in the company equal to 4% of the amounts distributed to the members of the LLC in excess of $300 million.</w:t>
      </w:r>
    </w:p>
    <w:p>
      <w:pPr>
        <w:spacing w:after="0" w:line="182" w:lineRule="exact"/>
        <w:rPr>
          <w:rFonts w:ascii="Arial" w:cs="Arial" w:eastAsia="Arial" w:hAnsi="Arial"/>
          <w:sz w:val="17"/>
          <w:szCs w:val="17"/>
          <w:color w:val="auto"/>
        </w:rPr>
      </w:pPr>
    </w:p>
    <w:p>
      <w:pPr>
        <w:jc w:val="both"/>
        <w:ind w:left="1060" w:hanging="531"/>
        <w:spacing w:after="0" w:line="279"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Between January 1, 2010 and October 4, 2012, the LLC granted value appreciation rights, or VARs, equal to an aggregate of 5.8% of the LLC, at a weighted average exercise price of $15.77 to 268 employees and directors under the Shutterstock Images LLC Value Appreciation Plan. The 268 employees and directors referenced above is comprised of four of our directors, two of our named executive officers, 218 of our other current employees and 44 of our former employees. The above-referenced VAR grants were deemed to be exempt from registration pursuant to Rule 701 promulgated under the Securities Act of 1933, as amended, as transactions pursuant to a compensatory benefit plan approved by the LLC's board. The VAR grant recipients were provided with a copy of the LLC's Value Appreciation Plan at the time of grant and, to the extent required by applicable law, the VAR grant recipients were accredited or sophisticated and either received adequate information about the LLC or had access, through their relationships with the LLC, to such information.</w:t>
      </w:r>
    </w:p>
    <w:p>
      <w:pPr>
        <w:spacing w:after="0" w:line="189" w:lineRule="exact"/>
        <w:rPr>
          <w:rFonts w:ascii="Arial" w:cs="Arial" w:eastAsia="Arial" w:hAnsi="Arial"/>
          <w:sz w:val="16"/>
          <w:szCs w:val="16"/>
          <w:color w:val="auto"/>
        </w:rPr>
      </w:pPr>
    </w:p>
    <w:p>
      <w:pPr>
        <w:ind w:left="1060" w:hanging="531"/>
        <w:spacing w:after="0" w:line="352"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connection with the registrant's reorganization from a New York limited liability company to a Delaware corporation, which occurred on October 5, 2012, Shutterstock, Inc. issued an aggregate of 28,338,281 shares of its common stock to existing members of the LLC and options to purchase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1,661,719 shares of common stock at a weighted average exercise price of $15.79 to existing holders of VAR grants in the LLC pursuant to the registrant's 2012 Omnibus Equity Incentive Plan.</w:t>
      </w:r>
    </w:p>
    <w:p>
      <w:pPr>
        <w:spacing w:after="0" w:line="170"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the transactions were exempt from the registration requirements of the Securities Act of 1933 in reliance on Section 4(2) thereof, and the rules and regulations promulgated thereunder, or Rule 701 thereunder, as transactions by an issuer not involving a public offering or transactions pursuant to compensatory benefit plans and contracts relating to compensation as provided under such Rule 701. The recipients of securities in such transactions represented their intention to acquire the securities for investment only and not with a view to or for sale in connection with any distribution thereof, and appropriate legends were affixed to the share certificates and instruments issued in such transactions. If applicable, the recipient of securities were accredited or sophisticated and either received adequate information about the registrant or had access, through his relationships with the registrant, to such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list of exhibits is set forth under "Exhibit Index" at the end of the registration statement and is incorporated by reference herein.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Financial Statement Schedules</w:t>
      </w:r>
    </w:p>
    <w:p>
      <w:pPr>
        <w:spacing w:after="0" w:line="2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our consolidated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94"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89"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jc w:val="both"/>
        <w:ind w:firstLine="560"/>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August 23, 2013.</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7"/>
          <w:szCs w:val="17"/>
          <w:b w:val="1"/>
          <w:bCs w:val="1"/>
          <w:color w:val="auto"/>
        </w:rPr>
        <w:t>SHUTTERSTOCK, INC.</w:t>
      </w:r>
    </w:p>
    <w:p>
      <w:pPr>
        <w:spacing w:after="0" w:line="254" w:lineRule="exact"/>
        <w:rPr>
          <w:sz w:val="20"/>
          <w:szCs w:val="20"/>
          <w:color w:val="auto"/>
        </w:rPr>
      </w:pPr>
    </w:p>
    <w:p>
      <w:pPr>
        <w:ind w:left="5680"/>
        <w:spacing w:after="0"/>
        <w:tabs>
          <w:tab w:leader="none" w:pos="6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Jonathan Oringer</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5"/>
          <w:szCs w:val="15"/>
          <w:color w:val="auto"/>
        </w:rPr>
        <w:t>Each person whose signature appears below constitutes and appoints Thilo Semmelbauer and Timothy E. Bixby,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Securities and Exchange Commission thereunder, in connection with the registration under the Securities Act of shares of common stock of the registrant (the "Shares"), including, without limitation, the power and authority to sign the name of each of the undersigned in the capacities indicated below to the Registration Statement on Form S-1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66"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218" w:lineRule="exact"/>
        <w:rPr>
          <w:sz w:val="20"/>
          <w:szCs w:val="20"/>
          <w:color w:val="auto"/>
        </w:rPr>
      </w:pPr>
    </w:p>
    <w:p>
      <w:pPr>
        <w:ind w:left="3060"/>
        <w:spacing w:after="0"/>
        <w:tabs>
          <w:tab w:leader="none" w:pos="7140" w:val="left"/>
          <w:tab w:leader="none" w:pos="95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5"/>
              </w:rPr>
              <w:t>/s/ JONATHAN ORINGER</w:t>
            </w:r>
          </w:p>
        </w:tc>
        <w:tc>
          <w:tcPr>
            <w:tcW w:w="3540" w:type="dxa"/>
            <w:vAlign w:val="bottom"/>
          </w:tcPr>
          <w:p>
            <w:pPr>
              <w:jc w:val="center"/>
              <w:spacing w:after="0"/>
              <w:rPr>
                <w:sz w:val="20"/>
                <w:szCs w:val="20"/>
                <w:color w:val="auto"/>
              </w:rPr>
            </w:pPr>
            <w:r>
              <w:rPr>
                <w:rFonts w:ascii="Arial" w:cs="Arial" w:eastAsia="Arial" w:hAnsi="Arial"/>
                <w:sz w:val="17"/>
                <w:szCs w:val="17"/>
                <w:color w:val="auto"/>
                <w:w w:val="92"/>
              </w:rPr>
              <w:t>Founder, Chief Executive Officer and Director</w:t>
            </w:r>
          </w:p>
        </w:tc>
        <w:tc>
          <w:tcPr>
            <w:tcW w:w="2400" w:type="dxa"/>
            <w:vAlign w:val="bottom"/>
          </w:tcPr>
          <w:p>
            <w:pPr>
              <w:ind w:left="140"/>
              <w:spacing w:after="0"/>
              <w:rPr>
                <w:sz w:val="20"/>
                <w:szCs w:val="20"/>
                <w:color w:val="auto"/>
              </w:rPr>
            </w:pPr>
            <w:r>
              <w:rPr>
                <w:rFonts w:ascii="Arial" w:cs="Arial" w:eastAsia="Arial" w:hAnsi="Arial"/>
                <w:sz w:val="17"/>
                <w:szCs w:val="17"/>
                <w:color w:val="auto"/>
              </w:rPr>
              <w:t>August 23,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89"/>
              </w:rPr>
              <w:t>Jonathan Oringer</w:t>
            </w:r>
          </w:p>
        </w:tc>
        <w:tc>
          <w:tcPr>
            <w:tcW w:w="3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8"/>
              </w:rPr>
              <w:t>/s/ THILO SEMMELBAUER</w:t>
            </w:r>
          </w:p>
        </w:tc>
        <w:tc>
          <w:tcPr>
            <w:tcW w:w="3540" w:type="dxa"/>
            <w:vAlign w:val="bottom"/>
          </w:tcPr>
          <w:p>
            <w:pPr>
              <w:jc w:val="center"/>
              <w:spacing w:after="0"/>
              <w:rPr>
                <w:sz w:val="20"/>
                <w:szCs w:val="20"/>
                <w:color w:val="auto"/>
              </w:rPr>
            </w:pPr>
            <w:r>
              <w:rPr>
                <w:rFonts w:ascii="Arial" w:cs="Arial" w:eastAsia="Arial" w:hAnsi="Arial"/>
                <w:sz w:val="17"/>
                <w:szCs w:val="17"/>
                <w:color w:val="auto"/>
                <w:w w:val="91"/>
              </w:rPr>
              <w:t>President and Chief Operating Officer</w:t>
            </w:r>
          </w:p>
        </w:tc>
        <w:tc>
          <w:tcPr>
            <w:tcW w:w="2400" w:type="dxa"/>
            <w:vAlign w:val="bottom"/>
          </w:tcPr>
          <w:p>
            <w:pPr>
              <w:ind w:left="140"/>
              <w:spacing w:after="0"/>
              <w:rPr>
                <w:sz w:val="20"/>
                <w:szCs w:val="20"/>
                <w:color w:val="auto"/>
              </w:rPr>
            </w:pPr>
            <w:r>
              <w:rPr>
                <w:rFonts w:ascii="Arial" w:cs="Arial" w:eastAsia="Arial" w:hAnsi="Arial"/>
                <w:sz w:val="17"/>
                <w:szCs w:val="17"/>
                <w:color w:val="auto"/>
              </w:rPr>
              <w:t>August 23, 2013</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3540" w:type="dxa"/>
            <w:vAlign w:val="bottom"/>
            <w:vMerge w:val="restart"/>
          </w:tcPr>
          <w:p>
            <w:pPr>
              <w:jc w:val="center"/>
              <w:spacing w:after="0"/>
              <w:rPr>
                <w:sz w:val="20"/>
                <w:szCs w:val="20"/>
                <w:color w:val="auto"/>
              </w:rPr>
            </w:pPr>
            <w:r>
              <w:rPr>
                <w:rFonts w:ascii="Arial" w:cs="Arial" w:eastAsia="Arial" w:hAnsi="Arial"/>
                <w:sz w:val="17"/>
                <w:szCs w:val="17"/>
                <w:color w:val="auto"/>
                <w:w w:val="94"/>
              </w:rPr>
              <w:t>(Principal Executive Officer)</w:t>
            </w: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4260" w:type="dxa"/>
            <w:vAlign w:val="bottom"/>
            <w:vMerge w:val="restart"/>
          </w:tcPr>
          <w:p>
            <w:pPr>
              <w:jc w:val="center"/>
              <w:spacing w:after="0"/>
              <w:rPr>
                <w:sz w:val="20"/>
                <w:szCs w:val="20"/>
                <w:color w:val="auto"/>
              </w:rPr>
            </w:pPr>
            <w:r>
              <w:rPr>
                <w:rFonts w:ascii="Arial" w:cs="Arial" w:eastAsia="Arial" w:hAnsi="Arial"/>
                <w:sz w:val="17"/>
                <w:szCs w:val="17"/>
                <w:color w:val="auto"/>
                <w:w w:val="92"/>
              </w:rPr>
              <w:t>Thilo Semmelbauer</w:t>
            </w:r>
          </w:p>
        </w:tc>
        <w:tc>
          <w:tcPr>
            <w:tcW w:w="354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rPr>
              <w:t>/s/ TIMOTHY E. BIXBY</w:t>
            </w:r>
          </w:p>
        </w:tc>
        <w:tc>
          <w:tcPr>
            <w:tcW w:w="3540" w:type="dxa"/>
            <w:vAlign w:val="bottom"/>
          </w:tcPr>
          <w:p>
            <w:pPr>
              <w:jc w:val="center"/>
              <w:spacing w:after="0"/>
              <w:rPr>
                <w:sz w:val="20"/>
                <w:szCs w:val="20"/>
                <w:color w:val="auto"/>
              </w:rPr>
            </w:pPr>
            <w:r>
              <w:rPr>
                <w:rFonts w:ascii="Arial" w:cs="Arial" w:eastAsia="Arial" w:hAnsi="Arial"/>
                <w:sz w:val="17"/>
                <w:szCs w:val="17"/>
                <w:color w:val="auto"/>
                <w:w w:val="94"/>
              </w:rPr>
              <w:t>Chief Financial Officer</w:t>
            </w:r>
          </w:p>
        </w:tc>
        <w:tc>
          <w:tcPr>
            <w:tcW w:w="2400" w:type="dxa"/>
            <w:vAlign w:val="bottom"/>
          </w:tcPr>
          <w:p>
            <w:pPr>
              <w:ind w:left="140"/>
              <w:spacing w:after="0"/>
              <w:rPr>
                <w:sz w:val="20"/>
                <w:szCs w:val="20"/>
                <w:color w:val="auto"/>
              </w:rPr>
            </w:pPr>
            <w:r>
              <w:rPr>
                <w:rFonts w:ascii="Arial" w:cs="Arial" w:eastAsia="Arial" w:hAnsi="Arial"/>
                <w:sz w:val="17"/>
                <w:szCs w:val="17"/>
                <w:color w:val="auto"/>
              </w:rPr>
              <w:t>August 23, 2013</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3540" w:type="dxa"/>
            <w:vAlign w:val="bottom"/>
            <w:vMerge w:val="restart"/>
          </w:tcPr>
          <w:p>
            <w:pPr>
              <w:jc w:val="center"/>
              <w:spacing w:after="0"/>
              <w:rPr>
                <w:sz w:val="20"/>
                <w:szCs w:val="20"/>
                <w:color w:val="auto"/>
              </w:rPr>
            </w:pPr>
            <w:r>
              <w:rPr>
                <w:rFonts w:ascii="Arial" w:cs="Arial" w:eastAsia="Arial" w:hAnsi="Arial"/>
                <w:sz w:val="17"/>
                <w:szCs w:val="17"/>
                <w:color w:val="auto"/>
                <w:w w:val="93"/>
              </w:rPr>
              <w:t>(Principal Financial and Accounting Officer)</w:t>
            </w: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4260" w:type="dxa"/>
            <w:vAlign w:val="bottom"/>
            <w:vMerge w:val="restart"/>
          </w:tcPr>
          <w:p>
            <w:pPr>
              <w:jc w:val="center"/>
              <w:spacing w:after="0"/>
              <w:rPr>
                <w:sz w:val="20"/>
                <w:szCs w:val="20"/>
                <w:color w:val="auto"/>
              </w:rPr>
            </w:pPr>
            <w:r>
              <w:rPr>
                <w:rFonts w:ascii="Arial" w:cs="Arial" w:eastAsia="Arial" w:hAnsi="Arial"/>
                <w:sz w:val="17"/>
                <w:szCs w:val="17"/>
                <w:color w:val="auto"/>
                <w:w w:val="97"/>
              </w:rPr>
              <w:t>Timothy E. Bixby</w:t>
            </w:r>
          </w:p>
        </w:tc>
        <w:tc>
          <w:tcPr>
            <w:tcW w:w="354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540" w:type="dxa"/>
            <w:vAlign w:val="bottom"/>
          </w:tcPr>
          <w:p>
            <w:pPr>
              <w:ind w:left="100"/>
              <w:spacing w:after="0"/>
              <w:rPr>
                <w:sz w:val="20"/>
                <w:szCs w:val="20"/>
                <w:color w:val="auto"/>
              </w:rPr>
            </w:pPr>
            <w:r>
              <w:rPr>
                <w:rFonts w:ascii="Arial" w:cs="Arial" w:eastAsia="Arial" w:hAnsi="Arial"/>
                <w:sz w:val="17"/>
                <w:szCs w:val="17"/>
                <w:color w:val="auto"/>
              </w:rPr>
              <w:t>II-4</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p>
      <w:pPr>
        <w:ind w:left="3060"/>
        <w:spacing w:after="0"/>
        <w:tabs>
          <w:tab w:leader="none" w:pos="7140" w:val="left"/>
          <w:tab w:leader="none" w:pos="95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3"/>
              </w:rPr>
              <w:t>/s/ STEVEN BERNS</w:t>
            </w:r>
          </w:p>
        </w:tc>
        <w:tc>
          <w:tcPr>
            <w:tcW w:w="28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88"/>
              </w:rPr>
              <w:t>Steven Berns</w:t>
            </w:r>
          </w:p>
        </w:tc>
        <w:tc>
          <w:tcPr>
            <w:tcW w:w="2880" w:type="dxa"/>
            <w:vAlign w:val="bottom"/>
          </w:tcPr>
          <w:p>
            <w:pPr>
              <w:ind w:left="1520"/>
              <w:spacing w:after="0"/>
              <w:rPr>
                <w:sz w:val="20"/>
                <w:szCs w:val="20"/>
                <w:color w:val="auto"/>
              </w:rPr>
            </w:pPr>
            <w:r>
              <w:rPr>
                <w:rFonts w:ascii="Arial" w:cs="Arial" w:eastAsia="Arial" w:hAnsi="Arial"/>
                <w:sz w:val="17"/>
                <w:szCs w:val="17"/>
                <w:color w:val="auto"/>
              </w:rPr>
              <w:t>Director</w:t>
            </w:r>
          </w:p>
        </w:tc>
        <w:tc>
          <w:tcPr>
            <w:tcW w:w="3060" w:type="dxa"/>
            <w:vAlign w:val="bottom"/>
          </w:tcPr>
          <w:p>
            <w:pPr>
              <w:ind w:left="800"/>
              <w:spacing w:after="0"/>
              <w:rPr>
                <w:sz w:val="20"/>
                <w:szCs w:val="20"/>
                <w:color w:val="auto"/>
              </w:rPr>
            </w:pPr>
            <w:r>
              <w:rPr>
                <w:rFonts w:ascii="Arial" w:cs="Arial" w:eastAsia="Arial" w:hAnsi="Arial"/>
                <w:sz w:val="17"/>
                <w:szCs w:val="17"/>
                <w:color w:val="auto"/>
              </w:rPr>
              <w:t>August 23, 2013</w:t>
            </w:r>
          </w:p>
        </w:tc>
      </w:tr>
      <w:tr>
        <w:trPr>
          <w:trHeight w:val="446"/>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0"/>
              </w:rPr>
              <w:t>/s/ JEFF EPSTEIN</w:t>
            </w: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0"/>
              </w:rPr>
              <w:t>Jeff Epstein</w:t>
            </w:r>
          </w:p>
        </w:tc>
        <w:tc>
          <w:tcPr>
            <w:tcW w:w="2880" w:type="dxa"/>
            <w:vAlign w:val="bottom"/>
          </w:tcPr>
          <w:p>
            <w:pPr>
              <w:ind w:left="1520"/>
              <w:spacing w:after="0"/>
              <w:rPr>
                <w:sz w:val="20"/>
                <w:szCs w:val="20"/>
                <w:color w:val="auto"/>
              </w:rPr>
            </w:pPr>
            <w:r>
              <w:rPr>
                <w:rFonts w:ascii="Arial" w:cs="Arial" w:eastAsia="Arial" w:hAnsi="Arial"/>
                <w:sz w:val="17"/>
                <w:szCs w:val="17"/>
                <w:color w:val="auto"/>
              </w:rPr>
              <w:t>Director</w:t>
            </w:r>
          </w:p>
        </w:tc>
        <w:tc>
          <w:tcPr>
            <w:tcW w:w="3060" w:type="dxa"/>
            <w:vAlign w:val="bottom"/>
          </w:tcPr>
          <w:p>
            <w:pPr>
              <w:ind w:left="800"/>
              <w:spacing w:after="0"/>
              <w:rPr>
                <w:sz w:val="20"/>
                <w:szCs w:val="20"/>
                <w:color w:val="auto"/>
              </w:rPr>
            </w:pPr>
            <w:r>
              <w:rPr>
                <w:rFonts w:ascii="Arial" w:cs="Arial" w:eastAsia="Arial" w:hAnsi="Arial"/>
                <w:sz w:val="17"/>
                <w:szCs w:val="17"/>
                <w:color w:val="auto"/>
              </w:rPr>
              <w:t>August 23, 2013</w:t>
            </w:r>
          </w:p>
        </w:tc>
      </w:tr>
      <w:tr>
        <w:trPr>
          <w:trHeight w:val="446"/>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4"/>
              </w:rPr>
              <w:t>/s/ TOM EVANS</w:t>
            </w: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88"/>
              </w:rPr>
              <w:t>Tom Evans</w:t>
            </w:r>
          </w:p>
        </w:tc>
        <w:tc>
          <w:tcPr>
            <w:tcW w:w="2880" w:type="dxa"/>
            <w:vAlign w:val="bottom"/>
          </w:tcPr>
          <w:p>
            <w:pPr>
              <w:ind w:left="1520"/>
              <w:spacing w:after="0"/>
              <w:rPr>
                <w:sz w:val="20"/>
                <w:szCs w:val="20"/>
                <w:color w:val="auto"/>
              </w:rPr>
            </w:pPr>
            <w:r>
              <w:rPr>
                <w:rFonts w:ascii="Arial" w:cs="Arial" w:eastAsia="Arial" w:hAnsi="Arial"/>
                <w:sz w:val="17"/>
                <w:szCs w:val="17"/>
                <w:color w:val="auto"/>
              </w:rPr>
              <w:t>Director</w:t>
            </w:r>
          </w:p>
        </w:tc>
        <w:tc>
          <w:tcPr>
            <w:tcW w:w="3060" w:type="dxa"/>
            <w:vAlign w:val="bottom"/>
          </w:tcPr>
          <w:p>
            <w:pPr>
              <w:ind w:left="800"/>
              <w:spacing w:after="0"/>
              <w:rPr>
                <w:sz w:val="20"/>
                <w:szCs w:val="20"/>
                <w:color w:val="auto"/>
              </w:rPr>
            </w:pPr>
            <w:r>
              <w:rPr>
                <w:rFonts w:ascii="Arial" w:cs="Arial" w:eastAsia="Arial" w:hAnsi="Arial"/>
                <w:sz w:val="17"/>
                <w:szCs w:val="17"/>
                <w:color w:val="auto"/>
              </w:rPr>
              <w:t>August 23, 2013</w:t>
            </w:r>
          </w:p>
        </w:tc>
      </w:tr>
      <w:tr>
        <w:trPr>
          <w:trHeight w:val="446"/>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6"/>
              </w:rPr>
              <w:t>/s/ JEFFREY LIEBERMAN</w:t>
            </w: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1"/>
              </w:rPr>
              <w:t>Jeffrey Lieberman</w:t>
            </w:r>
          </w:p>
        </w:tc>
        <w:tc>
          <w:tcPr>
            <w:tcW w:w="2880" w:type="dxa"/>
            <w:vAlign w:val="bottom"/>
          </w:tcPr>
          <w:p>
            <w:pPr>
              <w:ind w:left="1520"/>
              <w:spacing w:after="0"/>
              <w:rPr>
                <w:sz w:val="20"/>
                <w:szCs w:val="20"/>
                <w:color w:val="auto"/>
              </w:rPr>
            </w:pPr>
            <w:r>
              <w:rPr>
                <w:rFonts w:ascii="Arial" w:cs="Arial" w:eastAsia="Arial" w:hAnsi="Arial"/>
                <w:sz w:val="17"/>
                <w:szCs w:val="17"/>
                <w:color w:val="auto"/>
              </w:rPr>
              <w:t>Director</w:t>
            </w:r>
          </w:p>
        </w:tc>
        <w:tc>
          <w:tcPr>
            <w:tcW w:w="3060" w:type="dxa"/>
            <w:vAlign w:val="bottom"/>
          </w:tcPr>
          <w:p>
            <w:pPr>
              <w:ind w:left="800"/>
              <w:spacing w:after="0"/>
              <w:rPr>
                <w:sz w:val="20"/>
                <w:szCs w:val="20"/>
                <w:color w:val="auto"/>
              </w:rPr>
            </w:pPr>
            <w:r>
              <w:rPr>
                <w:rFonts w:ascii="Arial" w:cs="Arial" w:eastAsia="Arial" w:hAnsi="Arial"/>
                <w:sz w:val="17"/>
                <w:szCs w:val="17"/>
                <w:color w:val="auto"/>
              </w:rPr>
              <w:t>August 23, 2013</w:t>
            </w:r>
          </w:p>
        </w:tc>
      </w:tr>
      <w:tr>
        <w:trPr>
          <w:trHeight w:val="446"/>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7"/>
              </w:rPr>
              <w:t>/s/ JON MILLER</w:t>
            </w: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94"/>
        </w:trPr>
        <w:tc>
          <w:tcPr>
            <w:tcW w:w="12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279"/>
        </w:trPr>
        <w:tc>
          <w:tcPr>
            <w:tcW w:w="1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6"/>
              </w:rPr>
              <w:t>Jon Miller</w:t>
            </w:r>
          </w:p>
        </w:tc>
        <w:tc>
          <w:tcPr>
            <w:tcW w:w="2880" w:type="dxa"/>
            <w:vAlign w:val="bottom"/>
          </w:tcPr>
          <w:p>
            <w:pPr>
              <w:ind w:left="1520"/>
              <w:spacing w:after="0"/>
              <w:rPr>
                <w:sz w:val="20"/>
                <w:szCs w:val="20"/>
                <w:color w:val="auto"/>
              </w:rPr>
            </w:pPr>
            <w:r>
              <w:rPr>
                <w:rFonts w:ascii="Arial" w:cs="Arial" w:eastAsia="Arial" w:hAnsi="Arial"/>
                <w:sz w:val="17"/>
                <w:szCs w:val="17"/>
                <w:color w:val="auto"/>
              </w:rPr>
              <w:t>Director</w:t>
            </w:r>
          </w:p>
        </w:tc>
        <w:tc>
          <w:tcPr>
            <w:tcW w:w="3060" w:type="dxa"/>
            <w:vAlign w:val="bottom"/>
          </w:tcPr>
          <w:p>
            <w:pPr>
              <w:ind w:left="800"/>
              <w:spacing w:after="0"/>
              <w:rPr>
                <w:sz w:val="20"/>
                <w:szCs w:val="20"/>
                <w:color w:val="auto"/>
              </w:rPr>
            </w:pPr>
            <w:r>
              <w:rPr>
                <w:rFonts w:ascii="Arial" w:cs="Arial" w:eastAsia="Arial" w:hAnsi="Arial"/>
                <w:sz w:val="17"/>
                <w:szCs w:val="17"/>
                <w:color w:val="auto"/>
              </w:rPr>
              <w:t>August 23, 2013</w:t>
            </w:r>
          </w:p>
        </w:tc>
      </w:tr>
      <w:tr>
        <w:trPr>
          <w:trHeight w:val="419"/>
        </w:trPr>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80" w:type="dxa"/>
            <w:vAlign w:val="bottom"/>
          </w:tcPr>
          <w:p>
            <w:pPr>
              <w:ind w:left="100"/>
              <w:spacing w:after="0"/>
              <w:rPr>
                <w:sz w:val="20"/>
                <w:szCs w:val="20"/>
                <w:color w:val="auto"/>
              </w:rPr>
            </w:pPr>
            <w:r>
              <w:rPr>
                <w:rFonts w:ascii="Arial" w:cs="Arial" w:eastAsia="Arial" w:hAnsi="Arial"/>
                <w:sz w:val="17"/>
                <w:szCs w:val="17"/>
                <w:color w:val="auto"/>
              </w:rPr>
              <w:t>II-5</w:t>
            </w:r>
          </w:p>
        </w:tc>
        <w:tc>
          <w:tcPr>
            <w:tcW w:w="3060" w:type="dxa"/>
            <w:vAlign w:val="bottom"/>
          </w:tcPr>
          <w:p>
            <w:pPr>
              <w:spacing w:after="0"/>
              <w:rPr>
                <w:sz w:val="24"/>
                <w:szCs w:val="24"/>
                <w:color w:val="auto"/>
              </w:rPr>
            </w:pPr>
          </w:p>
        </w:tc>
      </w:tr>
      <w:tr>
        <w:trPr>
          <w:trHeight w:val="222"/>
        </w:trPr>
        <w:tc>
          <w:tcPr>
            <w:tcW w:w="12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Pr>
          <w:p>
            <w:pPr>
              <w:ind w:left="2720"/>
              <w:spacing w:after="0"/>
              <w:rPr>
                <w:sz w:val="20"/>
                <w:szCs w:val="20"/>
                <w:color w:val="auto"/>
              </w:rPr>
            </w:pPr>
            <w:r>
              <w:rPr>
                <w:rFonts w:ascii="Arial" w:cs="Arial" w:eastAsia="Arial" w:hAnsi="Arial"/>
                <w:sz w:val="17"/>
                <w:szCs w:val="17"/>
                <w:b w:val="1"/>
                <w:bCs w:val="1"/>
                <w:color w:val="auto"/>
              </w:rPr>
              <w:t>EXHIBIT INDEX</w:t>
            </w:r>
          </w:p>
        </w:tc>
      </w:tr>
      <w:tr>
        <w:trPr>
          <w:trHeight w:val="553"/>
        </w:trPr>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Exhibit</w:t>
            </w:r>
          </w:p>
        </w:tc>
        <w:tc>
          <w:tcPr>
            <w:tcW w:w="4480" w:type="dxa"/>
            <w:vAlign w:val="bottom"/>
          </w:tcPr>
          <w:p>
            <w:pPr>
              <w:spacing w:after="0"/>
              <w:rPr>
                <w:sz w:val="24"/>
                <w:szCs w:val="24"/>
                <w:color w:val="auto"/>
              </w:rPr>
            </w:pPr>
          </w:p>
        </w:tc>
      </w:tr>
      <w:tr>
        <w:trPr>
          <w:trHeight w:val="157"/>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340" w:type="dxa"/>
            <w:vAlign w:val="bottom"/>
          </w:tcPr>
          <w:p>
            <w:pPr>
              <w:spacing w:after="0"/>
              <w:rPr>
                <w:sz w:val="13"/>
                <w:szCs w:val="13"/>
                <w:color w:val="auto"/>
              </w:rPr>
            </w:pPr>
          </w:p>
        </w:tc>
        <w:tc>
          <w:tcPr>
            <w:tcW w:w="448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1.1*</w:t>
            </w: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2.1</w:t>
            </w:r>
          </w:p>
        </w:tc>
        <w:tc>
          <w:tcPr>
            <w:tcW w:w="4480" w:type="dxa"/>
            <w:vAlign w:val="bottom"/>
          </w:tcPr>
          <w:p>
            <w:pPr>
              <w:spacing w:after="0"/>
              <w:rPr>
                <w:sz w:val="20"/>
                <w:szCs w:val="20"/>
                <w:color w:val="auto"/>
              </w:rPr>
            </w:pPr>
            <w:r>
              <w:rPr>
                <w:rFonts w:ascii="Arial" w:cs="Arial" w:eastAsia="Arial" w:hAnsi="Arial"/>
                <w:sz w:val="17"/>
                <w:szCs w:val="17"/>
                <w:color w:val="auto"/>
                <w:w w:val="97"/>
              </w:rPr>
              <w:t>Agreement and Plan of Merger, dated as of October 5, 2012,</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between the Registrant and Shutterstock Images LLC.</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2.2</w:t>
            </w:r>
          </w:p>
        </w:tc>
        <w:tc>
          <w:tcPr>
            <w:tcW w:w="4480" w:type="dxa"/>
            <w:vAlign w:val="bottom"/>
          </w:tcPr>
          <w:p>
            <w:pPr>
              <w:spacing w:after="0"/>
              <w:rPr>
                <w:sz w:val="20"/>
                <w:szCs w:val="20"/>
                <w:color w:val="auto"/>
              </w:rPr>
            </w:pPr>
            <w:r>
              <w:rPr>
                <w:rFonts w:ascii="Arial" w:cs="Arial" w:eastAsia="Arial" w:hAnsi="Arial"/>
                <w:sz w:val="17"/>
                <w:szCs w:val="17"/>
                <w:color w:val="auto"/>
                <w:w w:val="97"/>
              </w:rPr>
              <w:t>Agreement and Plan of Merger, dated as of October 5, 2012,</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w w:val="98"/>
              </w:rPr>
              <w:t>among the Registrant, Shutterstock Investors II, Inc., Insight</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Venture Partners (Cayman) V, L.P., Shutterstock Investors</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w w:val="92"/>
              </w:rPr>
              <w:t>III, Inc. and Insight Venture Partners V Coinvestment Fund, L.P.</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3.1</w:t>
            </w:r>
          </w:p>
        </w:tc>
        <w:tc>
          <w:tcPr>
            <w:tcW w:w="4480" w:type="dxa"/>
            <w:vAlign w:val="bottom"/>
          </w:tcPr>
          <w:p>
            <w:pPr>
              <w:spacing w:after="0"/>
              <w:rPr>
                <w:sz w:val="20"/>
                <w:szCs w:val="20"/>
                <w:color w:val="auto"/>
              </w:rPr>
            </w:pPr>
            <w:r>
              <w:rPr>
                <w:rFonts w:ascii="Arial" w:cs="Arial" w:eastAsia="Arial" w:hAnsi="Arial"/>
                <w:sz w:val="17"/>
                <w:szCs w:val="17"/>
                <w:color w:val="auto"/>
              </w:rPr>
              <w:t>Amended and Restated Certificate of Incorporation of the</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Registrant, as currently in effect.</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3.2</w:t>
            </w:r>
          </w:p>
        </w:tc>
        <w:tc>
          <w:tcPr>
            <w:tcW w:w="4480" w:type="dxa"/>
            <w:vAlign w:val="bottom"/>
          </w:tcPr>
          <w:p>
            <w:pPr>
              <w:spacing w:after="0"/>
              <w:rPr>
                <w:sz w:val="20"/>
                <w:szCs w:val="20"/>
                <w:color w:val="auto"/>
              </w:rPr>
            </w:pPr>
            <w:r>
              <w:rPr>
                <w:rFonts w:ascii="Arial" w:cs="Arial" w:eastAsia="Arial" w:hAnsi="Arial"/>
                <w:sz w:val="17"/>
                <w:szCs w:val="17"/>
                <w:color w:val="auto"/>
                <w:w w:val="92"/>
              </w:rPr>
              <w:t>Amended and Restated Bylaws of the Registrant, as currently in</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effect.</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4.1</w:t>
            </w:r>
          </w:p>
        </w:tc>
        <w:tc>
          <w:tcPr>
            <w:tcW w:w="4480" w:type="dxa"/>
            <w:vAlign w:val="bottom"/>
          </w:tcPr>
          <w:p>
            <w:pPr>
              <w:spacing w:after="0"/>
              <w:rPr>
                <w:sz w:val="20"/>
                <w:szCs w:val="20"/>
                <w:color w:val="auto"/>
              </w:rPr>
            </w:pPr>
            <w:r>
              <w:rPr>
                <w:rFonts w:ascii="Arial" w:cs="Arial" w:eastAsia="Arial" w:hAnsi="Arial"/>
                <w:sz w:val="17"/>
                <w:szCs w:val="17"/>
                <w:color w:val="auto"/>
                <w:w w:val="97"/>
              </w:rPr>
              <w:t>Registration Rights Agreement, dated as of October 5, 2012,</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w w:val="95"/>
              </w:rPr>
              <w:t>between the Registrant and the investors listed on Schedule 1</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thereto.</w:t>
            </w:r>
          </w:p>
        </w:tc>
      </w:tr>
      <w:tr>
        <w:trPr>
          <w:trHeight w:val="210"/>
        </w:trPr>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5.1*</w:t>
            </w:r>
          </w:p>
        </w:tc>
        <w:tc>
          <w:tcPr>
            <w:tcW w:w="4480" w:type="dxa"/>
            <w:vAlign w:val="bottom"/>
          </w:tcPr>
          <w:p>
            <w:pPr>
              <w:spacing w:after="0"/>
              <w:rPr>
                <w:sz w:val="20"/>
                <w:szCs w:val="20"/>
                <w:color w:val="auto"/>
              </w:rPr>
            </w:pPr>
            <w:r>
              <w:rPr>
                <w:rFonts w:ascii="Arial" w:cs="Arial" w:eastAsia="Arial" w:hAnsi="Arial"/>
                <w:sz w:val="17"/>
                <w:szCs w:val="17"/>
                <w:color w:val="auto"/>
              </w:rPr>
              <w:t>Opinion of Orrick, Herrington &amp; Sutcliffe LLP.</w:t>
            </w:r>
          </w:p>
        </w:tc>
      </w:tr>
      <w:tr>
        <w:trPr>
          <w:trHeight w:val="210"/>
        </w:trPr>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10.1+</w:t>
            </w:r>
          </w:p>
        </w:tc>
        <w:tc>
          <w:tcPr>
            <w:tcW w:w="4480" w:type="dxa"/>
            <w:vAlign w:val="bottom"/>
          </w:tcPr>
          <w:p>
            <w:pPr>
              <w:spacing w:after="0"/>
              <w:rPr>
                <w:sz w:val="20"/>
                <w:szCs w:val="20"/>
                <w:color w:val="auto"/>
              </w:rPr>
            </w:pPr>
            <w:r>
              <w:rPr>
                <w:rFonts w:ascii="Arial" w:cs="Arial" w:eastAsia="Arial" w:hAnsi="Arial"/>
                <w:sz w:val="17"/>
                <w:szCs w:val="17"/>
                <w:color w:val="auto"/>
                <w:w w:val="93"/>
              </w:rPr>
              <w:t>Form of Indemnification Agreement between the Registrant and</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each of its Officers and Directors.</w:t>
            </w:r>
          </w:p>
        </w:tc>
      </w:tr>
      <w:tr>
        <w:trPr>
          <w:trHeight w:val="210"/>
        </w:trPr>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10.2+</w:t>
            </w:r>
          </w:p>
        </w:tc>
        <w:tc>
          <w:tcPr>
            <w:tcW w:w="4480" w:type="dxa"/>
            <w:vAlign w:val="bottom"/>
          </w:tcPr>
          <w:p>
            <w:pPr>
              <w:spacing w:after="0"/>
              <w:rPr>
                <w:sz w:val="20"/>
                <w:szCs w:val="20"/>
                <w:color w:val="auto"/>
              </w:rPr>
            </w:pPr>
            <w:r>
              <w:rPr>
                <w:rFonts w:ascii="Arial" w:cs="Arial" w:eastAsia="Arial" w:hAnsi="Arial"/>
                <w:sz w:val="17"/>
                <w:szCs w:val="17"/>
                <w:color w:val="auto"/>
              </w:rPr>
              <w:t>2012 Omnibus Equity Incentive Plan and Form of Award</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Agreements.</w:t>
            </w:r>
          </w:p>
        </w:tc>
      </w:tr>
      <w:tr>
        <w:trPr>
          <w:trHeight w:val="210"/>
        </w:trPr>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10.3+</w:t>
            </w:r>
          </w:p>
        </w:tc>
        <w:tc>
          <w:tcPr>
            <w:tcW w:w="4480" w:type="dxa"/>
            <w:vAlign w:val="bottom"/>
          </w:tcPr>
          <w:p>
            <w:pPr>
              <w:spacing w:after="0"/>
              <w:rPr>
                <w:sz w:val="20"/>
                <w:szCs w:val="20"/>
                <w:color w:val="auto"/>
              </w:rPr>
            </w:pPr>
            <w:r>
              <w:rPr>
                <w:rFonts w:ascii="Arial" w:cs="Arial" w:eastAsia="Arial" w:hAnsi="Arial"/>
                <w:sz w:val="17"/>
                <w:szCs w:val="17"/>
                <w:color w:val="auto"/>
                <w:w w:val="93"/>
              </w:rPr>
              <w:t>2012 Employee Stock Purchase Plan and Form of Subscription</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Agreement.</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10.4</w:t>
            </w:r>
          </w:p>
        </w:tc>
        <w:tc>
          <w:tcPr>
            <w:tcW w:w="4480" w:type="dxa"/>
            <w:vAlign w:val="bottom"/>
          </w:tcPr>
          <w:p>
            <w:pPr>
              <w:spacing w:after="0"/>
              <w:rPr>
                <w:sz w:val="20"/>
                <w:szCs w:val="20"/>
                <w:color w:val="auto"/>
              </w:rPr>
            </w:pPr>
            <w:r>
              <w:rPr>
                <w:rFonts w:ascii="Arial" w:cs="Arial" w:eastAsia="Arial" w:hAnsi="Arial"/>
                <w:sz w:val="17"/>
                <w:szCs w:val="17"/>
                <w:color w:val="auto"/>
                <w:w w:val="92"/>
              </w:rPr>
              <w:t>Lease Agreement, between Shutterstock Images LLC and Wells</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60 Broad Street, LLC, dated November 6, 2008.</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10.5</w:t>
            </w:r>
          </w:p>
        </w:tc>
        <w:tc>
          <w:tcPr>
            <w:tcW w:w="4480" w:type="dxa"/>
            <w:vAlign w:val="bottom"/>
          </w:tcPr>
          <w:p>
            <w:pPr>
              <w:spacing w:after="0"/>
              <w:rPr>
                <w:sz w:val="20"/>
                <w:szCs w:val="20"/>
                <w:color w:val="auto"/>
              </w:rPr>
            </w:pPr>
            <w:r>
              <w:rPr>
                <w:rFonts w:ascii="Arial" w:cs="Arial" w:eastAsia="Arial" w:hAnsi="Arial"/>
                <w:sz w:val="17"/>
                <w:szCs w:val="17"/>
                <w:color w:val="auto"/>
                <w:w w:val="94"/>
              </w:rPr>
              <w:t>Amendment to Lease between Wells 60 Broad Street, LLC and</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Shutterstock Images LLC, dated as of March 21, 2012.</w:t>
            </w:r>
          </w:p>
        </w:tc>
      </w:tr>
      <w:tr>
        <w:trPr>
          <w:trHeight w:val="210"/>
        </w:trPr>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10.6</w:t>
            </w:r>
          </w:p>
        </w:tc>
        <w:tc>
          <w:tcPr>
            <w:tcW w:w="4480" w:type="dxa"/>
            <w:vAlign w:val="bottom"/>
          </w:tcPr>
          <w:p>
            <w:pPr>
              <w:spacing w:after="0"/>
              <w:rPr>
                <w:sz w:val="20"/>
                <w:szCs w:val="20"/>
                <w:color w:val="auto"/>
              </w:rPr>
            </w:pPr>
            <w:r>
              <w:rPr>
                <w:rFonts w:ascii="Arial" w:cs="Arial" w:eastAsia="Arial" w:hAnsi="Arial"/>
                <w:sz w:val="17"/>
                <w:szCs w:val="17"/>
                <w:color w:val="auto"/>
                <w:w w:val="95"/>
              </w:rPr>
              <w:t>Sublease between Shutterstock Images LLC and WJB Capital</w:t>
            </w:r>
          </w:p>
        </w:tc>
      </w:tr>
      <w:tr>
        <w:trPr>
          <w:trHeight w:val="210"/>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Group, Inc., dated as of November 18, 2010.</w:t>
            </w:r>
          </w:p>
        </w:tc>
      </w:tr>
      <w:tr>
        <w:trPr>
          <w:trHeight w:val="216"/>
        </w:trPr>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10.7+</w:t>
            </w:r>
          </w:p>
        </w:tc>
        <w:tc>
          <w:tcPr>
            <w:tcW w:w="4480" w:type="dxa"/>
            <w:vAlign w:val="bottom"/>
          </w:tcPr>
          <w:p>
            <w:pPr>
              <w:spacing w:after="0"/>
              <w:rPr>
                <w:sz w:val="20"/>
                <w:szCs w:val="20"/>
                <w:color w:val="auto"/>
              </w:rPr>
            </w:pPr>
            <w:r>
              <w:rPr>
                <w:rFonts w:ascii="Arial" w:cs="Arial" w:eastAsia="Arial" w:hAnsi="Arial"/>
                <w:sz w:val="17"/>
                <w:szCs w:val="17"/>
                <w:color w:val="auto"/>
              </w:rPr>
              <w:t>Shutterstock, Inc. Short-Term Incentive Plan.</w:t>
            </w:r>
          </w:p>
        </w:tc>
      </w:tr>
    </w:tbl>
    <w:p>
      <w:pPr>
        <w:spacing w:after="0" w:line="204" w:lineRule="exact"/>
        <w:rPr>
          <w:sz w:val="20"/>
          <w:szCs w:val="20"/>
          <w:color w:val="auto"/>
        </w:rPr>
      </w:pPr>
    </w:p>
    <w:p>
      <w:pPr>
        <w:ind w:left="2320" w:right="100" w:hanging="638"/>
        <w:spacing w:after="0" w:line="261" w:lineRule="auto"/>
        <w:rPr>
          <w:sz w:val="20"/>
          <w:szCs w:val="20"/>
          <w:color w:val="auto"/>
        </w:rPr>
      </w:pPr>
      <w:r>
        <w:rPr>
          <w:rFonts w:ascii="Arial" w:cs="Arial" w:eastAsia="Arial" w:hAnsi="Arial"/>
          <w:sz w:val="17"/>
          <w:szCs w:val="17"/>
          <w:color w:val="auto"/>
        </w:rPr>
        <w:t>10.8(a)+ Employment Agreement between Shutterstock Images LLC and Jonathan Oringer dated September 24, 2012.</w:t>
      </w:r>
    </w:p>
    <w:p>
      <w:pPr>
        <w:jc w:val="both"/>
        <w:ind w:left="2320" w:right="780" w:hanging="638"/>
        <w:spacing w:after="0" w:line="257" w:lineRule="auto"/>
        <w:rPr>
          <w:sz w:val="20"/>
          <w:szCs w:val="20"/>
          <w:color w:val="auto"/>
        </w:rPr>
      </w:pPr>
      <w:r>
        <w:rPr>
          <w:rFonts w:ascii="Arial" w:cs="Arial" w:eastAsia="Arial" w:hAnsi="Arial"/>
          <w:sz w:val="17"/>
          <w:szCs w:val="17"/>
          <w:color w:val="auto"/>
        </w:rPr>
        <w:t>10.8(b)+ Severance and Change in Control Agreement between Shutterstock Images LLC and Jonathan Oringer dated September 24, 2012.</w:t>
      </w:r>
    </w:p>
    <w:p>
      <w:pPr>
        <w:spacing w:after="0" w:line="1" w:lineRule="exact"/>
        <w:rPr>
          <w:sz w:val="20"/>
          <w:szCs w:val="20"/>
          <w:color w:val="auto"/>
        </w:rPr>
      </w:pPr>
    </w:p>
    <w:p>
      <w:pPr>
        <w:ind w:left="2320" w:right="100" w:hanging="638"/>
        <w:spacing w:after="0" w:line="275" w:lineRule="auto"/>
        <w:rPr>
          <w:sz w:val="20"/>
          <w:szCs w:val="20"/>
          <w:color w:val="auto"/>
        </w:rPr>
      </w:pPr>
      <w:r>
        <w:rPr>
          <w:rFonts w:ascii="Arial" w:cs="Arial" w:eastAsia="Arial" w:hAnsi="Arial"/>
          <w:sz w:val="17"/>
          <w:szCs w:val="17"/>
          <w:color w:val="auto"/>
        </w:rPr>
        <w:t>10.9(a)+ Employment Agreement between Shutterstock Images LLC and Thilo Semmelbauer dated March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auto"/>
        </w:rPr>
        <w:t>Incorporated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60" w:type="dxa"/>
            <w:vAlign w:val="bottom"/>
            <w:tcBorders>
              <w:top w:val="single" w:sz="8" w:color="auto"/>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Form</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File No.</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Exhibit(s)</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ind w:left="200"/>
              <w:spacing w:after="0" w:line="138" w:lineRule="exact"/>
              <w:rPr>
                <w:sz w:val="20"/>
                <w:szCs w:val="20"/>
                <w:color w:val="auto"/>
              </w:rPr>
            </w:pPr>
            <w:r>
              <w:rPr>
                <w:rFonts w:ascii="Arial" w:cs="Arial" w:eastAsia="Arial" w:hAnsi="Arial"/>
                <w:sz w:val="13"/>
                <w:szCs w:val="13"/>
                <w:b w:val="1"/>
                <w:bCs w:val="1"/>
                <w:color w:val="auto"/>
              </w:rPr>
              <w:t>Filing Date</w:t>
            </w:r>
          </w:p>
        </w:tc>
      </w:tr>
      <w:tr>
        <w:trPr>
          <w:trHeight w:val="404"/>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1000" w:type="dxa"/>
            <w:vAlign w:val="bottom"/>
          </w:tcPr>
          <w:p>
            <w:pPr>
              <w:spacing w:after="0"/>
              <w:rPr>
                <w:sz w:val="20"/>
                <w:szCs w:val="20"/>
                <w:color w:val="auto"/>
              </w:rPr>
            </w:pPr>
            <w:r>
              <w:rPr>
                <w:rFonts w:ascii="Arial" w:cs="Arial" w:eastAsia="Arial" w:hAnsi="Arial"/>
                <w:sz w:val="17"/>
                <w:szCs w:val="17"/>
                <w:color w:val="auto"/>
              </w:rPr>
              <w:t>October 5,</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1000" w:type="dxa"/>
            <w:vAlign w:val="bottom"/>
          </w:tcPr>
          <w:p>
            <w:pPr>
              <w:spacing w:after="0"/>
              <w:rPr>
                <w:sz w:val="20"/>
                <w:szCs w:val="20"/>
                <w:color w:val="auto"/>
              </w:rPr>
            </w:pPr>
            <w:r>
              <w:rPr>
                <w:rFonts w:ascii="Arial" w:cs="Arial" w:eastAsia="Arial" w:hAnsi="Arial"/>
                <w:sz w:val="17"/>
                <w:szCs w:val="17"/>
                <w:color w:val="auto"/>
              </w:rPr>
              <w:t>October 5,</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623"/>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3.2</w:t>
            </w:r>
          </w:p>
        </w:tc>
        <w:tc>
          <w:tcPr>
            <w:tcW w:w="1000" w:type="dxa"/>
            <w:vAlign w:val="bottom"/>
          </w:tcPr>
          <w:p>
            <w:pPr>
              <w:spacing w:after="0"/>
              <w:rPr>
                <w:sz w:val="20"/>
                <w:szCs w:val="20"/>
                <w:color w:val="auto"/>
              </w:rPr>
            </w:pPr>
            <w:r>
              <w:rPr>
                <w:rFonts w:ascii="Arial" w:cs="Arial" w:eastAsia="Arial" w:hAnsi="Arial"/>
                <w:sz w:val="17"/>
                <w:szCs w:val="17"/>
                <w:color w:val="auto"/>
                <w:w w:val="90"/>
              </w:rPr>
              <w:t>June 29, 2012</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3.4</w:t>
            </w:r>
          </w:p>
        </w:tc>
        <w:tc>
          <w:tcPr>
            <w:tcW w:w="1000" w:type="dxa"/>
            <w:vAlign w:val="bottom"/>
          </w:tcPr>
          <w:p>
            <w:pPr>
              <w:spacing w:after="0"/>
              <w:rPr>
                <w:sz w:val="20"/>
                <w:szCs w:val="20"/>
                <w:color w:val="auto"/>
              </w:rPr>
            </w:pPr>
            <w:r>
              <w:rPr>
                <w:rFonts w:ascii="Arial" w:cs="Arial" w:eastAsia="Arial" w:hAnsi="Arial"/>
                <w:sz w:val="17"/>
                <w:szCs w:val="17"/>
                <w:color w:val="auto"/>
                <w:w w:val="87"/>
              </w:rPr>
              <w:t>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4.2</w:t>
            </w:r>
          </w:p>
        </w:tc>
        <w:tc>
          <w:tcPr>
            <w:tcW w:w="1000" w:type="dxa"/>
            <w:vAlign w:val="bottom"/>
          </w:tcPr>
          <w:p>
            <w:pPr>
              <w:spacing w:after="0"/>
              <w:rPr>
                <w:sz w:val="20"/>
                <w:szCs w:val="20"/>
                <w:color w:val="auto"/>
              </w:rPr>
            </w:pPr>
            <w:r>
              <w:rPr>
                <w:rFonts w:ascii="Arial" w:cs="Arial" w:eastAsia="Arial" w:hAnsi="Arial"/>
                <w:sz w:val="17"/>
                <w:szCs w:val="17"/>
                <w:color w:val="auto"/>
              </w:rPr>
              <w:t>October 5,</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623"/>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10.1</w:t>
            </w:r>
          </w:p>
        </w:tc>
        <w:tc>
          <w:tcPr>
            <w:tcW w:w="1000" w:type="dxa"/>
            <w:vAlign w:val="bottom"/>
          </w:tcPr>
          <w:p>
            <w:pPr>
              <w:spacing w:after="0"/>
              <w:rPr>
                <w:sz w:val="20"/>
                <w:szCs w:val="20"/>
                <w:color w:val="auto"/>
              </w:rPr>
            </w:pPr>
            <w:r>
              <w:rPr>
                <w:rFonts w:ascii="Arial" w:cs="Arial" w:eastAsia="Arial" w:hAnsi="Arial"/>
                <w:sz w:val="17"/>
                <w:szCs w:val="17"/>
                <w:color w:val="auto"/>
              </w:rPr>
              <w:t>August 30,</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10.2</w:t>
            </w:r>
          </w:p>
        </w:tc>
        <w:tc>
          <w:tcPr>
            <w:tcW w:w="1000" w:type="dxa"/>
            <w:vAlign w:val="bottom"/>
          </w:tcPr>
          <w:p>
            <w:pPr>
              <w:spacing w:after="0"/>
              <w:rPr>
                <w:sz w:val="20"/>
                <w:szCs w:val="20"/>
                <w:color w:val="auto"/>
              </w:rPr>
            </w:pPr>
            <w:r>
              <w:rPr>
                <w:rFonts w:ascii="Arial" w:cs="Arial" w:eastAsia="Arial" w:hAnsi="Arial"/>
                <w:sz w:val="17"/>
                <w:szCs w:val="17"/>
                <w:color w:val="auto"/>
                <w:w w:val="87"/>
              </w:rPr>
              <w:t>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10.3</w:t>
            </w:r>
          </w:p>
        </w:tc>
        <w:tc>
          <w:tcPr>
            <w:tcW w:w="1000" w:type="dxa"/>
            <w:vAlign w:val="bottom"/>
          </w:tcPr>
          <w:p>
            <w:pPr>
              <w:spacing w:after="0"/>
              <w:rPr>
                <w:sz w:val="20"/>
                <w:szCs w:val="20"/>
                <w:color w:val="auto"/>
              </w:rPr>
            </w:pPr>
            <w:r>
              <w:rPr>
                <w:rFonts w:ascii="Arial" w:cs="Arial" w:eastAsia="Arial" w:hAnsi="Arial"/>
                <w:sz w:val="17"/>
                <w:szCs w:val="17"/>
                <w:color w:val="auto"/>
                <w:w w:val="90"/>
              </w:rPr>
              <w:t>June 29, 2012</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10.4</w:t>
            </w:r>
          </w:p>
        </w:tc>
        <w:tc>
          <w:tcPr>
            <w:tcW w:w="1000" w:type="dxa"/>
            <w:vAlign w:val="bottom"/>
          </w:tcPr>
          <w:p>
            <w:pPr>
              <w:spacing w:after="0"/>
              <w:rPr>
                <w:sz w:val="20"/>
                <w:szCs w:val="20"/>
                <w:color w:val="auto"/>
              </w:rPr>
            </w:pPr>
            <w:r>
              <w:rPr>
                <w:rFonts w:ascii="Arial" w:cs="Arial" w:eastAsia="Arial" w:hAnsi="Arial"/>
                <w:sz w:val="17"/>
                <w:szCs w:val="17"/>
                <w:color w:val="auto"/>
                <w:w w:val="95"/>
              </w:rPr>
              <w:t>May 14, 2012</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10.5</w:t>
            </w:r>
          </w:p>
        </w:tc>
        <w:tc>
          <w:tcPr>
            <w:tcW w:w="1000" w:type="dxa"/>
            <w:vAlign w:val="bottom"/>
          </w:tcPr>
          <w:p>
            <w:pPr>
              <w:spacing w:after="0"/>
              <w:rPr>
                <w:sz w:val="20"/>
                <w:szCs w:val="20"/>
                <w:color w:val="auto"/>
              </w:rPr>
            </w:pPr>
            <w:r>
              <w:rPr>
                <w:rFonts w:ascii="Arial" w:cs="Arial" w:eastAsia="Arial" w:hAnsi="Arial"/>
                <w:sz w:val="17"/>
                <w:szCs w:val="17"/>
                <w:color w:val="auto"/>
                <w:w w:val="95"/>
              </w:rPr>
              <w:t>May 14, 2012</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10.6</w:t>
            </w:r>
          </w:p>
        </w:tc>
        <w:tc>
          <w:tcPr>
            <w:tcW w:w="1000" w:type="dxa"/>
            <w:vAlign w:val="bottom"/>
          </w:tcPr>
          <w:p>
            <w:pPr>
              <w:spacing w:after="0"/>
              <w:rPr>
                <w:sz w:val="20"/>
                <w:szCs w:val="20"/>
                <w:color w:val="auto"/>
              </w:rPr>
            </w:pPr>
            <w:r>
              <w:rPr>
                <w:rFonts w:ascii="Arial" w:cs="Arial" w:eastAsia="Arial" w:hAnsi="Arial"/>
                <w:sz w:val="17"/>
                <w:szCs w:val="17"/>
                <w:color w:val="auto"/>
                <w:w w:val="95"/>
              </w:rPr>
              <w:t>May 14, 2012</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10.7</w:t>
            </w:r>
          </w:p>
        </w:tc>
        <w:tc>
          <w:tcPr>
            <w:tcW w:w="1000" w:type="dxa"/>
            <w:vAlign w:val="bottom"/>
          </w:tcPr>
          <w:p>
            <w:pPr>
              <w:spacing w:after="0"/>
              <w:rPr>
                <w:sz w:val="20"/>
                <w:szCs w:val="20"/>
                <w:color w:val="auto"/>
              </w:rPr>
            </w:pPr>
            <w:r>
              <w:rPr>
                <w:rFonts w:ascii="Arial" w:cs="Arial" w:eastAsia="Arial" w:hAnsi="Arial"/>
                <w:sz w:val="17"/>
                <w:szCs w:val="17"/>
                <w:color w:val="auto"/>
              </w:rPr>
              <w:t>August 30,</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900" w:type="dxa"/>
            <w:vAlign w:val="bottom"/>
            <w:gridSpan w:val="3"/>
          </w:tcPr>
          <w:p>
            <w:pPr>
              <w:ind w:left="400"/>
              <w:spacing w:after="0"/>
              <w:rPr>
                <w:sz w:val="20"/>
                <w:szCs w:val="20"/>
                <w:color w:val="auto"/>
              </w:rPr>
            </w:pPr>
            <w:r>
              <w:rPr>
                <w:rFonts w:ascii="Arial" w:cs="Arial" w:eastAsia="Arial" w:hAnsi="Arial"/>
                <w:sz w:val="17"/>
                <w:szCs w:val="17"/>
                <w:color w:val="auto"/>
                <w:w w:val="89"/>
              </w:rPr>
              <w:t>10.8(a)September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900" w:type="dxa"/>
            <w:vAlign w:val="bottom"/>
            <w:gridSpan w:val="3"/>
          </w:tcPr>
          <w:p>
            <w:pPr>
              <w:ind w:left="400"/>
              <w:spacing w:after="0"/>
              <w:rPr>
                <w:sz w:val="20"/>
                <w:szCs w:val="20"/>
                <w:color w:val="auto"/>
              </w:rPr>
            </w:pPr>
            <w:r>
              <w:rPr>
                <w:rFonts w:ascii="Arial" w:cs="Arial" w:eastAsia="Arial" w:hAnsi="Arial"/>
                <w:sz w:val="17"/>
                <w:szCs w:val="17"/>
                <w:color w:val="auto"/>
                <w:w w:val="89"/>
              </w:rPr>
              <w:t>10.8(b)September 27,</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1900" w:type="dxa"/>
            <w:vAlign w:val="bottom"/>
            <w:gridSpan w:val="3"/>
          </w:tcPr>
          <w:p>
            <w:pPr>
              <w:ind w:left="400"/>
              <w:spacing w:after="0"/>
              <w:rPr>
                <w:sz w:val="20"/>
                <w:szCs w:val="20"/>
                <w:color w:val="auto"/>
              </w:rPr>
            </w:pPr>
            <w:r>
              <w:rPr>
                <w:rFonts w:ascii="Arial" w:cs="Arial" w:eastAsia="Arial" w:hAnsi="Arial"/>
                <w:sz w:val="17"/>
                <w:szCs w:val="17"/>
                <w:color w:val="auto"/>
                <w:w w:val="89"/>
              </w:rPr>
              <w:t>10.9(a)September 27,</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bl>
    <w:p>
      <w:pPr>
        <w:sectPr>
          <w:pgSz w:w="11900" w:h="16838" w:orient="portrait"/>
          <w:cols w:equalWidth="0" w:num="2">
            <w:col w:w="6800" w:space="160"/>
            <w:col w:w="3360"/>
          </w:cols>
          <w:pgMar w:left="240" w:top="131" w:right="133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ectPr>
          <w:pgSz w:w="11900" w:h="16838" w:orient="portrait"/>
          <w:cols w:equalWidth="0" w:num="1">
            <w:col w:w="10320"/>
          </w:cols>
          <w:pgMar w:left="240" w:top="131" w:right="1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340"/>
        <w:spacing w:after="0"/>
        <w:tabs>
          <w:tab w:leader="none" w:pos="42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5960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96005" cy="8255"/>
                    </a:xfrm>
                    <a:prstGeom prst="rect">
                      <a:avLst/>
                    </a:prstGeom>
                    <a:noFill/>
                  </pic:spPr>
                </pic:pic>
              </a:graphicData>
            </a:graphic>
          </wp:anchor>
        </w:drawing>
      </w:r>
    </w:p>
    <w:p>
      <w:pPr>
        <w:ind w:left="2320" w:right="560" w:hanging="638"/>
        <w:spacing w:after="0" w:line="257" w:lineRule="auto"/>
        <w:rPr>
          <w:sz w:val="20"/>
          <w:szCs w:val="20"/>
          <w:color w:val="auto"/>
        </w:rPr>
      </w:pPr>
      <w:r>
        <w:rPr>
          <w:rFonts w:ascii="Arial" w:cs="Arial" w:eastAsia="Arial" w:hAnsi="Arial"/>
          <w:sz w:val="17"/>
          <w:szCs w:val="17"/>
          <w:color w:val="auto"/>
        </w:rPr>
        <w:t>10.9(b)+ Severance and Change in Control Agreement between Shutterstock Images LLC and Thilo Semmelbauer dated September 24, 2012.</w:t>
      </w:r>
    </w:p>
    <w:p>
      <w:pPr>
        <w:ind w:left="2320" w:hanging="638"/>
        <w:spacing w:after="0" w:line="257" w:lineRule="auto"/>
        <w:rPr>
          <w:sz w:val="20"/>
          <w:szCs w:val="20"/>
          <w:color w:val="auto"/>
        </w:rPr>
      </w:pPr>
      <w:r>
        <w:rPr>
          <w:rFonts w:ascii="Arial" w:cs="Arial" w:eastAsia="Arial" w:hAnsi="Arial"/>
          <w:sz w:val="17"/>
          <w:szCs w:val="17"/>
          <w:color w:val="auto"/>
        </w:rPr>
        <w:t>10.9(c)+ Form of Restricted Stock Agreement between the Registrant and Thilo Semmelbauer.</w:t>
      </w:r>
    </w:p>
    <w:p>
      <w:pPr>
        <w:spacing w:after="0" w:line="1" w:lineRule="exact"/>
        <w:rPr>
          <w:sz w:val="20"/>
          <w:szCs w:val="20"/>
          <w:color w:val="auto"/>
        </w:rPr>
      </w:pPr>
    </w:p>
    <w:p>
      <w:pPr>
        <w:ind w:left="2320" w:right="40" w:hanging="723"/>
        <w:spacing w:after="0" w:line="257" w:lineRule="auto"/>
        <w:rPr>
          <w:sz w:val="20"/>
          <w:szCs w:val="20"/>
          <w:color w:val="auto"/>
        </w:rPr>
      </w:pPr>
      <w:r>
        <w:rPr>
          <w:rFonts w:ascii="Arial" w:cs="Arial" w:eastAsia="Arial" w:hAnsi="Arial"/>
          <w:sz w:val="17"/>
          <w:szCs w:val="17"/>
          <w:color w:val="auto"/>
        </w:rPr>
        <w:t>10.10(a)+ Employment Agreement between Shutterstock Images LLC and Timothy E. Bixby dated May 16, 2011.</w:t>
      </w:r>
    </w:p>
    <w:p>
      <w:pPr>
        <w:spacing w:after="0" w:line="1" w:lineRule="exact"/>
        <w:rPr>
          <w:sz w:val="20"/>
          <w:szCs w:val="20"/>
          <w:color w:val="auto"/>
        </w:rPr>
      </w:pPr>
    </w:p>
    <w:p>
      <w:pPr>
        <w:jc w:val="both"/>
        <w:ind w:left="2320" w:right="680" w:hanging="723"/>
        <w:spacing w:after="0" w:line="257" w:lineRule="auto"/>
        <w:rPr>
          <w:sz w:val="20"/>
          <w:szCs w:val="20"/>
          <w:color w:val="auto"/>
        </w:rPr>
      </w:pPr>
      <w:r>
        <w:rPr>
          <w:rFonts w:ascii="Arial" w:cs="Arial" w:eastAsia="Arial" w:hAnsi="Arial"/>
          <w:sz w:val="17"/>
          <w:szCs w:val="17"/>
          <w:color w:val="auto"/>
        </w:rPr>
        <w:t>10.10(b)+ Severance and Change in Control Agreement between Shutterstock Images LLC and Timothy E. Bixby dated September 24, 2012.</w:t>
      </w:r>
    </w:p>
    <w:p>
      <w:pPr>
        <w:spacing w:after="0" w:line="1" w:lineRule="exact"/>
        <w:rPr>
          <w:sz w:val="20"/>
          <w:szCs w:val="20"/>
          <w:color w:val="auto"/>
        </w:rPr>
      </w:pPr>
    </w:p>
    <w:p>
      <w:pPr>
        <w:ind w:left="2320" w:right="40" w:hanging="717"/>
        <w:spacing w:after="0" w:line="257" w:lineRule="auto"/>
        <w:rPr>
          <w:sz w:val="20"/>
          <w:szCs w:val="20"/>
          <w:color w:val="auto"/>
        </w:rPr>
      </w:pPr>
      <w:r>
        <w:rPr>
          <w:rFonts w:ascii="Arial" w:cs="Arial" w:eastAsia="Arial" w:hAnsi="Arial"/>
          <w:sz w:val="17"/>
          <w:szCs w:val="17"/>
          <w:color w:val="auto"/>
        </w:rPr>
        <w:t>10.11(a)+ Employment Agreement between Shutterstock Images LLC and James Chou dated September 24, 2012.</w:t>
      </w:r>
    </w:p>
    <w:p>
      <w:pPr>
        <w:spacing w:after="0" w:line="1" w:lineRule="exact"/>
        <w:rPr>
          <w:sz w:val="20"/>
          <w:szCs w:val="20"/>
          <w:color w:val="auto"/>
        </w:rPr>
      </w:pPr>
    </w:p>
    <w:p>
      <w:pPr>
        <w:ind w:left="2320" w:right="60" w:hanging="717"/>
        <w:spacing w:after="0" w:line="257" w:lineRule="auto"/>
        <w:rPr>
          <w:sz w:val="20"/>
          <w:szCs w:val="20"/>
          <w:color w:val="auto"/>
        </w:rPr>
      </w:pPr>
      <w:r>
        <w:rPr>
          <w:rFonts w:ascii="Arial" w:cs="Arial" w:eastAsia="Arial" w:hAnsi="Arial"/>
          <w:sz w:val="17"/>
          <w:szCs w:val="17"/>
          <w:color w:val="auto"/>
        </w:rPr>
        <w:t>10.11(b)+ Severance and Change in Control Agreement between Shutterstock Images LLC and James Chou dated September 24, 2012.</w:t>
      </w:r>
    </w:p>
    <w:p>
      <w:pPr>
        <w:spacing w:after="0" w:line="1"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5"/>
          <w:szCs w:val="15"/>
          <w:color w:val="auto"/>
        </w:rPr>
        <w:t>Loan and Security Agreement between Silicon Valley Bank and</w:t>
      </w:r>
    </w:p>
    <w:p>
      <w:pPr>
        <w:spacing w:after="0" w:line="14" w:lineRule="exact"/>
        <w:rPr>
          <w:sz w:val="20"/>
          <w:szCs w:val="20"/>
          <w:color w:val="auto"/>
        </w:rPr>
      </w:pPr>
    </w:p>
    <w:p>
      <w:pPr>
        <w:jc w:val="center"/>
        <w:ind w:left="1540"/>
        <w:spacing w:after="0"/>
        <w:rPr>
          <w:sz w:val="20"/>
          <w:szCs w:val="20"/>
          <w:color w:val="auto"/>
        </w:rPr>
      </w:pPr>
      <w:r>
        <w:rPr>
          <w:rFonts w:ascii="Arial" w:cs="Arial" w:eastAsia="Arial" w:hAnsi="Arial"/>
          <w:sz w:val="17"/>
          <w:szCs w:val="17"/>
          <w:color w:val="auto"/>
        </w:rPr>
        <w:t>Shutterstock Images LLC dated September 21, 2012.</w:t>
      </w:r>
    </w:p>
    <w:p>
      <w:pPr>
        <w:spacing w:after="0" w:line="14" w:lineRule="exact"/>
        <w:rPr>
          <w:sz w:val="20"/>
          <w:szCs w:val="20"/>
          <w:color w:val="auto"/>
        </w:rPr>
      </w:pPr>
    </w:p>
    <w:p>
      <w:pPr>
        <w:ind w:left="2320" w:right="100" w:hanging="723"/>
        <w:spacing w:after="0" w:line="273" w:lineRule="auto"/>
        <w:tabs>
          <w:tab w:leader="none" w:pos="230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6"/>
          <w:szCs w:val="16"/>
          <w:color w:val="auto"/>
        </w:rPr>
        <w:t>Lease Agreement, between Shutterstock, Inc. and Empire State Building Company LLC, dated March 21, 2013.</w:t>
      </w:r>
    </w:p>
    <w:p>
      <w:pPr>
        <w:spacing w:after="0" w:line="1"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List of Subsidiaries.</w:t>
      </w:r>
    </w:p>
    <w:p>
      <w:pPr>
        <w:spacing w:after="0" w:line="1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14" w:lineRule="exact"/>
        <w:rPr>
          <w:sz w:val="20"/>
          <w:szCs w:val="20"/>
          <w:color w:val="auto"/>
        </w:rPr>
      </w:pPr>
    </w:p>
    <w:p>
      <w:pPr>
        <w:ind w:left="2320" w:right="340" w:hanging="638"/>
        <w:spacing w:after="0" w:line="257" w:lineRule="auto"/>
        <w:tabs>
          <w:tab w:leader="none" w:pos="2300" w:val="left"/>
        </w:tabs>
        <w:rPr>
          <w:sz w:val="20"/>
          <w:szCs w:val="20"/>
          <w:color w:val="auto"/>
        </w:rPr>
      </w:pPr>
      <w:r>
        <w:rPr>
          <w:rFonts w:ascii="Arial" w:cs="Arial" w:eastAsia="Arial" w:hAnsi="Arial"/>
          <w:sz w:val="17"/>
          <w:szCs w:val="17"/>
          <w:color w:val="auto"/>
        </w:rPr>
        <w:t>23.2*</w:t>
        <w:tab/>
        <w:t>Consent of Orrick, Herrington &amp; Sutcliffe LLP (included in Exhibit 5.1).</w:t>
      </w:r>
    </w:p>
    <w:p>
      <w:pPr>
        <w:spacing w:after="0" w:line="1" w:lineRule="exact"/>
        <w:rPr>
          <w:sz w:val="20"/>
          <w:szCs w:val="20"/>
          <w:color w:val="auto"/>
        </w:rPr>
      </w:pPr>
    </w:p>
    <w:p>
      <w:pPr>
        <w:ind w:left="2320" w:right="200" w:hanging="638"/>
        <w:spacing w:after="0" w:line="257" w:lineRule="auto"/>
        <w:tabs>
          <w:tab w:leader="none" w:pos="230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Power of Attorney (included in signature page to Registration Statement).</w:t>
      </w:r>
    </w:p>
    <w:p>
      <w:pPr>
        <w:spacing w:after="0" w:line="1"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6"/>
          <w:szCs w:val="16"/>
          <w:color w:val="auto"/>
        </w:rPr>
        <w:t>Consent of L.E.K.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77470</wp:posOffset>
            </wp:positionV>
            <wp:extent cx="4997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303" w:lineRule="exact"/>
        <w:rPr>
          <w:sz w:val="20"/>
          <w:szCs w:val="20"/>
          <w:color w:val="auto"/>
        </w:rPr>
      </w:pPr>
    </w:p>
    <w:p>
      <w:pPr>
        <w:ind w:left="1680" w:hanging="533"/>
        <w:spacing w:after="0"/>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70"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auto"/>
        </w:rPr>
        <w:t>Incorporated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60" w:type="dxa"/>
            <w:vAlign w:val="bottom"/>
            <w:tcBorders>
              <w:top w:val="single" w:sz="8" w:color="auto"/>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Form</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File No.</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Exhibit(s)</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ind w:left="200"/>
              <w:spacing w:after="0" w:line="138" w:lineRule="exact"/>
              <w:rPr>
                <w:sz w:val="20"/>
                <w:szCs w:val="20"/>
                <w:color w:val="auto"/>
              </w:rPr>
            </w:pPr>
            <w:r>
              <w:rPr>
                <w:rFonts w:ascii="Arial" w:cs="Arial" w:eastAsia="Arial" w:hAnsi="Arial"/>
                <w:sz w:val="13"/>
                <w:szCs w:val="13"/>
                <w:b w:val="1"/>
                <w:bCs w:val="1"/>
                <w:color w:val="auto"/>
              </w:rPr>
              <w:t>Filing Date</w:t>
            </w:r>
          </w:p>
        </w:tc>
      </w:tr>
      <w:tr>
        <w:trPr>
          <w:trHeight w:val="194"/>
        </w:trPr>
        <w:tc>
          <w:tcPr>
            <w:tcW w:w="560" w:type="dxa"/>
            <w:vAlign w:val="bottom"/>
          </w:tcPr>
          <w:p>
            <w:pPr>
              <w:spacing w:after="0" w:line="194" w:lineRule="exact"/>
              <w:rPr>
                <w:sz w:val="20"/>
                <w:szCs w:val="20"/>
                <w:color w:val="auto"/>
              </w:rPr>
            </w:pPr>
            <w:r>
              <w:rPr>
                <w:rFonts w:ascii="Arial" w:cs="Arial" w:eastAsia="Arial" w:hAnsi="Arial"/>
                <w:sz w:val="17"/>
                <w:szCs w:val="17"/>
                <w:color w:val="auto"/>
              </w:rPr>
              <w:t>S-1/A</w:t>
            </w:r>
          </w:p>
        </w:tc>
        <w:tc>
          <w:tcPr>
            <w:tcW w:w="160" w:type="dxa"/>
            <w:vAlign w:val="bottom"/>
          </w:tcPr>
          <w:p>
            <w:pPr>
              <w:spacing w:after="0"/>
              <w:rPr>
                <w:sz w:val="16"/>
                <w:szCs w:val="16"/>
                <w:color w:val="auto"/>
              </w:rPr>
            </w:pPr>
          </w:p>
        </w:tc>
        <w:tc>
          <w:tcPr>
            <w:tcW w:w="580" w:type="dxa"/>
            <w:vAlign w:val="bottom"/>
          </w:tcPr>
          <w:p>
            <w:pPr>
              <w:ind w:left="80"/>
              <w:spacing w:after="0" w:line="194" w:lineRule="exact"/>
              <w:rPr>
                <w:sz w:val="20"/>
                <w:szCs w:val="20"/>
                <w:color w:val="auto"/>
              </w:rPr>
            </w:pPr>
            <w:r>
              <w:rPr>
                <w:rFonts w:ascii="Arial" w:cs="Arial" w:eastAsia="Arial" w:hAnsi="Arial"/>
                <w:sz w:val="17"/>
                <w:szCs w:val="17"/>
                <w:color w:val="auto"/>
              </w:rPr>
              <w:t>333-</w:t>
            </w:r>
          </w:p>
        </w:tc>
        <w:tc>
          <w:tcPr>
            <w:tcW w:w="160" w:type="dxa"/>
            <w:vAlign w:val="bottom"/>
          </w:tcPr>
          <w:p>
            <w:pPr>
              <w:spacing w:after="0"/>
              <w:rPr>
                <w:sz w:val="16"/>
                <w:szCs w:val="16"/>
                <w:color w:val="auto"/>
              </w:rPr>
            </w:pPr>
          </w:p>
        </w:tc>
        <w:tc>
          <w:tcPr>
            <w:tcW w:w="700" w:type="dxa"/>
            <w:vAlign w:val="bottom"/>
          </w:tcPr>
          <w:p>
            <w:pPr>
              <w:ind w:left="400"/>
              <w:spacing w:after="0" w:line="194" w:lineRule="exact"/>
              <w:rPr>
                <w:sz w:val="20"/>
                <w:szCs w:val="20"/>
                <w:color w:val="auto"/>
              </w:rPr>
            </w:pPr>
            <w:r>
              <w:rPr>
                <w:rFonts w:ascii="Arial" w:cs="Arial" w:eastAsia="Arial" w:hAnsi="Arial"/>
                <w:sz w:val="17"/>
                <w:szCs w:val="17"/>
                <w:color w:val="auto"/>
              </w:rPr>
              <w:t>10.</w:t>
            </w:r>
          </w:p>
        </w:tc>
        <w:tc>
          <w:tcPr>
            <w:tcW w:w="120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3"/>
              </w:rPr>
              <w:t>9(b)September 27,</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10-Q/A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24"/>
                <w:szCs w:val="24"/>
                <w:color w:val="auto"/>
              </w:rPr>
            </w:pPr>
          </w:p>
        </w:tc>
        <w:tc>
          <w:tcPr>
            <w:tcW w:w="1900" w:type="dxa"/>
            <w:vAlign w:val="bottom"/>
            <w:gridSpan w:val="3"/>
          </w:tcPr>
          <w:p>
            <w:pPr>
              <w:ind w:left="400"/>
              <w:spacing w:after="0"/>
              <w:rPr>
                <w:sz w:val="20"/>
                <w:szCs w:val="20"/>
                <w:color w:val="auto"/>
              </w:rPr>
            </w:pPr>
            <w:r>
              <w:rPr>
                <w:rFonts w:ascii="Arial" w:cs="Arial" w:eastAsia="Arial" w:hAnsi="Arial"/>
                <w:sz w:val="17"/>
                <w:szCs w:val="17"/>
                <w:color w:val="auto"/>
                <w:w w:val="92"/>
              </w:rPr>
              <w:t>10.6(c)December 19,</w:t>
            </w:r>
          </w:p>
        </w:tc>
      </w:tr>
      <w:tr>
        <w:trPr>
          <w:trHeight w:val="210"/>
        </w:trPr>
        <w:tc>
          <w:tcPr>
            <w:tcW w:w="56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35669</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10.10(a)September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10.10(b)September 27,</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10.11(a)September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10.11(b)September 27,</w:t>
            </w:r>
          </w:p>
        </w:tc>
      </w:tr>
      <w:tr>
        <w:trPr>
          <w:trHeight w:val="216"/>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413"/>
        </w:trPr>
        <w:tc>
          <w:tcPr>
            <w:tcW w:w="560" w:type="dxa"/>
            <w:vAlign w:val="bottom"/>
          </w:tcPr>
          <w:p>
            <w:pPr>
              <w:spacing w:after="0"/>
              <w:rPr>
                <w:sz w:val="20"/>
                <w:szCs w:val="20"/>
                <w:color w:val="auto"/>
              </w:rPr>
            </w:pPr>
            <w:r>
              <w:rPr>
                <w:rFonts w:ascii="Arial" w:cs="Arial" w:eastAsia="Arial" w:hAnsi="Arial"/>
                <w:sz w:val="17"/>
                <w:szCs w:val="17"/>
                <w:color w:val="auto"/>
              </w:rPr>
              <w:t>S-1/A</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24"/>
                <w:szCs w:val="24"/>
                <w:color w:val="auto"/>
              </w:rPr>
            </w:pPr>
          </w:p>
        </w:tc>
        <w:tc>
          <w:tcPr>
            <w:tcW w:w="900" w:type="dxa"/>
            <w:vAlign w:val="bottom"/>
            <w:gridSpan w:val="2"/>
          </w:tcPr>
          <w:p>
            <w:pPr>
              <w:ind w:left="320"/>
              <w:spacing w:after="0"/>
              <w:rPr>
                <w:sz w:val="20"/>
                <w:szCs w:val="20"/>
                <w:color w:val="auto"/>
              </w:rPr>
            </w:pPr>
            <w:r>
              <w:rPr>
                <w:rFonts w:ascii="Arial" w:cs="Arial" w:eastAsia="Arial" w:hAnsi="Arial"/>
                <w:sz w:val="17"/>
                <w:szCs w:val="17"/>
                <w:color w:val="auto"/>
              </w:rPr>
              <w:t>10.12</w:t>
            </w:r>
          </w:p>
        </w:tc>
        <w:tc>
          <w:tcPr>
            <w:tcW w:w="1000" w:type="dxa"/>
            <w:vAlign w:val="bottom"/>
          </w:tcPr>
          <w:p>
            <w:pPr>
              <w:spacing w:after="0"/>
              <w:rPr>
                <w:sz w:val="20"/>
                <w:szCs w:val="20"/>
                <w:color w:val="auto"/>
              </w:rPr>
            </w:pPr>
            <w:r>
              <w:rPr>
                <w:rFonts w:ascii="Arial" w:cs="Arial" w:eastAsia="Arial" w:hAnsi="Arial"/>
                <w:sz w:val="17"/>
                <w:szCs w:val="17"/>
                <w:color w:val="auto"/>
                <w:w w:val="87"/>
              </w:rPr>
              <w:t>September 27,</w:t>
            </w:r>
          </w:p>
        </w:tc>
      </w:tr>
      <w:tr>
        <w:trPr>
          <w:trHeight w:val="210"/>
        </w:trPr>
        <w:tc>
          <w:tcPr>
            <w:tcW w:w="56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7"/>
                <w:szCs w:val="17"/>
                <w:color w:val="auto"/>
              </w:rPr>
              <w:t>181376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2012</w:t>
            </w:r>
          </w:p>
        </w:tc>
      </w:t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10-Q</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7"/>
                <w:szCs w:val="17"/>
                <w:color w:val="auto"/>
              </w:rPr>
              <w:t>10.1</w:t>
            </w:r>
          </w:p>
        </w:tc>
        <w:tc>
          <w:tcPr>
            <w:tcW w:w="1000" w:type="dxa"/>
            <w:vAlign w:val="bottom"/>
          </w:tcPr>
          <w:p>
            <w:pPr>
              <w:spacing w:after="0"/>
              <w:rPr>
                <w:sz w:val="20"/>
                <w:szCs w:val="20"/>
                <w:color w:val="auto"/>
              </w:rPr>
            </w:pPr>
            <w:r>
              <w:rPr>
                <w:rFonts w:ascii="Arial" w:cs="Arial" w:eastAsia="Arial" w:hAnsi="Arial"/>
                <w:sz w:val="17"/>
                <w:szCs w:val="17"/>
                <w:color w:val="auto"/>
                <w:w w:val="95"/>
              </w:rPr>
              <w:t>May 10, 2013</w:t>
            </w:r>
          </w:p>
        </w:tc>
      </w:tr>
      <w:tr>
        <w:trPr>
          <w:trHeight w:val="216"/>
        </w:trPr>
        <w:tc>
          <w:tcPr>
            <w:tcW w:w="56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7"/>
                <w:szCs w:val="17"/>
                <w:color w:val="auto"/>
              </w:rPr>
              <w:t>35669</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ectPr>
          <w:pgSz w:w="11900" w:h="16838" w:orient="portrait"/>
          <w:cols w:equalWidth="0" w:num="2">
            <w:col w:w="6740" w:space="220"/>
            <w:col w:w="3360"/>
          </w:cols>
          <w:pgMar w:left="240" w:top="131" w:right="1339" w:bottom="1440" w:gutter="0" w:footer="0" w:header="0"/>
          <w:type w:val="continuous"/>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spacing w:after="0"/>
        <w:rPr>
          <w:rFonts w:ascii="Arial" w:cs="Arial" w:eastAsia="Arial" w:hAnsi="Arial"/>
          <w:sz w:val="21"/>
          <w:szCs w:val="21"/>
          <w:color w:val="0000EE"/>
        </w:rPr>
      </w:pPr>
      <w:hyperlink w:anchor="page196">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23.1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7"/>
          <w:szCs w:val="17"/>
          <w:color w:val="auto"/>
        </w:rPr>
        <w:t>We hereby consent to the use in this Registration Statement on Form S-1 of Shutterstock, Inc. of our report dated March 1, 2013 relating to the financial statements of Shutterstock, Inc., which appears in such Registration Statement. We also consent to the reference to us under the heading "Experts" in such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ind w:left="520"/>
        <w:spacing w:after="0"/>
        <w:rPr>
          <w:rFonts w:ascii="Arial" w:cs="Arial" w:eastAsia="Arial" w:hAnsi="Arial"/>
          <w:sz w:val="17"/>
          <w:szCs w:val="17"/>
          <w:u w:val="single" w:color="auto"/>
          <w:color w:val="0000EE"/>
        </w:rPr>
      </w:pPr>
      <w:hyperlink w:anchor="page195">
        <w:r>
          <w:rPr>
            <w:rFonts w:ascii="Arial" w:cs="Arial" w:eastAsia="Arial" w:hAnsi="Arial"/>
            <w:sz w:val="17"/>
            <w:szCs w:val="17"/>
            <w:u w:val="single" w:color="auto"/>
            <w:color w:val="0000EE"/>
          </w:rPr>
          <w:t>Exhibit 23.1</w:t>
        </w:r>
      </w:hyperlink>
    </w:p>
    <w:p>
      <w:pPr>
        <w:spacing w:after="0" w:line="224" w:lineRule="exact"/>
        <w:rPr>
          <w:sz w:val="20"/>
          <w:szCs w:val="20"/>
          <w:color w:val="auto"/>
        </w:rPr>
      </w:pPr>
    </w:p>
    <w:p>
      <w:pPr>
        <w:spacing w:after="0"/>
        <w:rPr>
          <w:rFonts w:ascii="Arial" w:cs="Arial" w:eastAsia="Arial" w:hAnsi="Arial"/>
          <w:sz w:val="16"/>
          <w:szCs w:val="16"/>
          <w:u w:val="single" w:color="auto"/>
          <w:color w:val="0000EE"/>
        </w:rPr>
      </w:pPr>
      <w:hyperlink w:anchor="page195">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00" w:right="1440" w:bottom="1440" w:gutter="0" w:footer="0" w:header="0"/>
        </w:sectPr>
      </w:pPr>
    </w:p>
    <w:bookmarkStart w:id="196" w:name="page197"/>
    <w:bookmarkEnd w:id="196"/>
    <w:p>
      <w:pPr>
        <w:spacing w:after="0"/>
        <w:rPr>
          <w:rFonts w:ascii="Arial" w:cs="Arial" w:eastAsia="Arial" w:hAnsi="Arial"/>
          <w:sz w:val="21"/>
          <w:szCs w:val="21"/>
          <w:color w:val="0000EE"/>
        </w:rPr>
      </w:pPr>
      <w:hyperlink w:anchor="page198">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99.1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L.E.K. Consulting LLC</w:t>
      </w:r>
    </w:p>
    <w:p>
      <w:pPr>
        <w:spacing w:after="0" w:line="228"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Reference is made to the report entitled "Visual Stock Content Global Market Size and Forecast" dated August 8, 2012, which L.E.K. Consulting LLC ("L.E.K.") has prepared for Shutterstock, Inc. (formerly "Shutterstock Images LLC") (the "Report").</w:t>
      </w:r>
    </w:p>
    <w:p>
      <w:pPr>
        <w:spacing w:after="0" w:line="170" w:lineRule="exact"/>
        <w:rPr>
          <w:sz w:val="20"/>
          <w:szCs w:val="20"/>
          <w:color w:val="auto"/>
        </w:rPr>
      </w:pPr>
    </w:p>
    <w:p>
      <w:pPr>
        <w:jc w:val="both"/>
        <w:ind w:firstLine="420"/>
        <w:spacing w:after="0" w:line="287" w:lineRule="auto"/>
        <w:rPr>
          <w:sz w:val="20"/>
          <w:szCs w:val="20"/>
          <w:color w:val="auto"/>
        </w:rPr>
      </w:pPr>
      <w:r>
        <w:rPr>
          <w:rFonts w:ascii="Arial" w:cs="Arial" w:eastAsia="Arial" w:hAnsi="Arial"/>
          <w:sz w:val="16"/>
          <w:szCs w:val="16"/>
          <w:color w:val="auto"/>
        </w:rPr>
        <w:t>L.E.K. hereby consents to the inclusion of references to its name and references to, and information derived from, the Report in the Registration Statement on Form S-1 of Shutterstock, Inc. dated August 23, 2013 (the "Registration Statement"), filed with the United States Securities and Exchange Commission (the "SEC"), and any subsequent amendments to the Registration Statement filed with the SEC, provided that any modifications to the use of L.E.K.'s name or the statements attributed to L.E.K. in such Registration Statement or in any subsequent amendments shall be subject to the prior consent of L.E.K.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Dated this 23rd day of August,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L.E.K. Consulting LLC</w:t>
      </w:r>
    </w:p>
    <w:p>
      <w:pPr>
        <w:spacing w:after="0" w:line="200" w:lineRule="exact"/>
        <w:rPr>
          <w:sz w:val="20"/>
          <w:szCs w:val="20"/>
          <w:color w:val="auto"/>
        </w:rPr>
      </w:pPr>
    </w:p>
    <w:p>
      <w:pPr>
        <w:spacing w:after="0" w:line="260"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By:</w:t>
        <w:tab/>
        <w:t>/s/ SHUBA SATYAPRASAD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73025</wp:posOffset>
            </wp:positionV>
            <wp:extent cx="26219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Name: Shuba Satyaprasad</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97" w:name="page198"/>
    <w:bookmarkEnd w:id="197"/>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ind w:left="520"/>
        <w:spacing w:after="0"/>
        <w:rPr>
          <w:rFonts w:ascii="Arial" w:cs="Arial" w:eastAsia="Arial" w:hAnsi="Arial"/>
          <w:sz w:val="17"/>
          <w:szCs w:val="17"/>
          <w:u w:val="single" w:color="auto"/>
          <w:color w:val="0000EE"/>
        </w:rPr>
      </w:pPr>
      <w:hyperlink w:anchor="page197">
        <w:r>
          <w:rPr>
            <w:rFonts w:ascii="Arial" w:cs="Arial" w:eastAsia="Arial" w:hAnsi="Arial"/>
            <w:sz w:val="17"/>
            <w:szCs w:val="17"/>
            <w:u w:val="single" w:color="auto"/>
            <w:color w:val="0000EE"/>
          </w:rPr>
          <w:t>Exhibit 99.1</w:t>
        </w:r>
      </w:hyperlink>
    </w:p>
    <w:p>
      <w:pPr>
        <w:spacing w:after="0" w:line="224" w:lineRule="exact"/>
        <w:rPr>
          <w:sz w:val="20"/>
          <w:szCs w:val="20"/>
          <w:color w:val="auto"/>
        </w:rPr>
      </w:pPr>
    </w:p>
    <w:p>
      <w:pPr>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Consent of L.E.K. Consulting LLC</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2"/>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2"/>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2"/>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lowerRoman"/>
      <w:start w:val="2"/>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lowerRoman"/>
      <w:start w:val="3"/>
    </w:lvl>
  </w:abstractNum>
  <w:abstractNum w:abstractNumId="58">
    <w:nsid w:val="71EA1109"/>
    <w:multiLevelType w:val="hybridMultilevel"/>
    <w:lvl w:ilvl="0">
      <w:lvlJc w:val="left"/>
      <w:lvlText w:val="(%1)"/>
      <w:numFmt w:val="lowerRoman"/>
      <w:start w:val="2"/>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1)"/>
      <w:numFmt w:val="lowerRoman"/>
      <w:start w:val="3"/>
    </w:lvl>
  </w:abstractNum>
  <w:abstractNum w:abstractNumId="62">
    <w:nsid w:val="6F6DD9AC"/>
    <w:multiLevelType w:val="hybridMultilevel"/>
    <w:lvl w:ilvl="0">
      <w:lvlJc w:val="left"/>
      <w:lvlText w:val="(%1)"/>
      <w:numFmt w:val="lowerRoman"/>
      <w:start w:val="6"/>
    </w:lvl>
  </w:abstractNum>
  <w:abstractNum w:abstractNumId="63">
    <w:nsid w:val="94211F2"/>
    <w:multiLevelType w:val="hybridMultilevel"/>
    <w:lvl w:ilvl="0">
      <w:lvlJc w:val="left"/>
      <w:lvlText w:val="(%1)"/>
      <w:numFmt w:val="lowerRoman"/>
      <w:start w:val="9"/>
    </w:lvl>
  </w:abstractNum>
  <w:abstractNum w:abstractNumId="64">
    <w:nsid w:val="885E1B"/>
    <w:multiLevelType w:val="hybridMultilevel"/>
    <w:lvl w:ilvl="0">
      <w:lvlJc w:val="left"/>
      <w:lvlText w:val="(%1)"/>
      <w:numFmt w:val="lowerRoman"/>
      <w:start w:val="20"/>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1)"/>
      <w:numFmt w:val="lowerRoman"/>
      <w:start w:val="4"/>
    </w:lvl>
  </w:abstractNum>
  <w:abstractNum w:abstractNumId="68">
    <w:nsid w:val="14E17E33"/>
    <w:multiLevelType w:val="hybridMultilevel"/>
    <w:lvl w:ilvl="0">
      <w:lvlJc w:val="left"/>
      <w:lvlText w:val="(%1)"/>
      <w:numFmt w:val="lowerRoman"/>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lvl w:ilvl="1">
      <w:lvlJc w:val="left"/>
      <w:lvlText w:val="(%2)"/>
      <w:numFmt w:val="lowerRoman"/>
      <w:start w:val="2"/>
    </w:lvl>
  </w:abstractNum>
  <w:abstractNum w:abstractNumId="85">
    <w:nsid w:val="50801EE1"/>
    <w:multiLevelType w:val="hybridMultilevel"/>
    <w:lvl w:ilvl="0">
      <w:lvlJc w:val="left"/>
      <w:lvlText w:val="•"/>
      <w:numFmt w:val="bullet"/>
      <w:start w:val="1"/>
    </w:lvl>
    <w:lvl w:ilvl="1">
      <w:lvlJc w:val="left"/>
      <w:lvlText w:val="(%2)"/>
      <w:numFmt w:val="lowerRoman"/>
      <w:start w:val="1"/>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1)"/>
      <w:numFmt w:val="lowerLetter"/>
      <w:start w:val="3"/>
    </w:lvl>
  </w:abstractNum>
  <w:abstractNum w:abstractNumId="88">
    <w:nsid w:val="6AA78F7F"/>
    <w:multiLevelType w:val="hybridMultilevel"/>
    <w:lvl w:ilvl="0">
      <w:lvlJc w:val="left"/>
      <w:lvlText w:val="%1"/>
      <w:numFmt w:val="lowerLetter"/>
      <w:start w:val="1"/>
    </w:lvl>
    <w:lvl w:ilvl="1">
      <w:lvlJc w:val="left"/>
      <w:lvlText w:val="(%2)"/>
      <w:numFmt w:val="lowerLetter"/>
      <w:start w:val="1"/>
    </w:lvl>
  </w:abstractNum>
  <w:abstractNum w:abstractNumId="89">
    <w:nsid w:val="7672BD23"/>
    <w:multiLevelType w:val="hybridMultilevel"/>
    <w:lvl w:ilvl="0">
      <w:lvlJc w:val="left"/>
      <w:lvlText w:val="(%1)"/>
      <w:numFmt w:val="lowerLetter"/>
      <w:start w:val="2"/>
    </w:lvl>
    <w:lvl w:ilvl="1">
      <w:lvlJc w:val="left"/>
      <w:lvlText w:val="%2"/>
      <w:numFmt w:val="lowerLetter"/>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decimal"/>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2019-12-08T03:41:10Z</dcterms:created>
  <dcterms:modified xsi:type="dcterms:W3CDTF">2019-12-08T03:41:10Z</dcterms:modified>
</cp:coreProperties>
</file>