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9040"/>
          </w:cols>
          <w:pgMar w:left="1420" w:top="1202" w:right="1439" w:bottom="1440" w:gutter="0" w:footer="0" w:header="0"/>
        </w:sectPr>
      </w:pPr>
    </w:p>
    <w:p>
      <w:pPr>
        <w:spacing w:after="0" w:line="153" w:lineRule="exact"/>
        <w:rPr>
          <w:sz w:val="24"/>
          <w:szCs w:val="24"/>
          <w:color w:val="auto"/>
        </w:rPr>
      </w:pPr>
    </w:p>
    <w:p>
      <w:pPr>
        <w:ind w:left="2300" w:firstLine="595"/>
        <w:spacing w:after="0" w:line="342"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4"/>
          <w:szCs w:val="24"/>
          <w:color w:val="auto"/>
        </w:rPr>
      </w:pPr>
    </w:p>
    <w:p>
      <w:pPr>
        <w:sectPr>
          <w:pgSz w:w="11900" w:h="16838" w:orient="portrait"/>
          <w:cols w:equalWidth="0" w:num="2">
            <w:col w:w="6240" w:space="460"/>
            <w:col w:w="2340"/>
          </w:cols>
          <w:pgMar w:left="1420" w:top="1202" w:right="14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Filed by the Registrant x</w:t>
      </w:r>
    </w:p>
    <w:p>
      <w:pPr>
        <w:spacing w:after="0" w:line="63"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Filed by a Party other than the Registrant o</w:t>
      </w:r>
    </w:p>
    <w:p>
      <w:pPr>
        <w:spacing w:after="0" w:line="86"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9040"/>
          </w:cols>
          <w:pgMar w:left="1420" w:top="1202" w:right="1439" w:bottom="1440" w:gutter="0" w:footer="0" w:header="0"/>
          <w:type w:val="continuous"/>
        </w:sectPr>
      </w:pPr>
    </w:p>
    <w:p>
      <w:pPr>
        <w:spacing w:after="0" w:line="63" w:lineRule="exact"/>
        <w:rPr>
          <w:sz w:val="24"/>
          <w:szCs w:val="24"/>
          <w:color w:val="auto"/>
        </w:rPr>
      </w:pPr>
    </w:p>
    <w:p>
      <w:pPr>
        <w:ind w:left="740" w:hanging="723"/>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740" w:hanging="723"/>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sz w:val="24"/>
          <w:szCs w:val="24"/>
          <w:color w:val="auto"/>
        </w:rPr>
      </w:pPr>
    </w:p>
    <w:p>
      <w:pPr>
        <w:ind w:left="740" w:hanging="72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740" w:hanging="723"/>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740" w:hanging="723"/>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5788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169545</wp:posOffset>
            </wp:positionV>
            <wp:extent cx="5788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73"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0" w:hanging="45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60" w:hanging="457"/>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820" w:hanging="35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820" w:hanging="35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820" w:right="220" w:hanging="358"/>
        <w:spacing w:after="0" w:line="277"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8"/>
          <w:szCs w:val="18"/>
          <w:color w:val="auto"/>
        </w:rPr>
      </w:pPr>
    </w:p>
    <w:p>
      <w:pPr>
        <w:ind w:left="820" w:hanging="35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820" w:hanging="35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460" w:hanging="457"/>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460" w:hanging="457"/>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820" w:hanging="35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820" w:hanging="35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820" w:hanging="35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820" w:hanging="35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508000</wp:posOffset>
            </wp:positionH>
            <wp:positionV relativeFrom="paragraph">
              <wp:posOffset>31750</wp:posOffset>
            </wp:positionV>
            <wp:extent cx="5265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-147320</wp:posOffset>
            </wp:positionV>
            <wp:extent cx="5265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-327660</wp:posOffset>
            </wp:positionV>
            <wp:extent cx="5265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-507365</wp:posOffset>
            </wp:positionV>
            <wp:extent cx="5265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-1399540</wp:posOffset>
            </wp:positionV>
            <wp:extent cx="5265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-1579880</wp:posOffset>
            </wp:positionV>
            <wp:extent cx="5265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-1759585</wp:posOffset>
            </wp:positionV>
            <wp:extent cx="5265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-2077085</wp:posOffset>
            </wp:positionV>
            <wp:extent cx="5265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-2256790</wp:posOffset>
            </wp:positionV>
            <wp:extent cx="5265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ectPr>
          <w:pgSz w:w="11900" w:h="16838" w:orient="portrait"/>
          <w:cols w:equalWidth="0" w:num="1">
            <w:col w:w="9040"/>
          </w:cols>
          <w:pgMar w:left="1420" w:top="1202" w:right="14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255270</wp:posOffset>
            </wp:positionV>
            <wp:extent cx="168973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973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Shutterstock, Inc.</w:t>
      </w:r>
    </w:p>
    <w:p>
      <w:pPr>
        <w:spacing w:after="0" w:line="14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350 Fifth Avenue, 21st Floor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10118</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25,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7"/>
          <w:szCs w:val="17"/>
          <w:color w:val="auto"/>
        </w:rPr>
        <w:t>We are pleased to invite you to attend our 2019 Annual Meeting of Stockholders (the “2019 Annual Meeting”) to be held on Thursday, June 6, 2019 at 10:00 a.m. Eastern Time at our principal executive offices located at 350 Fifth Avenue, 21st Floor, New York, New York 10118.</w:t>
      </w:r>
    </w:p>
    <w:p>
      <w:pPr>
        <w:spacing w:after="0" w:line="17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pleased to provide access to our proxy materials over the Internet under the U.S. Securities and Exchange Commission’s “notice and access” rules. As a result, on or about April 25, 2019, we mailed a Notice of Internet Availability of Proxy Materials (the “Notice”) to many of our stockholders instead of a paper copy of this proxy statement and our 2018 Annual Report to Stockholders (the “2018 Annual Report”). The Notice contains instructions on how to access those documents over the Internet. The Notice also contains instructions on how to receive a paper copy of our proxy materials by mail. If you received our proxy materials by mail, the Notice, proxy statement, 2018 Annual Report and proxy card were enclosed. Continuing to employ this distribution process conserves natural resources and reduces the costs of printing and distributing our proxy materials. We encourage you to read our 2018 Annual Report, as it includes our audited financial statements and provides important information about our business.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regarding the business to be conducted at the 2019 Annual Meeting are described in this proxy statement and in the Notice.</w:t>
      </w:r>
    </w:p>
    <w:p>
      <w:pPr>
        <w:spacing w:after="0" w:line="225"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Your vote is important. Whether or not you plan to attend the 2019 Annual Meeting, we hope you will vote as soon as possible. You may vote over the Internet, as well as by telephone, or, if you requested to receive or received printed proxy materials, by mailing a proxy or voting instruction form. Please review the instructions on each of your voting options described in this proxy statement, the accompanying proxy card, or the Notice you received in the mail. Voting over the Internet or by telephone, written proxy or voting instruction card will ensure your representation at the 2019 Annual Meeting regardless of whether you attend 2019 Annual Meeting.</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ongoing support of, and continued interest in, Shutterstock.</w:t>
      </w:r>
    </w:p>
    <w:p>
      <w:pPr>
        <w:spacing w:after="0" w:line="200" w:lineRule="exact"/>
        <w:rPr>
          <w:sz w:val="20"/>
          <w:szCs w:val="20"/>
          <w:color w:val="auto"/>
        </w:rPr>
      </w:pP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100965</wp:posOffset>
            </wp:positionV>
            <wp:extent cx="103759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759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Jonathan Oringer</w:t>
      </w:r>
    </w:p>
    <w:p>
      <w:pPr>
        <w:ind w:left="5280"/>
        <w:spacing w:after="0"/>
        <w:rPr>
          <w:sz w:val="20"/>
          <w:szCs w:val="20"/>
          <w:color w:val="auto"/>
        </w:rPr>
      </w:pPr>
      <w:r>
        <w:rPr>
          <w:rFonts w:ascii="Arial" w:cs="Arial" w:eastAsia="Arial" w:hAnsi="Arial"/>
          <w:sz w:val="18"/>
          <w:szCs w:val="18"/>
          <w:i w:val="1"/>
          <w:iCs w:val="1"/>
          <w:color w:val="auto"/>
        </w:rPr>
        <w:t>Founder, Chief Executive Officer and Chairman of the Board</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SHUTTERSTOCK, INC.</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EE2724"/>
        </w:rPr>
        <w:t>NOTICE OF 2019 ANNUAL MEETING OF STOCKHOLDERS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980" w:type="dxa"/>
            <w:vAlign w:val="bottom"/>
          </w:tcPr>
          <w:p>
            <w:pPr>
              <w:ind w:left="40"/>
              <w:spacing w:after="0"/>
              <w:rPr>
                <w:sz w:val="20"/>
                <w:szCs w:val="20"/>
                <w:color w:val="auto"/>
              </w:rPr>
            </w:pPr>
            <w:r>
              <w:rPr>
                <w:rFonts w:ascii="Arial" w:cs="Arial" w:eastAsia="Arial" w:hAnsi="Arial"/>
                <w:sz w:val="18"/>
                <w:szCs w:val="18"/>
                <w:b w:val="1"/>
                <w:bCs w:val="1"/>
                <w:color w:val="auto"/>
              </w:rPr>
              <w:t>Time and Date</w:t>
            </w:r>
            <w:r>
              <w:rPr>
                <w:rFonts w:ascii="Arial" w:cs="Arial" w:eastAsia="Arial" w:hAnsi="Arial"/>
                <w:sz w:val="18"/>
                <w:szCs w:val="18"/>
                <w:color w:val="auto"/>
              </w:rPr>
              <w:t>:</w:t>
            </w:r>
          </w:p>
        </w:tc>
        <w:tc>
          <w:tcPr>
            <w:tcW w:w="9400" w:type="dxa"/>
            <w:vAlign w:val="bottom"/>
            <w:gridSpan w:val="3"/>
          </w:tcPr>
          <w:p>
            <w:pPr>
              <w:ind w:left="340"/>
              <w:spacing w:after="0"/>
              <w:rPr>
                <w:sz w:val="20"/>
                <w:szCs w:val="20"/>
                <w:color w:val="auto"/>
              </w:rPr>
            </w:pPr>
            <w:r>
              <w:rPr>
                <w:rFonts w:ascii="Arial" w:cs="Arial" w:eastAsia="Arial" w:hAnsi="Arial"/>
                <w:sz w:val="18"/>
                <w:szCs w:val="18"/>
                <w:color w:val="auto"/>
              </w:rPr>
              <w:t>10:00 a.m. Eastern Time, on Thursday, June 6, 2019.</w:t>
            </w:r>
          </w:p>
        </w:tc>
      </w:tr>
      <w:tr>
        <w:trPr>
          <w:trHeight w:val="566"/>
        </w:trPr>
        <w:tc>
          <w:tcPr>
            <w:tcW w:w="1980" w:type="dxa"/>
            <w:vAlign w:val="bottom"/>
          </w:tcPr>
          <w:p>
            <w:pPr>
              <w:ind w:left="40"/>
              <w:spacing w:after="0"/>
              <w:rPr>
                <w:sz w:val="20"/>
                <w:szCs w:val="20"/>
                <w:color w:val="auto"/>
              </w:rPr>
            </w:pPr>
            <w:r>
              <w:rPr>
                <w:rFonts w:ascii="Arial" w:cs="Arial" w:eastAsia="Arial" w:hAnsi="Arial"/>
                <w:sz w:val="18"/>
                <w:szCs w:val="18"/>
                <w:b w:val="1"/>
                <w:bCs w:val="1"/>
                <w:color w:val="auto"/>
              </w:rPr>
              <w:t>Place</w:t>
            </w:r>
            <w:r>
              <w:rPr>
                <w:rFonts w:ascii="Arial" w:cs="Arial" w:eastAsia="Arial" w:hAnsi="Arial"/>
                <w:sz w:val="18"/>
                <w:szCs w:val="18"/>
                <w:color w:val="auto"/>
              </w:rPr>
              <w:t>:</w:t>
            </w:r>
          </w:p>
        </w:tc>
        <w:tc>
          <w:tcPr>
            <w:tcW w:w="9400" w:type="dxa"/>
            <w:vAlign w:val="bottom"/>
            <w:gridSpan w:val="3"/>
          </w:tcPr>
          <w:p>
            <w:pPr>
              <w:ind w:left="340"/>
              <w:spacing w:after="0"/>
              <w:rPr>
                <w:sz w:val="20"/>
                <w:szCs w:val="20"/>
                <w:color w:val="auto"/>
              </w:rPr>
            </w:pPr>
            <w:r>
              <w:rPr>
                <w:rFonts w:ascii="Arial" w:cs="Arial" w:eastAsia="Arial" w:hAnsi="Arial"/>
                <w:sz w:val="18"/>
                <w:szCs w:val="18"/>
                <w:color w:val="auto"/>
              </w:rPr>
              <w:t>Principal executive offices of Shutterstock, Inc., located at 350 Fifth Avenue, 21st Floor, New York, New York</w:t>
            </w:r>
          </w:p>
        </w:tc>
      </w:tr>
      <w:tr>
        <w:trPr>
          <w:trHeight w:val="217"/>
        </w:trPr>
        <w:tc>
          <w:tcPr>
            <w:tcW w:w="1980" w:type="dxa"/>
            <w:vAlign w:val="bottom"/>
          </w:tcPr>
          <w:p>
            <w:pPr>
              <w:spacing w:after="0"/>
              <w:rPr>
                <w:sz w:val="18"/>
                <w:szCs w:val="18"/>
                <w:color w:val="auto"/>
              </w:rPr>
            </w:pPr>
          </w:p>
        </w:tc>
        <w:tc>
          <w:tcPr>
            <w:tcW w:w="1860" w:type="dxa"/>
            <w:vAlign w:val="bottom"/>
          </w:tcPr>
          <w:p>
            <w:pPr>
              <w:ind w:left="340"/>
              <w:spacing w:after="0"/>
              <w:rPr>
                <w:sz w:val="20"/>
                <w:szCs w:val="20"/>
                <w:color w:val="auto"/>
              </w:rPr>
            </w:pPr>
            <w:r>
              <w:rPr>
                <w:rFonts w:ascii="Arial" w:cs="Arial" w:eastAsia="Arial" w:hAnsi="Arial"/>
                <w:sz w:val="18"/>
                <w:szCs w:val="18"/>
                <w:color w:val="auto"/>
              </w:rPr>
              <w:t>10118.</w:t>
            </w:r>
          </w:p>
        </w:tc>
        <w:tc>
          <w:tcPr>
            <w:tcW w:w="100" w:type="dxa"/>
            <w:vAlign w:val="bottom"/>
          </w:tcPr>
          <w:p>
            <w:pPr>
              <w:spacing w:after="0"/>
              <w:rPr>
                <w:sz w:val="18"/>
                <w:szCs w:val="18"/>
                <w:color w:val="auto"/>
              </w:rPr>
            </w:pPr>
          </w:p>
        </w:tc>
        <w:tc>
          <w:tcPr>
            <w:tcW w:w="7440" w:type="dxa"/>
            <w:vAlign w:val="bottom"/>
          </w:tcPr>
          <w:p>
            <w:pPr>
              <w:spacing w:after="0"/>
              <w:rPr>
                <w:sz w:val="18"/>
                <w:szCs w:val="18"/>
                <w:color w:val="auto"/>
              </w:rPr>
            </w:pPr>
          </w:p>
        </w:tc>
      </w:tr>
      <w:tr>
        <w:trPr>
          <w:trHeight w:val="566"/>
        </w:trPr>
        <w:tc>
          <w:tcPr>
            <w:tcW w:w="1980" w:type="dxa"/>
            <w:vAlign w:val="bottom"/>
          </w:tcPr>
          <w:p>
            <w:pPr>
              <w:ind w:left="40"/>
              <w:spacing w:after="0"/>
              <w:rPr>
                <w:sz w:val="20"/>
                <w:szCs w:val="20"/>
                <w:color w:val="auto"/>
              </w:rPr>
            </w:pPr>
            <w:r>
              <w:rPr>
                <w:rFonts w:ascii="Arial" w:cs="Arial" w:eastAsia="Arial" w:hAnsi="Arial"/>
                <w:sz w:val="18"/>
                <w:szCs w:val="18"/>
                <w:b w:val="1"/>
                <w:bCs w:val="1"/>
                <w:color w:val="auto"/>
              </w:rPr>
              <w:t>Admission</w:t>
            </w:r>
            <w:r>
              <w:rPr>
                <w:rFonts w:ascii="Arial" w:cs="Arial" w:eastAsia="Arial" w:hAnsi="Arial"/>
                <w:sz w:val="18"/>
                <w:szCs w:val="18"/>
                <w:color w:val="auto"/>
              </w:rPr>
              <w:t>:</w:t>
            </w:r>
          </w:p>
        </w:tc>
        <w:tc>
          <w:tcPr>
            <w:tcW w:w="9400" w:type="dxa"/>
            <w:vAlign w:val="bottom"/>
            <w:gridSpan w:val="3"/>
          </w:tcPr>
          <w:p>
            <w:pPr>
              <w:ind w:left="340"/>
              <w:spacing w:after="0"/>
              <w:rPr>
                <w:sz w:val="20"/>
                <w:szCs w:val="20"/>
                <w:color w:val="auto"/>
              </w:rPr>
            </w:pPr>
            <w:r>
              <w:rPr>
                <w:rFonts w:ascii="Arial" w:cs="Arial" w:eastAsia="Arial" w:hAnsi="Arial"/>
                <w:sz w:val="18"/>
                <w:szCs w:val="18"/>
                <w:color w:val="auto"/>
              </w:rPr>
              <w:t>If you wish to attend the 2019 Annual Meeting in person, you must pre-register in advance. To attend the 2019</w:t>
            </w:r>
          </w:p>
        </w:tc>
      </w:tr>
      <w:tr>
        <w:trPr>
          <w:trHeight w:val="203"/>
        </w:trPr>
        <w:tc>
          <w:tcPr>
            <w:tcW w:w="1980" w:type="dxa"/>
            <w:vAlign w:val="bottom"/>
          </w:tcPr>
          <w:p>
            <w:pPr>
              <w:spacing w:after="0"/>
              <w:rPr>
                <w:sz w:val="17"/>
                <w:szCs w:val="17"/>
                <w:color w:val="auto"/>
              </w:rPr>
            </w:pPr>
          </w:p>
        </w:tc>
        <w:tc>
          <w:tcPr>
            <w:tcW w:w="94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Annual Meeting, you will need an admission ticket and will be required to provide valid photo identification. You</w:t>
            </w:r>
          </w:p>
        </w:tc>
      </w:tr>
      <w:tr>
        <w:trPr>
          <w:trHeight w:val="217"/>
        </w:trPr>
        <w:tc>
          <w:tcPr>
            <w:tcW w:w="1980" w:type="dxa"/>
            <w:vAlign w:val="bottom"/>
          </w:tcPr>
          <w:p>
            <w:pPr>
              <w:spacing w:after="0"/>
              <w:rPr>
                <w:sz w:val="18"/>
                <w:szCs w:val="18"/>
                <w:color w:val="auto"/>
              </w:rPr>
            </w:pPr>
          </w:p>
        </w:tc>
        <w:tc>
          <w:tcPr>
            <w:tcW w:w="9400" w:type="dxa"/>
            <w:vAlign w:val="bottom"/>
            <w:gridSpan w:val="3"/>
          </w:tcPr>
          <w:p>
            <w:pPr>
              <w:ind w:left="340"/>
              <w:spacing w:after="0"/>
              <w:rPr>
                <w:sz w:val="20"/>
                <w:szCs w:val="20"/>
                <w:color w:val="auto"/>
              </w:rPr>
            </w:pPr>
            <w:r>
              <w:rPr>
                <w:rFonts w:ascii="Arial" w:cs="Arial" w:eastAsia="Arial" w:hAnsi="Arial"/>
                <w:sz w:val="18"/>
                <w:szCs w:val="18"/>
                <w:color w:val="auto"/>
              </w:rPr>
              <w:t>can request an admission ticket from our Investor Relations department by e-mailing IR@shutterstock.com.</w:t>
            </w:r>
          </w:p>
        </w:tc>
      </w:tr>
      <w:tr>
        <w:trPr>
          <w:trHeight w:val="391"/>
        </w:trPr>
        <w:tc>
          <w:tcPr>
            <w:tcW w:w="1980" w:type="dxa"/>
            <w:vAlign w:val="bottom"/>
          </w:tcPr>
          <w:p>
            <w:pPr>
              <w:spacing w:after="0"/>
              <w:rPr>
                <w:sz w:val="24"/>
                <w:szCs w:val="24"/>
                <w:color w:val="auto"/>
              </w:rPr>
            </w:pPr>
          </w:p>
        </w:tc>
        <w:tc>
          <w:tcPr>
            <w:tcW w:w="9400" w:type="dxa"/>
            <w:vAlign w:val="bottom"/>
            <w:gridSpan w:val="3"/>
          </w:tcPr>
          <w:p>
            <w:pPr>
              <w:ind w:left="340"/>
              <w:spacing w:after="0"/>
              <w:rPr>
                <w:sz w:val="20"/>
                <w:szCs w:val="20"/>
                <w:color w:val="auto"/>
              </w:rPr>
            </w:pPr>
            <w:r>
              <w:rPr>
                <w:rFonts w:ascii="Arial" w:cs="Arial" w:eastAsia="Arial" w:hAnsi="Arial"/>
                <w:sz w:val="18"/>
                <w:szCs w:val="18"/>
                <w:color w:val="auto"/>
              </w:rPr>
              <w:t>On the day of admission, you will be required to present valid photo identification, a copy of your brokerage</w:t>
            </w:r>
          </w:p>
        </w:tc>
      </w:tr>
      <w:tr>
        <w:trPr>
          <w:trHeight w:val="217"/>
        </w:trPr>
        <w:tc>
          <w:tcPr>
            <w:tcW w:w="1980" w:type="dxa"/>
            <w:vAlign w:val="bottom"/>
          </w:tcPr>
          <w:p>
            <w:pPr>
              <w:spacing w:after="0"/>
              <w:rPr>
                <w:sz w:val="18"/>
                <w:szCs w:val="18"/>
                <w:color w:val="auto"/>
              </w:rPr>
            </w:pPr>
          </w:p>
        </w:tc>
        <w:tc>
          <w:tcPr>
            <w:tcW w:w="9400" w:type="dxa"/>
            <w:vAlign w:val="bottom"/>
            <w:gridSpan w:val="3"/>
          </w:tcPr>
          <w:p>
            <w:pPr>
              <w:ind w:left="340"/>
              <w:spacing w:after="0"/>
              <w:rPr>
                <w:sz w:val="20"/>
                <w:szCs w:val="20"/>
                <w:color w:val="auto"/>
              </w:rPr>
            </w:pPr>
            <w:r>
              <w:rPr>
                <w:rFonts w:ascii="Arial" w:cs="Arial" w:eastAsia="Arial" w:hAnsi="Arial"/>
                <w:sz w:val="18"/>
                <w:szCs w:val="18"/>
                <w:color w:val="auto"/>
              </w:rPr>
              <w:t>statement (if you hold your shares in street name) and your admission ticket.</w:t>
            </w:r>
          </w:p>
        </w:tc>
      </w:tr>
      <w:tr>
        <w:trPr>
          <w:trHeight w:val="566"/>
        </w:trPr>
        <w:tc>
          <w:tcPr>
            <w:tcW w:w="1980" w:type="dxa"/>
            <w:vAlign w:val="bottom"/>
          </w:tcPr>
          <w:p>
            <w:pPr>
              <w:ind w:left="40"/>
              <w:spacing w:after="0"/>
              <w:rPr>
                <w:sz w:val="20"/>
                <w:szCs w:val="20"/>
                <w:color w:val="auto"/>
              </w:rPr>
            </w:pPr>
            <w:r>
              <w:rPr>
                <w:rFonts w:ascii="Arial" w:cs="Arial" w:eastAsia="Arial" w:hAnsi="Arial"/>
                <w:sz w:val="18"/>
                <w:szCs w:val="18"/>
                <w:b w:val="1"/>
                <w:bCs w:val="1"/>
                <w:color w:val="auto"/>
              </w:rPr>
              <w:t>Items of Business</w:t>
            </w:r>
            <w:r>
              <w:rPr>
                <w:rFonts w:ascii="Arial" w:cs="Arial" w:eastAsia="Arial" w:hAnsi="Arial"/>
                <w:sz w:val="18"/>
                <w:szCs w:val="18"/>
                <w:color w:val="auto"/>
              </w:rPr>
              <w:t>:</w:t>
            </w:r>
          </w:p>
        </w:tc>
        <w:tc>
          <w:tcPr>
            <w:tcW w:w="9400" w:type="dxa"/>
            <w:vAlign w:val="bottom"/>
            <w:gridSpan w:val="3"/>
          </w:tcPr>
          <w:p>
            <w:pPr>
              <w:ind w:left="340"/>
              <w:spacing w:after="0"/>
              <w:rPr>
                <w:sz w:val="20"/>
                <w:szCs w:val="20"/>
                <w:color w:val="auto"/>
              </w:rPr>
            </w:pPr>
            <w:r>
              <w:rPr>
                <w:rFonts w:ascii="Arial" w:cs="Arial" w:eastAsia="Arial" w:hAnsi="Arial"/>
                <w:sz w:val="18"/>
                <w:szCs w:val="18"/>
                <w:color w:val="auto"/>
              </w:rPr>
              <w:t>-To elect the Class I director nominee named in this proxy statement for a term expiring at the 2022 Annual</w:t>
            </w:r>
          </w:p>
        </w:tc>
      </w:tr>
      <w:tr>
        <w:trPr>
          <w:trHeight w:val="203"/>
        </w:trPr>
        <w:tc>
          <w:tcPr>
            <w:tcW w:w="1980" w:type="dxa"/>
            <w:vAlign w:val="bottom"/>
          </w:tcPr>
          <w:p>
            <w:pPr>
              <w:spacing w:after="0"/>
              <w:rPr>
                <w:sz w:val="17"/>
                <w:szCs w:val="17"/>
                <w:color w:val="auto"/>
              </w:rPr>
            </w:pPr>
          </w:p>
        </w:tc>
        <w:tc>
          <w:tcPr>
            <w:tcW w:w="94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Meeting of Stockholders;</w:t>
            </w:r>
          </w:p>
        </w:tc>
      </w:tr>
      <w:tr>
        <w:trPr>
          <w:trHeight w:val="203"/>
        </w:trPr>
        <w:tc>
          <w:tcPr>
            <w:tcW w:w="1980" w:type="dxa"/>
            <w:vAlign w:val="bottom"/>
          </w:tcPr>
          <w:p>
            <w:pPr>
              <w:spacing w:after="0"/>
              <w:rPr>
                <w:sz w:val="17"/>
                <w:szCs w:val="17"/>
                <w:color w:val="auto"/>
              </w:rPr>
            </w:pPr>
          </w:p>
        </w:tc>
        <w:tc>
          <w:tcPr>
            <w:tcW w:w="94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-To cast a non-binding advisory vote to approve named executive officer compensation (“say-on-pay”);</w:t>
            </w:r>
          </w:p>
        </w:tc>
      </w:tr>
      <w:tr>
        <w:trPr>
          <w:trHeight w:val="203"/>
        </w:trPr>
        <w:tc>
          <w:tcPr>
            <w:tcW w:w="1980" w:type="dxa"/>
            <w:vAlign w:val="bottom"/>
          </w:tcPr>
          <w:p>
            <w:pPr>
              <w:spacing w:after="0"/>
              <w:rPr>
                <w:sz w:val="17"/>
                <w:szCs w:val="17"/>
                <w:color w:val="auto"/>
              </w:rPr>
            </w:pPr>
          </w:p>
        </w:tc>
        <w:tc>
          <w:tcPr>
            <w:tcW w:w="94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-To ratify the appointment of PricewaterhouseCoopers LLP as our independent registered public accounting firm</w:t>
            </w:r>
          </w:p>
        </w:tc>
      </w:tr>
      <w:tr>
        <w:trPr>
          <w:trHeight w:val="203"/>
        </w:trPr>
        <w:tc>
          <w:tcPr>
            <w:tcW w:w="1980" w:type="dxa"/>
            <w:vAlign w:val="bottom"/>
          </w:tcPr>
          <w:p>
            <w:pPr>
              <w:spacing w:after="0"/>
              <w:rPr>
                <w:sz w:val="17"/>
                <w:szCs w:val="17"/>
                <w:color w:val="auto"/>
              </w:rPr>
            </w:pPr>
          </w:p>
        </w:tc>
        <w:tc>
          <w:tcPr>
            <w:tcW w:w="94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for the fiscal year ending December 31, 2019; and</w:t>
            </w:r>
          </w:p>
        </w:tc>
      </w:tr>
      <w:tr>
        <w:trPr>
          <w:trHeight w:val="203"/>
        </w:trPr>
        <w:tc>
          <w:tcPr>
            <w:tcW w:w="1980" w:type="dxa"/>
            <w:vAlign w:val="bottom"/>
          </w:tcPr>
          <w:p>
            <w:pPr>
              <w:spacing w:after="0"/>
              <w:rPr>
                <w:sz w:val="17"/>
                <w:szCs w:val="17"/>
                <w:color w:val="auto"/>
              </w:rPr>
            </w:pPr>
          </w:p>
        </w:tc>
        <w:tc>
          <w:tcPr>
            <w:tcW w:w="94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-To transact such other business as may properly come before the 2019 Annual Meeting or any adjournments or</w:t>
            </w:r>
          </w:p>
        </w:tc>
      </w:tr>
      <w:tr>
        <w:trPr>
          <w:trHeight w:val="217"/>
        </w:trPr>
        <w:tc>
          <w:tcPr>
            <w:tcW w:w="1980" w:type="dxa"/>
            <w:vAlign w:val="bottom"/>
          </w:tcPr>
          <w:p>
            <w:pPr>
              <w:spacing w:after="0"/>
              <w:rPr>
                <w:sz w:val="18"/>
                <w:szCs w:val="18"/>
                <w:color w:val="auto"/>
              </w:rPr>
            </w:pPr>
          </w:p>
        </w:tc>
        <w:tc>
          <w:tcPr>
            <w:tcW w:w="9400" w:type="dxa"/>
            <w:vAlign w:val="bottom"/>
            <w:gridSpan w:val="3"/>
          </w:tcPr>
          <w:p>
            <w:pPr>
              <w:ind w:left="340"/>
              <w:spacing w:after="0"/>
              <w:rPr>
                <w:sz w:val="20"/>
                <w:szCs w:val="20"/>
                <w:color w:val="auto"/>
              </w:rPr>
            </w:pPr>
            <w:r>
              <w:rPr>
                <w:rFonts w:ascii="Arial" w:cs="Arial" w:eastAsia="Arial" w:hAnsi="Arial"/>
                <w:sz w:val="18"/>
                <w:szCs w:val="18"/>
                <w:color w:val="auto"/>
              </w:rPr>
              <w:t>postponements thereof.</w:t>
            </w:r>
          </w:p>
        </w:tc>
      </w:tr>
      <w:tr>
        <w:trPr>
          <w:trHeight w:val="689"/>
        </w:trPr>
        <w:tc>
          <w:tcPr>
            <w:tcW w:w="1980" w:type="dxa"/>
            <w:vAlign w:val="bottom"/>
          </w:tcPr>
          <w:p>
            <w:pPr>
              <w:ind w:left="40"/>
              <w:spacing w:after="0"/>
              <w:rPr>
                <w:sz w:val="20"/>
                <w:szCs w:val="20"/>
                <w:color w:val="auto"/>
              </w:rPr>
            </w:pPr>
            <w:r>
              <w:rPr>
                <w:rFonts w:ascii="Arial" w:cs="Arial" w:eastAsia="Arial" w:hAnsi="Arial"/>
                <w:sz w:val="18"/>
                <w:szCs w:val="18"/>
                <w:b w:val="1"/>
                <w:bCs w:val="1"/>
                <w:color w:val="auto"/>
              </w:rPr>
              <w:t>Record Date</w:t>
            </w:r>
            <w:r>
              <w:rPr>
                <w:rFonts w:ascii="Arial" w:cs="Arial" w:eastAsia="Arial" w:hAnsi="Arial"/>
                <w:sz w:val="18"/>
                <w:szCs w:val="18"/>
                <w:color w:val="auto"/>
              </w:rPr>
              <w:t>:</w:t>
            </w:r>
          </w:p>
        </w:tc>
        <w:tc>
          <w:tcPr>
            <w:tcW w:w="9400" w:type="dxa"/>
            <w:vAlign w:val="bottom"/>
            <w:gridSpan w:val="3"/>
          </w:tcPr>
          <w:p>
            <w:pPr>
              <w:ind w:left="340"/>
              <w:spacing w:after="0"/>
              <w:rPr>
                <w:sz w:val="20"/>
                <w:szCs w:val="20"/>
                <w:color w:val="auto"/>
              </w:rPr>
            </w:pPr>
            <w:r>
              <w:rPr>
                <w:rFonts w:ascii="Arial" w:cs="Arial" w:eastAsia="Arial" w:hAnsi="Arial"/>
                <w:sz w:val="18"/>
                <w:szCs w:val="18"/>
                <w:color w:val="auto"/>
              </w:rPr>
              <w:t>You are entitled to vote only if you were a Shutterstock, Inc. stockholder as of April 18, 2019.</w:t>
            </w:r>
          </w:p>
        </w:tc>
      </w:tr>
      <w:tr>
        <w:trPr>
          <w:trHeight w:val="566"/>
        </w:trPr>
        <w:tc>
          <w:tcPr>
            <w:tcW w:w="1980" w:type="dxa"/>
            <w:vAlign w:val="bottom"/>
          </w:tcPr>
          <w:p>
            <w:pPr>
              <w:ind w:left="40"/>
              <w:spacing w:after="0"/>
              <w:rPr>
                <w:sz w:val="20"/>
                <w:szCs w:val="20"/>
                <w:color w:val="auto"/>
              </w:rPr>
            </w:pPr>
            <w:r>
              <w:rPr>
                <w:rFonts w:ascii="Arial" w:cs="Arial" w:eastAsia="Arial" w:hAnsi="Arial"/>
                <w:sz w:val="18"/>
                <w:szCs w:val="18"/>
                <w:b w:val="1"/>
                <w:bCs w:val="1"/>
                <w:color w:val="auto"/>
              </w:rPr>
              <w:t>Voting</w:t>
            </w:r>
            <w:r>
              <w:rPr>
                <w:rFonts w:ascii="Arial" w:cs="Arial" w:eastAsia="Arial" w:hAnsi="Arial"/>
                <w:sz w:val="18"/>
                <w:szCs w:val="18"/>
                <w:color w:val="auto"/>
              </w:rPr>
              <w:t>:</w:t>
            </w:r>
          </w:p>
        </w:tc>
        <w:tc>
          <w:tcPr>
            <w:tcW w:w="9400" w:type="dxa"/>
            <w:vAlign w:val="bottom"/>
            <w:gridSpan w:val="3"/>
          </w:tcPr>
          <w:p>
            <w:pPr>
              <w:ind w:left="340"/>
              <w:spacing w:after="0"/>
              <w:rPr>
                <w:sz w:val="20"/>
                <w:szCs w:val="20"/>
                <w:color w:val="auto"/>
              </w:rPr>
            </w:pPr>
            <w:r>
              <w:rPr>
                <w:rFonts w:ascii="Arial" w:cs="Arial" w:eastAsia="Arial" w:hAnsi="Arial"/>
                <w:sz w:val="18"/>
                <w:szCs w:val="18"/>
                <w:color w:val="auto"/>
                <w:w w:val="99"/>
              </w:rPr>
              <w:t>Your vote is important. Whether or not you plan to attend the 2019 Annual Meeting, we encourage you to read this</w:t>
            </w:r>
          </w:p>
        </w:tc>
      </w:tr>
      <w:tr>
        <w:trPr>
          <w:trHeight w:val="203"/>
        </w:trPr>
        <w:tc>
          <w:tcPr>
            <w:tcW w:w="1980" w:type="dxa"/>
            <w:vAlign w:val="bottom"/>
          </w:tcPr>
          <w:p>
            <w:pPr>
              <w:spacing w:after="0"/>
              <w:rPr>
                <w:sz w:val="17"/>
                <w:szCs w:val="17"/>
                <w:color w:val="auto"/>
              </w:rPr>
            </w:pPr>
          </w:p>
        </w:tc>
        <w:tc>
          <w:tcPr>
            <w:tcW w:w="94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proxy statement and submit your voting instructions as soon as possible. For specific instructions on how to vote</w:t>
            </w:r>
          </w:p>
        </w:tc>
      </w:tr>
      <w:tr>
        <w:trPr>
          <w:trHeight w:val="203"/>
        </w:trPr>
        <w:tc>
          <w:tcPr>
            <w:tcW w:w="1980" w:type="dxa"/>
            <w:vAlign w:val="bottom"/>
          </w:tcPr>
          <w:p>
            <w:pPr>
              <w:spacing w:after="0"/>
              <w:rPr>
                <w:sz w:val="17"/>
                <w:szCs w:val="17"/>
                <w:color w:val="auto"/>
              </w:rPr>
            </w:pPr>
          </w:p>
        </w:tc>
        <w:tc>
          <w:tcPr>
            <w:tcW w:w="94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your shares, please refer to the instructions on the Notice of Internet Availability of Proxy Materials you received</w:t>
            </w:r>
          </w:p>
        </w:tc>
      </w:tr>
      <w:tr>
        <w:trPr>
          <w:trHeight w:val="203"/>
        </w:trPr>
        <w:tc>
          <w:tcPr>
            <w:tcW w:w="1980" w:type="dxa"/>
            <w:vAlign w:val="bottom"/>
          </w:tcPr>
          <w:p>
            <w:pPr>
              <w:spacing w:after="0"/>
              <w:rPr>
                <w:sz w:val="17"/>
                <w:szCs w:val="17"/>
                <w:color w:val="auto"/>
              </w:rPr>
            </w:pPr>
          </w:p>
        </w:tc>
        <w:tc>
          <w:tcPr>
            <w:tcW w:w="94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in the mail, the section titled “Questions and Answers About the Proxy Materials and the 2019 Annual Meeting”</w:t>
            </w:r>
          </w:p>
        </w:tc>
      </w:tr>
      <w:tr>
        <w:trPr>
          <w:trHeight w:val="176"/>
        </w:trPr>
        <w:tc>
          <w:tcPr>
            <w:tcW w:w="1980" w:type="dxa"/>
            <w:vAlign w:val="bottom"/>
          </w:tcPr>
          <w:p>
            <w:pPr>
              <w:spacing w:after="0"/>
              <w:rPr>
                <w:sz w:val="15"/>
                <w:szCs w:val="15"/>
                <w:color w:val="auto"/>
              </w:rPr>
            </w:pPr>
          </w:p>
        </w:tc>
        <w:tc>
          <w:tcPr>
            <w:tcW w:w="9400" w:type="dxa"/>
            <w:vAlign w:val="bottom"/>
            <w:gridSpan w:val="3"/>
          </w:tcPr>
          <w:p>
            <w:pPr>
              <w:ind w:left="34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beginning on page </w:t>
            </w:r>
            <w:hyperlink w:anchor="page5">
              <w:r>
                <w:rPr>
                  <w:rFonts w:ascii="Arial" w:cs="Arial" w:eastAsia="Arial" w:hAnsi="Arial"/>
                  <w:sz w:val="18"/>
                  <w:szCs w:val="18"/>
                  <w:color w:val="0000EE"/>
                </w:rPr>
                <w:t>2</w:t>
              </w:r>
              <w:r>
                <w:rPr>
                  <w:rFonts w:ascii="Arial" w:cs="Arial" w:eastAsia="Arial" w:hAnsi="Arial"/>
                  <w:sz w:val="18"/>
                  <w:szCs w:val="18"/>
                  <w:color w:val="auto"/>
                </w:rPr>
                <w:t xml:space="preserve"> </w:t>
              </w:r>
            </w:hyperlink>
            <w:r>
              <w:rPr>
                <w:rFonts w:ascii="Arial" w:cs="Arial" w:eastAsia="Arial" w:hAnsi="Arial"/>
                <w:sz w:val="18"/>
                <w:szCs w:val="18"/>
                <w:color w:val="auto"/>
              </w:rPr>
              <w:t>of this proxy statement and, if you requested to receive or received printed proxy materials,</w:t>
            </w:r>
          </w:p>
        </w:tc>
      </w:tr>
      <w:tr>
        <w:trPr>
          <w:trHeight w:val="20"/>
        </w:trPr>
        <w:tc>
          <w:tcPr>
            <w:tcW w:w="1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23"/>
        </w:trPr>
        <w:tc>
          <w:tcPr>
            <w:tcW w:w="1980" w:type="dxa"/>
            <w:vAlign w:val="bottom"/>
          </w:tcPr>
          <w:p>
            <w:pPr>
              <w:spacing w:after="0"/>
              <w:rPr>
                <w:sz w:val="19"/>
                <w:szCs w:val="19"/>
                <w:color w:val="auto"/>
              </w:rPr>
            </w:pPr>
          </w:p>
        </w:tc>
        <w:tc>
          <w:tcPr>
            <w:tcW w:w="9400" w:type="dxa"/>
            <w:vAlign w:val="bottom"/>
            <w:gridSpan w:val="3"/>
          </w:tcPr>
          <w:p>
            <w:pPr>
              <w:ind w:left="340"/>
              <w:spacing w:after="0"/>
              <w:rPr>
                <w:sz w:val="20"/>
                <w:szCs w:val="20"/>
                <w:color w:val="auto"/>
              </w:rPr>
            </w:pPr>
            <w:r>
              <w:rPr>
                <w:rFonts w:ascii="Arial" w:cs="Arial" w:eastAsia="Arial" w:hAnsi="Arial"/>
                <w:sz w:val="18"/>
                <w:szCs w:val="18"/>
                <w:color w:val="auto"/>
              </w:rPr>
              <w:t>your enclosed proxy card.</w:t>
            </w:r>
          </w:p>
        </w:tc>
      </w:tr>
      <w:tr>
        <w:trPr>
          <w:trHeight w:val="851"/>
        </w:trPr>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tcPr>
          <w:p>
            <w:pPr>
              <w:ind w:left="1480"/>
              <w:spacing w:after="0"/>
              <w:rPr>
                <w:sz w:val="20"/>
                <w:szCs w:val="20"/>
                <w:color w:val="auto"/>
              </w:rPr>
            </w:pPr>
            <w:r>
              <w:rPr>
                <w:rFonts w:ascii="Arial" w:cs="Arial" w:eastAsia="Arial" w:hAnsi="Arial"/>
                <w:sz w:val="18"/>
                <w:szCs w:val="18"/>
                <w:color w:val="auto"/>
              </w:rPr>
              <w:t>By Order of the Board of Directors,</w:t>
            </w:r>
          </w:p>
        </w:tc>
      </w:tr>
      <w:tr>
        <w:trPr>
          <w:trHeight w:val="1156"/>
        </w:trPr>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tcPr>
          <w:p>
            <w:pPr>
              <w:ind w:left="1480"/>
              <w:spacing w:after="0"/>
              <w:rPr>
                <w:sz w:val="20"/>
                <w:szCs w:val="20"/>
                <w:color w:val="auto"/>
              </w:rPr>
            </w:pPr>
            <w:r>
              <w:rPr>
                <w:rFonts w:ascii="Arial" w:cs="Arial" w:eastAsia="Arial" w:hAnsi="Arial"/>
                <w:sz w:val="18"/>
                <w:szCs w:val="18"/>
                <w:color w:val="auto"/>
              </w:rPr>
              <w:t>Heidi Garfield</w:t>
            </w:r>
          </w:p>
        </w:tc>
      </w:tr>
      <w:tr>
        <w:trPr>
          <w:trHeight w:val="235"/>
        </w:trPr>
        <w:tc>
          <w:tcPr>
            <w:tcW w:w="19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40" w:type="dxa"/>
            <w:vAlign w:val="bottom"/>
          </w:tcPr>
          <w:p>
            <w:pPr>
              <w:ind w:left="1480"/>
              <w:spacing w:after="0"/>
              <w:rPr>
                <w:sz w:val="20"/>
                <w:szCs w:val="20"/>
                <w:color w:val="auto"/>
              </w:rPr>
            </w:pPr>
            <w:r>
              <w:rPr>
                <w:rFonts w:ascii="Arial" w:cs="Arial" w:eastAsia="Arial" w:hAnsi="Arial"/>
                <w:sz w:val="18"/>
                <w:szCs w:val="18"/>
                <w:i w:val="1"/>
                <w:iCs w:val="1"/>
                <w:color w:val="auto"/>
              </w:rPr>
              <w:t>Vice President, General Counsel and Corporate Secretary</w:t>
            </w:r>
          </w:p>
        </w:tc>
      </w:tr>
      <w:tr>
        <w:trPr>
          <w:trHeight w:val="445"/>
        </w:trPr>
        <w:tc>
          <w:tcPr>
            <w:tcW w:w="1980" w:type="dxa"/>
            <w:vAlign w:val="bottom"/>
          </w:tcPr>
          <w:p>
            <w:pPr>
              <w:spacing w:after="0"/>
              <w:rPr>
                <w:sz w:val="20"/>
                <w:szCs w:val="20"/>
                <w:color w:val="auto"/>
              </w:rPr>
            </w:pPr>
            <w:r>
              <w:rPr>
                <w:rFonts w:ascii="Arial" w:cs="Arial" w:eastAsia="Arial" w:hAnsi="Arial"/>
                <w:sz w:val="18"/>
                <w:szCs w:val="18"/>
                <w:color w:val="auto"/>
              </w:rPr>
              <w:t>New York, New York</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tcPr>
          <w:p>
            <w:pPr>
              <w:spacing w:after="0"/>
              <w:rPr>
                <w:sz w:val="24"/>
                <w:szCs w:val="24"/>
                <w:color w:val="auto"/>
              </w:rPr>
            </w:pPr>
          </w:p>
        </w:tc>
      </w:tr>
      <w:tr>
        <w:trPr>
          <w:trHeight w:val="217"/>
        </w:trPr>
        <w:tc>
          <w:tcPr>
            <w:tcW w:w="1980" w:type="dxa"/>
            <w:vAlign w:val="bottom"/>
          </w:tcPr>
          <w:p>
            <w:pPr>
              <w:spacing w:after="0"/>
              <w:rPr>
                <w:sz w:val="20"/>
                <w:szCs w:val="20"/>
                <w:color w:val="auto"/>
              </w:rPr>
            </w:pPr>
            <w:r>
              <w:rPr>
                <w:rFonts w:ascii="Arial" w:cs="Arial" w:eastAsia="Arial" w:hAnsi="Arial"/>
                <w:sz w:val="18"/>
                <w:szCs w:val="18"/>
                <w:color w:val="auto"/>
              </w:rPr>
              <w:t>April 25, 2019</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-1276985</wp:posOffset>
            </wp:positionV>
            <wp:extent cx="142367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6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Important Notice Regarding the Availability of Proxy Materials for the 2019 Annual Meeting to Be Held on June 6, 2019.</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xml:space="preserve">Our Proxy Statement and 2018 Annual Report to Stockholders are available at </w:t>
      </w:r>
      <w:r>
        <w:rPr>
          <w:rFonts w:ascii="Arial" w:cs="Arial" w:eastAsia="Arial" w:hAnsi="Arial"/>
          <w:sz w:val="14"/>
          <w:szCs w:val="14"/>
          <w:b w:val="1"/>
          <w:bCs w:val="1"/>
          <w:i w:val="1"/>
          <w:iCs w:val="1"/>
          <w:color w:val="auto"/>
        </w:rPr>
        <w:t>http://www.viewproxy.com/shutterstock/2019</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EE2724"/>
        </w:rPr>
        <w:t>TABLE OF CONTENTS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color w:val="auto"/>
              </w:rPr>
              <w:t>Page</w:t>
            </w:r>
          </w:p>
        </w:tc>
      </w:tr>
      <w:tr>
        <w:trPr>
          <w:trHeight w:val="189"/>
        </w:trPr>
        <w:tc>
          <w:tcPr>
            <w:tcW w:w="8720" w:type="dxa"/>
            <w:vAlign w:val="bottom"/>
            <w:gridSpan w:val="26"/>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QUESTIONS AND ANSWERS ABOUT THE PROXY MATERIALS AND THE 2019 ANNUAL MEETING</w:t>
              </w:r>
            </w:hyperlink>
          </w:p>
        </w:tc>
        <w:tc>
          <w:tcPr>
            <w:tcW w:w="1860" w:type="dxa"/>
            <w:vAlign w:val="bottom"/>
            <w:gridSpan w:val="2"/>
          </w:tcPr>
          <w:p>
            <w:pPr>
              <w:spacing w:after="0"/>
              <w:rPr>
                <w:sz w:val="16"/>
                <w:szCs w:val="16"/>
                <w:color w:val="auto"/>
              </w:rPr>
            </w:pPr>
          </w:p>
        </w:tc>
        <w:tc>
          <w:tcPr>
            <w:tcW w:w="800" w:type="dxa"/>
            <w:vAlign w:val="bottom"/>
            <w:gridSpan w:val="4"/>
          </w:tcPr>
          <w:p>
            <w:pPr>
              <w:jc w:val="right"/>
              <w:ind w:right="20"/>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7"/>
        </w:trPr>
        <w:tc>
          <w:tcPr>
            <w:tcW w:w="140" w:type="dxa"/>
            <w:vAlign w:val="bottom"/>
            <w:shd w:val="clear" w:color="auto" w:fill="0000EE"/>
          </w:tcPr>
          <w:p>
            <w:pPr>
              <w:spacing w:after="0"/>
              <w:rPr>
                <w:sz w:val="2"/>
                <w:szCs w:val="2"/>
                <w:color w:val="auto"/>
              </w:rPr>
            </w:pPr>
          </w:p>
        </w:tc>
        <w:tc>
          <w:tcPr>
            <w:tcW w:w="13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800" w:type="dxa"/>
            <w:vAlign w:val="bottom"/>
            <w:gridSpan w:val="2"/>
            <w:shd w:val="clear" w:color="auto" w:fill="0000EE"/>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8720" w:type="dxa"/>
            <w:vAlign w:val="bottom"/>
            <w:gridSpan w:val="2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DIRECTORS, EXECUTIVE OFFICERS AND CORPORATE GOVERNANCE</w:t>
              </w:r>
            </w:hyperlink>
          </w:p>
        </w:tc>
        <w:tc>
          <w:tcPr>
            <w:tcW w:w="186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2560" w:type="dxa"/>
            <w:vAlign w:val="bottom"/>
            <w:gridSpan w:val="6"/>
          </w:tcPr>
          <w:p>
            <w:pPr>
              <w:spacing w:after="0"/>
              <w:rPr>
                <w:rFonts w:ascii="Arial" w:cs="Arial" w:eastAsia="Arial" w:hAnsi="Arial"/>
                <w:sz w:val="18"/>
                <w:szCs w:val="18"/>
                <w:color w:val="0000EE"/>
                <w:w w:val="98"/>
              </w:rPr>
            </w:pPr>
            <w:hyperlink w:anchor="page12">
              <w:r>
                <w:rPr>
                  <w:rFonts w:ascii="Arial" w:cs="Arial" w:eastAsia="Arial" w:hAnsi="Arial"/>
                  <w:sz w:val="18"/>
                  <w:szCs w:val="18"/>
                  <w:color w:val="0000EE"/>
                  <w:w w:val="98"/>
                </w:rPr>
                <w:t>Directors and Executive Officers</w:t>
              </w:r>
            </w:hyperlink>
          </w:p>
        </w:tc>
        <w:tc>
          <w:tcPr>
            <w:tcW w:w="3360" w:type="dxa"/>
            <w:vAlign w:val="bottom"/>
            <w:gridSpan w:val="16"/>
          </w:tcPr>
          <w:p>
            <w:pPr>
              <w:spacing w:after="0"/>
              <w:rPr>
                <w:sz w:val="20"/>
                <w:szCs w:val="20"/>
                <w:color w:val="auto"/>
              </w:rPr>
            </w:pPr>
          </w:p>
        </w:tc>
        <w:tc>
          <w:tcPr>
            <w:tcW w:w="4520" w:type="dxa"/>
            <w:vAlign w:val="bottom"/>
            <w:gridSpan w:val="5"/>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4520" w:type="dxa"/>
            <w:vAlign w:val="bottom"/>
            <w:gridSpan w:val="17"/>
          </w:tcPr>
          <w:p>
            <w:pP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Board Structure, Director Nominations and Qualifications</w:t>
              </w:r>
            </w:hyperlink>
          </w:p>
        </w:tc>
        <w:tc>
          <w:tcPr>
            <w:tcW w:w="5920" w:type="dxa"/>
            <w:vAlign w:val="bottom"/>
            <w:gridSpan w:val="10"/>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3360" w:type="dxa"/>
            <w:vAlign w:val="bottom"/>
            <w:gridSpan w:val="12"/>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Corporate Governance and Board Matters</w:t>
              </w:r>
            </w:hyperlink>
          </w:p>
        </w:tc>
        <w:tc>
          <w:tcPr>
            <w:tcW w:w="1160" w:type="dxa"/>
            <w:vAlign w:val="bottom"/>
            <w:gridSpan w:val="5"/>
          </w:tcPr>
          <w:p>
            <w:pPr>
              <w:spacing w:after="0"/>
              <w:rPr>
                <w:sz w:val="20"/>
                <w:szCs w:val="20"/>
                <w:color w:val="auto"/>
              </w:rPr>
            </w:pPr>
          </w:p>
        </w:tc>
        <w:tc>
          <w:tcPr>
            <w:tcW w:w="5920" w:type="dxa"/>
            <w:vAlign w:val="bottom"/>
            <w:gridSpan w:val="10"/>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660" w:type="dxa"/>
            <w:vAlign w:val="bottom"/>
            <w:gridSpan w:val="14"/>
          </w:tcPr>
          <w:p>
            <w:pPr>
              <w:spacing w:after="0"/>
              <w:rPr>
                <w:rFonts w:ascii="Arial" w:cs="Arial" w:eastAsia="Arial" w:hAnsi="Arial"/>
                <w:sz w:val="18"/>
                <w:szCs w:val="18"/>
                <w:color w:val="0000EE"/>
                <w:w w:val="97"/>
              </w:rPr>
            </w:pPr>
            <w:hyperlink w:anchor="page22">
              <w:r>
                <w:rPr>
                  <w:rFonts w:ascii="Arial" w:cs="Arial" w:eastAsia="Arial" w:hAnsi="Arial"/>
                  <w:sz w:val="18"/>
                  <w:szCs w:val="18"/>
                  <w:color w:val="0000EE"/>
                  <w:w w:val="97"/>
                </w:rPr>
                <w:t>PROPOSAL ONE: ELECTION OF DIRECTOR</w:t>
              </w:r>
            </w:hyperlink>
          </w:p>
        </w:tc>
        <w:tc>
          <w:tcPr>
            <w:tcW w:w="6920" w:type="dxa"/>
            <w:vAlign w:val="bottom"/>
            <w:gridSpan w:val="14"/>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66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DIRECTOR COMPENSATION</w:t>
              </w:r>
            </w:hyperlink>
          </w:p>
        </w:tc>
        <w:tc>
          <w:tcPr>
            <w:tcW w:w="6920" w:type="dxa"/>
            <w:vAlign w:val="bottom"/>
            <w:gridSpan w:val="14"/>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2320" w:type="dxa"/>
            <w:vAlign w:val="bottom"/>
            <w:gridSpan w:val="4"/>
          </w:tcPr>
          <w:p>
            <w:pPr>
              <w:spacing w:after="0"/>
              <w:rPr>
                <w:rFonts w:ascii="Arial" w:cs="Arial" w:eastAsia="Arial" w:hAnsi="Arial"/>
                <w:sz w:val="18"/>
                <w:szCs w:val="18"/>
                <w:color w:val="0000EE"/>
                <w:w w:val="97"/>
              </w:rPr>
            </w:pPr>
            <w:hyperlink w:anchor="page24">
              <w:r>
                <w:rPr>
                  <w:rFonts w:ascii="Arial" w:cs="Arial" w:eastAsia="Arial" w:hAnsi="Arial"/>
                  <w:sz w:val="18"/>
                  <w:szCs w:val="18"/>
                  <w:color w:val="0000EE"/>
                  <w:w w:val="97"/>
                </w:rPr>
                <w:t>Director Compensation Table</w:t>
              </w:r>
            </w:hyperlink>
          </w:p>
        </w:tc>
        <w:tc>
          <w:tcPr>
            <w:tcW w:w="8120" w:type="dxa"/>
            <w:vAlign w:val="bottom"/>
            <w:gridSpan w:val="23"/>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580" w:type="dxa"/>
            <w:vAlign w:val="bottom"/>
            <w:gridSpan w:val="2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SECURITY OWNERSHIP OF CERTAIN BENEFICIAL HOLDERS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4640" w:type="dxa"/>
            <w:vAlign w:val="bottom"/>
            <w:gridSpan w:val="18"/>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Section 16(a) Beneficial Ownership Reporting Compliance</w:t>
              </w:r>
            </w:hyperlink>
          </w:p>
        </w:tc>
        <w:tc>
          <w:tcPr>
            <w:tcW w:w="420" w:type="dxa"/>
            <w:vAlign w:val="bottom"/>
            <w:gridSpan w:val="3"/>
          </w:tcPr>
          <w:p>
            <w:pPr>
              <w:spacing w:after="0"/>
              <w:rPr>
                <w:sz w:val="20"/>
                <w:szCs w:val="20"/>
                <w:color w:val="auto"/>
              </w:rPr>
            </w:pPr>
          </w:p>
        </w:tc>
        <w:tc>
          <w:tcPr>
            <w:tcW w:w="5380" w:type="dxa"/>
            <w:vAlign w:val="bottom"/>
            <w:gridSpan w:val="6"/>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580" w:type="dxa"/>
            <w:vAlign w:val="bottom"/>
            <w:gridSpan w:val="2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PROPOSAL TWO: ADVISORY VOTE ON THE COMPENSATION OF OUR NAMED EXECUTIVE OFFICERS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460" w:type="dxa"/>
            <w:vAlign w:val="bottom"/>
            <w:gridSpan w:val="5"/>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EXECUTIVE COMPENSATION</w:t>
              </w:r>
            </w:hyperlink>
          </w:p>
        </w:tc>
        <w:tc>
          <w:tcPr>
            <w:tcW w:w="6260" w:type="dxa"/>
            <w:vAlign w:val="bottom"/>
            <w:gridSpan w:val="21"/>
          </w:tcPr>
          <w:p>
            <w:pPr>
              <w:spacing w:after="0"/>
              <w:rPr>
                <w:sz w:val="20"/>
                <w:szCs w:val="20"/>
                <w:color w:val="auto"/>
              </w:rPr>
            </w:pPr>
          </w:p>
        </w:tc>
        <w:tc>
          <w:tcPr>
            <w:tcW w:w="1860" w:type="dxa"/>
            <w:vAlign w:val="bottom"/>
            <w:gridSpan w:val="2"/>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0440" w:type="dxa"/>
            <w:vAlign w:val="bottom"/>
            <w:gridSpan w:val="2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Compensation Discussion and Analysis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314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Compensation Committee Report</w:t>
              </w:r>
            </w:hyperlink>
          </w:p>
        </w:tc>
        <w:tc>
          <w:tcPr>
            <w:tcW w:w="7300" w:type="dxa"/>
            <w:vAlign w:val="bottom"/>
            <w:gridSpan w:val="17"/>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0440" w:type="dxa"/>
            <w:vAlign w:val="bottom"/>
            <w:gridSpan w:val="2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Employment Agreements and Compensatory Arrangements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2460" w:type="dxa"/>
            <w:vAlign w:val="bottom"/>
            <w:gridSpan w:val="5"/>
          </w:tcPr>
          <w:p>
            <w:pPr>
              <w:spacing w:after="0"/>
              <w:rPr>
                <w:rFonts w:ascii="Arial" w:cs="Arial" w:eastAsia="Arial" w:hAnsi="Arial"/>
                <w:sz w:val="18"/>
                <w:szCs w:val="18"/>
                <w:color w:val="0000EE"/>
                <w:w w:val="98"/>
              </w:rPr>
            </w:pPr>
            <w:hyperlink w:anchor="page52">
              <w:r>
                <w:rPr>
                  <w:rFonts w:ascii="Arial" w:cs="Arial" w:eastAsia="Arial" w:hAnsi="Arial"/>
                  <w:sz w:val="18"/>
                  <w:szCs w:val="18"/>
                  <w:color w:val="0000EE"/>
                  <w:w w:val="98"/>
                </w:rPr>
                <w:t>Summary Compensation Table</w:t>
              </w:r>
            </w:hyperlink>
          </w:p>
        </w:tc>
        <w:tc>
          <w:tcPr>
            <w:tcW w:w="2260" w:type="dxa"/>
            <w:vAlign w:val="bottom"/>
            <w:gridSpan w:val="14"/>
          </w:tcPr>
          <w:p>
            <w:pPr>
              <w:spacing w:after="0"/>
              <w:rPr>
                <w:sz w:val="20"/>
                <w:szCs w:val="20"/>
                <w:color w:val="auto"/>
              </w:rPr>
            </w:pPr>
          </w:p>
        </w:tc>
        <w:tc>
          <w:tcPr>
            <w:tcW w:w="5720" w:type="dxa"/>
            <w:vAlign w:val="bottom"/>
            <w:gridSpan w:val="8"/>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2460" w:type="dxa"/>
            <w:vAlign w:val="bottom"/>
            <w:gridSpan w:val="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Pay Ratio Disclosure</w:t>
              </w:r>
            </w:hyperlink>
          </w:p>
        </w:tc>
        <w:tc>
          <w:tcPr>
            <w:tcW w:w="7980" w:type="dxa"/>
            <w:vAlign w:val="bottom"/>
            <w:gridSpan w:val="22"/>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3520" w:type="dxa"/>
            <w:vAlign w:val="bottom"/>
            <w:gridSpan w:val="13"/>
          </w:tcPr>
          <w:p>
            <w:pPr>
              <w:spacing w:after="0"/>
              <w:rPr>
                <w:rFonts w:ascii="Arial" w:cs="Arial" w:eastAsia="Arial" w:hAnsi="Arial"/>
                <w:sz w:val="18"/>
                <w:szCs w:val="18"/>
                <w:color w:val="0000EE"/>
                <w:w w:val="98"/>
              </w:rPr>
            </w:pPr>
            <w:hyperlink w:anchor="page54">
              <w:r>
                <w:rPr>
                  <w:rFonts w:ascii="Arial" w:cs="Arial" w:eastAsia="Arial" w:hAnsi="Arial"/>
                  <w:sz w:val="18"/>
                  <w:szCs w:val="18"/>
                  <w:color w:val="0000EE"/>
                  <w:w w:val="98"/>
                </w:rPr>
                <w:t>Grants of Plan-Based Awards in Fiscal 2018</w:t>
              </w:r>
            </w:hyperlink>
          </w:p>
        </w:tc>
        <w:tc>
          <w:tcPr>
            <w:tcW w:w="6920" w:type="dxa"/>
            <w:vAlign w:val="bottom"/>
            <w:gridSpan w:val="14"/>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3680" w:type="dxa"/>
            <w:vAlign w:val="bottom"/>
            <w:gridSpan w:val="14"/>
          </w:tcPr>
          <w:p>
            <w:pPr>
              <w:spacing w:after="0"/>
              <w:rPr>
                <w:rFonts w:ascii="Arial" w:cs="Arial" w:eastAsia="Arial" w:hAnsi="Arial"/>
                <w:sz w:val="18"/>
                <w:szCs w:val="18"/>
                <w:color w:val="0000EE"/>
                <w:w w:val="98"/>
              </w:rPr>
            </w:pPr>
            <w:hyperlink w:anchor="page55">
              <w:r>
                <w:rPr>
                  <w:rFonts w:ascii="Arial" w:cs="Arial" w:eastAsia="Arial" w:hAnsi="Arial"/>
                  <w:sz w:val="18"/>
                  <w:szCs w:val="18"/>
                  <w:color w:val="0000EE"/>
                  <w:w w:val="98"/>
                </w:rPr>
                <w:t>Outstanding Equity Awards at Fiscal Year-End</w:t>
              </w:r>
            </w:hyperlink>
          </w:p>
        </w:tc>
        <w:tc>
          <w:tcPr>
            <w:tcW w:w="6760" w:type="dxa"/>
            <w:vAlign w:val="bottom"/>
            <w:gridSpan w:val="13"/>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0440" w:type="dxa"/>
            <w:vAlign w:val="bottom"/>
            <w:gridSpan w:val="2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Option Exercises and Stock Vested in Fiscal 2018</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53</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4720" w:type="dxa"/>
            <w:vAlign w:val="bottom"/>
            <w:gridSpan w:val="19"/>
          </w:tcPr>
          <w:p>
            <w:pPr>
              <w:spacing w:after="0"/>
              <w:rPr>
                <w:rFonts w:ascii="Arial" w:cs="Arial" w:eastAsia="Arial" w:hAnsi="Arial"/>
                <w:sz w:val="18"/>
                <w:szCs w:val="18"/>
                <w:color w:val="0000EE"/>
                <w:w w:val="98"/>
              </w:rPr>
            </w:pPr>
            <w:hyperlink w:anchor="page58">
              <w:r>
                <w:rPr>
                  <w:rFonts w:ascii="Arial" w:cs="Arial" w:eastAsia="Arial" w:hAnsi="Arial"/>
                  <w:sz w:val="18"/>
                  <w:szCs w:val="18"/>
                  <w:color w:val="0000EE"/>
                  <w:w w:val="98"/>
                </w:rPr>
                <w:t>Potential Payments Upon Termination or Change in Control</w:t>
              </w:r>
            </w:hyperlink>
          </w:p>
        </w:tc>
        <w:tc>
          <w:tcPr>
            <w:tcW w:w="5720" w:type="dxa"/>
            <w:vAlign w:val="bottom"/>
            <w:gridSpan w:val="8"/>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54</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580" w:type="dxa"/>
            <w:vAlign w:val="bottom"/>
            <w:gridSpan w:val="2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56</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4860" w:type="dxa"/>
            <w:vAlign w:val="bottom"/>
            <w:gridSpan w:val="2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Transactions with Related Persons</w:t>
              </w:r>
            </w:hyperlink>
          </w:p>
        </w:tc>
        <w:tc>
          <w:tcPr>
            <w:tcW w:w="5580" w:type="dxa"/>
            <w:vAlign w:val="bottom"/>
            <w:gridSpan w:val="7"/>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56</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580" w:type="dxa"/>
            <w:vAlign w:val="bottom"/>
            <w:gridSpan w:val="2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PROPOSAL THREE: RATIFICATION OF APPOINTMENT OF INDEPENDENT REGISTERED PUBLIC ACCOUNTING FIRM</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940" w:type="dxa"/>
            <w:vAlign w:val="bottom"/>
            <w:gridSpan w:val="8"/>
            <w:shd w:val="clear" w:color="auto" w:fill="0000EE"/>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780" w:type="dxa"/>
            <w:vAlign w:val="bottom"/>
            <w:gridSpan w:val="2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Selection of the Accounting Firm</w:t>
              </w:r>
            </w:hyperlink>
          </w:p>
        </w:tc>
        <w:tc>
          <w:tcPr>
            <w:tcW w:w="660" w:type="dxa"/>
            <w:vAlign w:val="bottom"/>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0440" w:type="dxa"/>
            <w:vAlign w:val="bottom"/>
            <w:gridSpan w:val="2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Policy on Audit Committee Pre-Approval of Audit and Permissible Non-Audit Services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940" w:type="dxa"/>
            <w:vAlign w:val="bottom"/>
            <w:gridSpan w:val="8"/>
            <w:shd w:val="clear" w:color="auto" w:fill="0000EE"/>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3180" w:type="dxa"/>
            <w:vAlign w:val="bottom"/>
            <w:gridSpan w:val="11"/>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Principal Accountant Fees and Services</w:t>
              </w:r>
            </w:hyperlink>
          </w:p>
        </w:tc>
        <w:tc>
          <w:tcPr>
            <w:tcW w:w="3600" w:type="dxa"/>
            <w:vAlign w:val="bottom"/>
            <w:gridSpan w:val="12"/>
          </w:tcPr>
          <w:p>
            <w:pPr>
              <w:spacing w:after="0"/>
              <w:rPr>
                <w:sz w:val="20"/>
                <w:szCs w:val="20"/>
                <w:color w:val="auto"/>
              </w:rPr>
            </w:pPr>
          </w:p>
        </w:tc>
        <w:tc>
          <w:tcPr>
            <w:tcW w:w="3660" w:type="dxa"/>
            <w:vAlign w:val="bottom"/>
            <w:gridSpan w:val="4"/>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60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580" w:type="dxa"/>
            <w:vAlign w:val="bottom"/>
            <w:gridSpan w:val="2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AUDIT COMMITTEE REPORT</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520" w:type="dxa"/>
            <w:vAlign w:val="bottom"/>
            <w:gridSpan w:val="11"/>
          </w:tcPr>
          <w:p>
            <w:pPr>
              <w:spacing w:after="0" w:line="20" w:lineRule="exact"/>
              <w:rPr>
                <w:sz w:val="1"/>
                <w:szCs w:val="1"/>
                <w:color w:val="auto"/>
              </w:rPr>
            </w:pPr>
          </w:p>
        </w:tc>
        <w:tc>
          <w:tcPr>
            <w:tcW w:w="660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980" w:type="dxa"/>
            <w:vAlign w:val="bottom"/>
            <w:gridSpan w:val="16"/>
          </w:tcPr>
          <w:p>
            <w:pPr>
              <w:spacing w:after="0"/>
              <w:rPr>
                <w:rFonts w:ascii="Arial" w:cs="Arial" w:eastAsia="Arial" w:hAnsi="Arial"/>
                <w:sz w:val="18"/>
                <w:szCs w:val="18"/>
                <w:color w:val="0000EE"/>
                <w:w w:val="98"/>
              </w:rPr>
            </w:pPr>
            <w:hyperlink w:anchor="page64">
              <w:r>
                <w:rPr>
                  <w:rFonts w:ascii="Arial" w:cs="Arial" w:eastAsia="Arial" w:hAnsi="Arial"/>
                  <w:sz w:val="18"/>
                  <w:szCs w:val="18"/>
                  <w:color w:val="0000EE"/>
                  <w:w w:val="98"/>
                </w:rPr>
                <w:t>EQUITY COMPENSATION PLAN INFORMATION</w:t>
              </w:r>
            </w:hyperlink>
          </w:p>
        </w:tc>
        <w:tc>
          <w:tcPr>
            <w:tcW w:w="6600" w:type="dxa"/>
            <w:vAlign w:val="bottom"/>
            <w:gridSpan w:val="12"/>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2460" w:type="dxa"/>
            <w:vAlign w:val="bottom"/>
            <w:gridSpan w:val="14"/>
            <w:shd w:val="clear" w:color="auto" w:fill="0000EE"/>
          </w:tcPr>
          <w:p>
            <w:pPr>
              <w:spacing w:after="0" w:line="20" w:lineRule="exact"/>
              <w:rPr>
                <w:sz w:val="1"/>
                <w:szCs w:val="1"/>
                <w:color w:val="auto"/>
              </w:rPr>
            </w:pPr>
          </w:p>
        </w:tc>
        <w:tc>
          <w:tcPr>
            <w:tcW w:w="660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980" w:type="dxa"/>
            <w:vAlign w:val="bottom"/>
            <w:gridSpan w:val="1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OTHER MATTERS</w:t>
              </w:r>
            </w:hyperlink>
          </w:p>
        </w:tc>
        <w:tc>
          <w:tcPr>
            <w:tcW w:w="6600" w:type="dxa"/>
            <w:vAlign w:val="bottom"/>
            <w:gridSpan w:val="12"/>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EE2724"/>
        </w:rPr>
        <w:t>QUESTIONS AND ANSWERS ABOUT THE PROXY MATERIALS</w:t>
      </w: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EE2724"/>
        </w:rPr>
        <w:t>AND THE 2019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Proxy Materials</w:t>
      </w:r>
    </w:p>
    <w:p>
      <w:pPr>
        <w:spacing w:after="0" w:line="378" w:lineRule="exact"/>
        <w:rPr>
          <w:sz w:val="20"/>
          <w:szCs w:val="20"/>
          <w:color w:val="auto"/>
        </w:rPr>
      </w:pPr>
    </w:p>
    <w:p>
      <w:pPr>
        <w:ind w:left="620" w:hanging="585"/>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Board of Directors of Shutterstock, Inc. (the “Board”) is providing these proxy materials to you on the Internet, or, upon your request, has delivered printed or emailed electronic proxy materials to you, in connection with the solicitation of proxies for use at the 2019 Annual Meeting of Stockholders to be held on Thursday, June 6, 2019 at 10:00 a.m. Eastern Time (the “2019 Annual Meeting”). As a stockholder of record, you are invited to attend the 2019 Annual Meeting and are requested to vote on the items of business described in this proxy statement. This proxy statement includes information that we are required to provide to you under Securities and Exchange Commission (“SEC”) rules and that is designed to assist you in voting your shares.</w:t>
      </w:r>
    </w:p>
    <w:p>
      <w:pPr>
        <w:spacing w:after="0" w:line="349" w:lineRule="exact"/>
        <w:rPr>
          <w:sz w:val="20"/>
          <w:szCs w:val="20"/>
          <w:color w:val="auto"/>
        </w:rPr>
      </w:pPr>
    </w:p>
    <w:p>
      <w:pPr>
        <w:ind w:left="500" w:hanging="465"/>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included in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proxy materials include:</w:t>
      </w:r>
    </w:p>
    <w:p>
      <w:pPr>
        <w:spacing w:after="0" w:line="225" w:lineRule="exact"/>
        <w:rPr>
          <w:sz w:val="20"/>
          <w:szCs w:val="20"/>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proxy statement for the 2019 Annual Meeting;</w:t>
      </w:r>
    </w:p>
    <w:p>
      <w:pPr>
        <w:spacing w:after="0" w:line="225" w:lineRule="exact"/>
        <w:rPr>
          <w:rFonts w:ascii="Arial" w:cs="Arial" w:eastAsia="Arial" w:hAnsi="Arial"/>
          <w:sz w:val="18"/>
          <w:szCs w:val="18"/>
          <w:color w:val="auto"/>
        </w:rPr>
      </w:pPr>
    </w:p>
    <w:p>
      <w:pPr>
        <w:ind w:left="660" w:right="320" w:hanging="328"/>
        <w:spacing w:after="0" w:line="262"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2018 Annual Report to Stockholders (the “2018 Annual Report”), which includes our Annual Report on Form 10-K for the fiscal year ended December 31, 2018; and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proxy card or a voting instruction form for the 2019 Annual Meeting.</w:t>
      </w:r>
    </w:p>
    <w:p>
      <w:pPr>
        <w:spacing w:after="0" w:line="365" w:lineRule="exact"/>
        <w:rPr>
          <w:rFonts w:ascii="Arial" w:cs="Arial" w:eastAsia="Arial" w:hAnsi="Arial"/>
          <w:sz w:val="18"/>
          <w:szCs w:val="18"/>
          <w:color w:val="auto"/>
        </w:rPr>
      </w:pPr>
    </w:p>
    <w:p>
      <w:pPr>
        <w:ind w:left="500" w:hanging="465"/>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information is included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information in this proxy statement relates to the proposals to be voted on at the 2019 Annual Meeting, the voting process, our Board and Board committees, the compensation of directors and certain executive officers, corporate governance matters, and certain other required information.</w:t>
      </w:r>
    </w:p>
    <w:p>
      <w:pPr>
        <w:spacing w:after="0" w:line="342" w:lineRule="exact"/>
        <w:rPr>
          <w:sz w:val="20"/>
          <w:szCs w:val="20"/>
          <w:color w:val="auto"/>
        </w:rPr>
      </w:pPr>
    </w:p>
    <w:p>
      <w:pPr>
        <w:ind w:left="500" w:right="140" w:hanging="465"/>
        <w:spacing w:after="0" w:line="271" w:lineRule="auto"/>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notice in the mail regarding the Internet availability of proxy materials instead of a full set of printed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Pursuant to rules adopted by the SEC, we may furnish proxy materials, including this proxy statement and our 2018 Annual Report, to our stockholders electronically via the Internet instead of mailing printed copies. Unless a stockholder previously requested paper delivery of communications from us, a stockholder will receive a Notice of Internet Availability of Proxy Materials instructing the stockholder as to how to access and review all of the proxy materials on the Internet.</w:t>
      </w:r>
    </w:p>
    <w:p>
      <w:pPr>
        <w:spacing w:after="0" w:line="344" w:lineRule="exact"/>
        <w:rPr>
          <w:sz w:val="20"/>
          <w:szCs w:val="20"/>
          <w:color w:val="auto"/>
        </w:rPr>
      </w:pPr>
    </w:p>
    <w:p>
      <w:pPr>
        <w:ind w:left="500" w:hanging="465"/>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access the proxy materials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Notice of Internet Availability of Proxy Materials, proxy card and voting instruction form contain instructions on how to view our proxy materials for the 2019 Annual Meeting on the Internet and vote your shares. The proxy statement and 2018 Annual Report, as well as other financial information, are also available on our Investor Relations website at: investor.shutterstock.com.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proxy materials are also available for viewing at www.viewproxy.com/shutterstock/2019.</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20" w:hanging="458"/>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SEC permits us to deliver a single copy of the Notice of Internet Availability of Proxy Materials, and if applicable, the proxy statement and 2018 Annual Report, to multiple stockholders who share the same address unless we received contrary instructions from one or more of the stockholders. Each stockholder will continue to receive a separate proxy card. By “householding” we can reduce printing costs, mailing costs and fees.</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you are a stockholder of record and wish to receive a separate Notice of Internet Availability of Proxy Materials or the proxy statement and 2018 Annual Report, or if your household is receiving multiple sets of these documents and would prefer to receive only one set, please contact our Corporate Secretary at the address or telephone number set forth below. Stockholders owning their shares through a bank, broker, or other nominee may request to discontinue or begin householding by contacting their bank, broker or nominee. You can also request additional copies or notify us that you no longer wish to participate in householding by sending a written request to the Corporate Secretary, Shutterstock, Inc., 350 Fifth Avenue, 21st Floor, New York, New York 10118, or by calling the Corporate Secretary at 646-710-3417.</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Voting Information</w:t>
      </w:r>
    </w:p>
    <w:p>
      <w:pPr>
        <w:spacing w:after="0" w:line="378" w:lineRule="exact"/>
        <w:rPr>
          <w:sz w:val="20"/>
          <w:szCs w:val="20"/>
          <w:color w:val="auto"/>
        </w:rPr>
      </w:pPr>
    </w:p>
    <w:p>
      <w:pPr>
        <w:ind w:left="620" w:hanging="585"/>
        <w:spacing w:after="0"/>
        <w:tabs>
          <w:tab w:leader="none" w:pos="6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proposals am I voting on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You are voting on three proposals at the 2019 Annual Meeting:</w:t>
      </w:r>
    </w:p>
    <w:p>
      <w:pPr>
        <w:spacing w:after="0" w:line="203" w:lineRule="exact"/>
        <w:rPr>
          <w:sz w:val="20"/>
          <w:szCs w:val="20"/>
          <w:color w:val="auto"/>
        </w:rPr>
      </w:pPr>
    </w:p>
    <w:p>
      <w:pPr>
        <w:ind w:left="660" w:right="160" w:hanging="328"/>
        <w:spacing w:after="0" w:line="26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Proposal One: </w:t>
      </w:r>
      <w:r>
        <w:rPr>
          <w:rFonts w:ascii="Arial" w:cs="Arial" w:eastAsia="Arial" w:hAnsi="Arial"/>
          <w:sz w:val="18"/>
          <w:szCs w:val="18"/>
          <w:color w:val="auto"/>
        </w:rPr>
        <w:t>Election of Jonathan Oringer to the Board, to serve as a Class I director for a three-year term ending at the 2022</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 or until his successor has been duly elected or appointed and qualified, or until his earlier resignation or removal;</w:t>
      </w:r>
    </w:p>
    <w:p>
      <w:pPr>
        <w:spacing w:after="0" w:line="168" w:lineRule="exact"/>
        <w:rPr>
          <w:rFonts w:ascii="Arial" w:cs="Arial" w:eastAsia="Arial" w:hAnsi="Arial"/>
          <w:sz w:val="18"/>
          <w:szCs w:val="18"/>
          <w:color w:val="auto"/>
        </w:rPr>
      </w:pPr>
    </w:p>
    <w:p>
      <w:pPr>
        <w:ind w:left="660" w:right="660" w:hanging="328"/>
        <w:spacing w:after="0" w:line="28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Proposal Two: </w:t>
      </w:r>
      <w:r>
        <w:rPr>
          <w:rFonts w:ascii="Arial" w:cs="Arial" w:eastAsia="Arial" w:hAnsi="Arial"/>
          <w:sz w:val="18"/>
          <w:szCs w:val="18"/>
          <w:color w:val="auto"/>
        </w:rPr>
        <w:t>Approval, on an advisory basis, of the compensation of our named executive officers, as disclosed in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w:t>
      </w:r>
    </w:p>
    <w:p>
      <w:pPr>
        <w:spacing w:after="0" w:line="153" w:lineRule="exact"/>
        <w:rPr>
          <w:rFonts w:ascii="Arial" w:cs="Arial" w:eastAsia="Arial" w:hAnsi="Arial"/>
          <w:sz w:val="18"/>
          <w:szCs w:val="18"/>
          <w:color w:val="auto"/>
        </w:rPr>
      </w:pPr>
    </w:p>
    <w:p>
      <w:pPr>
        <w:ind w:left="660" w:right="40" w:hanging="328"/>
        <w:spacing w:after="0" w:line="28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Proposal Three</w:t>
      </w:r>
      <w:r>
        <w:rPr>
          <w:rFonts w:ascii="Arial" w:cs="Arial" w:eastAsia="Arial" w:hAnsi="Arial"/>
          <w:sz w:val="18"/>
          <w:szCs w:val="18"/>
          <w:color w:val="auto"/>
        </w:rPr>
        <w:t>: Ratification of the appointment of PricewaterhouseCoopers LLP as our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fiscal year ending December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will also consider other business that properly comes before the 2019 Annual Meeting.</w:t>
      </w:r>
    </w:p>
    <w:p>
      <w:pPr>
        <w:spacing w:after="0" w:line="365" w:lineRule="exact"/>
        <w:rPr>
          <w:sz w:val="20"/>
          <w:szCs w:val="20"/>
          <w:color w:val="auto"/>
        </w:rPr>
      </w:pPr>
    </w:p>
    <w:p>
      <w:pPr>
        <w:ind w:left="620" w:hanging="585"/>
        <w:spacing w:after="0"/>
        <w:tabs>
          <w:tab w:leader="none" w:pos="6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recommend I vote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 your shares:</w:t>
      </w:r>
    </w:p>
    <w:p>
      <w:pPr>
        <w:spacing w:after="0" w:line="203" w:lineRule="exact"/>
        <w:rPr>
          <w:sz w:val="20"/>
          <w:szCs w:val="20"/>
          <w:color w:val="auto"/>
        </w:rPr>
      </w:pPr>
    </w:p>
    <w:p>
      <w:pPr>
        <w:jc w:val="both"/>
        <w:ind w:left="660" w:right="520" w:hanging="328"/>
        <w:spacing w:after="0" w:line="26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Jonathan Oringer to the Board, to serve as a Class I director for a three-year term ending at the 2022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Stockholders or until his successor has been duly elected or appointed and qualified, or until his earlier resignation or removal;</w:t>
      </w:r>
    </w:p>
    <w:p>
      <w:pPr>
        <w:spacing w:after="0" w:line="16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compensation of our named executive officers, as disclosed in this proxy statement; and</w:t>
      </w:r>
    </w:p>
    <w:p>
      <w:pPr>
        <w:spacing w:after="0" w:line="225" w:lineRule="exact"/>
        <w:rPr>
          <w:rFonts w:ascii="Arial" w:cs="Arial" w:eastAsia="Arial" w:hAnsi="Arial"/>
          <w:sz w:val="18"/>
          <w:szCs w:val="18"/>
          <w:color w:val="auto"/>
        </w:rPr>
      </w:pPr>
    </w:p>
    <w:p>
      <w:pPr>
        <w:ind w:left="660" w:right="240" w:hanging="328"/>
        <w:spacing w:after="0" w:line="28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ending December 31, 2019.</w:t>
      </w:r>
    </w:p>
    <w:p>
      <w:pPr>
        <w:spacing w:after="0" w:line="175" w:lineRule="exact"/>
        <w:rPr>
          <w:sz w:val="20"/>
          <w:szCs w:val="20"/>
          <w:color w:val="auto"/>
        </w:rPr>
      </w:pPr>
    </w:p>
    <w:p>
      <w:pPr>
        <w:jc w:val="both"/>
        <w:ind w:right="480"/>
        <w:spacing w:after="0" w:line="262" w:lineRule="auto"/>
        <w:rPr>
          <w:sz w:val="20"/>
          <w:szCs w:val="20"/>
          <w:color w:val="auto"/>
        </w:rPr>
      </w:pPr>
      <w:r>
        <w:rPr>
          <w:rFonts w:ascii="Arial" w:cs="Arial" w:eastAsia="Arial" w:hAnsi="Arial"/>
          <w:sz w:val="18"/>
          <w:szCs w:val="18"/>
          <w:color w:val="auto"/>
        </w:rPr>
        <w:t>Unless instructed to the contrary in the proxy, the shares represented by the proxies will be voted as recommended by the Board for each proposal. If any other matter properly comes before the 2019 Annual Meeting, the proxy holders will vote on that matter in their discretion.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620" w:hanging="585"/>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record date for the 2019 Annual Meeting is April 18, 2019 (the “Record Date”). Stockholders of record and beneficial owners as of that date are entitled to vote at the 2019 Annual Meeting. You are considered a stockholder of record if you hold shares of our common stock, $0.01 par value per share (“Common Stock”) in your name in an account with our stock transfer agent, American Stock Transfer &amp; Trust Company (“AST”). You are a beneficial owner and your shares are considered to be held in “street name” if you hold Common Stock indirectly through a broker, bank or other nominee.</w:t>
      </w:r>
    </w:p>
    <w:p>
      <w:pPr>
        <w:spacing w:after="0" w:line="20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On the Record Date, we had 35,194,501 shares of Common Stock outstanding. A list of stockholders as of that date will be available for inspection at the 2019 Annual Meeting, electronically by visiting www.viewproxy.com/shutterstock/2019 during the 2019 Annual Meeting and during ordinary business hours at our principal executive offices located at 350 Fifth Avenue, 21st Floor, New York, New York 10118 for ten days before the 2019 Annual Meeting.</w:t>
      </w:r>
    </w:p>
    <w:p>
      <w:pPr>
        <w:spacing w:after="0" w:line="344" w:lineRule="exact"/>
        <w:rPr>
          <w:sz w:val="20"/>
          <w:szCs w:val="20"/>
          <w:color w:val="auto"/>
        </w:rPr>
      </w:pPr>
    </w:p>
    <w:p>
      <w:pPr>
        <w:ind w:left="500" w:hanging="465"/>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You can vote your shares:</w:t>
      </w:r>
    </w:p>
    <w:p>
      <w:pPr>
        <w:spacing w:after="0" w:line="203" w:lineRule="exact"/>
        <w:rPr>
          <w:sz w:val="20"/>
          <w:szCs w:val="20"/>
          <w:color w:val="auto"/>
        </w:rPr>
      </w:pPr>
    </w:p>
    <w:p>
      <w:pPr>
        <w:ind w:left="660" w:right="480" w:hanging="652"/>
        <w:spacing w:after="0" w:line="28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You can vote electronically in accordance with the instructions on your proxy card or, if you are a beneficial owner,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any electronic voting instructions provided to you by the record holder, as applicable.</w:t>
      </w:r>
    </w:p>
    <w:p>
      <w:pPr>
        <w:spacing w:after="0" w:line="153" w:lineRule="exact"/>
        <w:rPr>
          <w:rFonts w:ascii="Arial" w:cs="Arial" w:eastAsia="Arial" w:hAnsi="Arial"/>
          <w:sz w:val="18"/>
          <w:szCs w:val="18"/>
          <w:color w:val="auto"/>
        </w:rPr>
      </w:pPr>
    </w:p>
    <w:p>
      <w:pPr>
        <w:ind w:left="660" w:right="60" w:hanging="652"/>
        <w:spacing w:after="0" w:line="26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If you received your proxy materials by mail or if you request paper copies of the proxy materials, you can vote by</w:t>
      </w:r>
      <w:r>
        <w:rPr>
          <w:rFonts w:ascii="Arial" w:cs="Arial" w:eastAsia="Arial" w:hAnsi="Arial"/>
          <w:sz w:val="18"/>
          <w:szCs w:val="18"/>
          <w:b w:val="1"/>
          <w:bCs w:val="1"/>
          <w:color w:val="auto"/>
        </w:rPr>
        <w:t xml:space="preserve"> </w:t>
      </w:r>
      <w:r>
        <w:rPr>
          <w:rFonts w:ascii="Arial" w:cs="Arial" w:eastAsia="Arial" w:hAnsi="Arial"/>
          <w:sz w:val="18"/>
          <w:szCs w:val="18"/>
          <w:color w:val="auto"/>
        </w:rPr>
        <w:t>calling 1-888-804-9616 and following the instructions on your proxy card or, if you are a beneficial owner, in accordance any telephonic voting instructions provided to you by the record holder, as applicable.</w:t>
      </w:r>
    </w:p>
    <w:p>
      <w:pPr>
        <w:spacing w:after="0" w:line="168" w:lineRule="exact"/>
        <w:rPr>
          <w:rFonts w:ascii="Arial" w:cs="Arial" w:eastAsia="Arial" w:hAnsi="Arial"/>
          <w:sz w:val="18"/>
          <w:szCs w:val="18"/>
          <w:color w:val="auto"/>
        </w:rPr>
      </w:pPr>
    </w:p>
    <w:p>
      <w:pPr>
        <w:jc w:val="both"/>
        <w:ind w:left="660" w:right="400" w:hanging="652"/>
        <w:spacing w:after="0" w:line="269"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By Proxy Card</w:t>
      </w:r>
      <w:r>
        <w:rPr>
          <w:rFonts w:ascii="Arial" w:cs="Arial" w:eastAsia="Arial" w:hAnsi="Arial"/>
          <w:sz w:val="18"/>
          <w:szCs w:val="18"/>
          <w:color w:val="auto"/>
        </w:rPr>
        <w:t>: If you received your proxy materials by mail or if you request paper copies of the proxy materials, you can vote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and returning your signed proxy card in the postage-paid envelope. If you vote by telephone or Internet, you should not return your proxy card unless you wish to change your vote.</w:t>
      </w:r>
    </w:p>
    <w:p>
      <w:pPr>
        <w:spacing w:after="0" w:line="168" w:lineRule="exact"/>
        <w:rPr>
          <w:rFonts w:ascii="Arial" w:cs="Arial" w:eastAsia="Arial" w:hAnsi="Arial"/>
          <w:sz w:val="18"/>
          <w:szCs w:val="18"/>
          <w:b w:val="1"/>
          <w:bCs w:val="1"/>
          <w:color w:val="auto"/>
        </w:rPr>
      </w:pPr>
    </w:p>
    <w:p>
      <w:pPr>
        <w:jc w:val="both"/>
        <w:ind w:left="660" w:right="160" w:hanging="652"/>
        <w:spacing w:after="0" w:line="26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During the Annual Meeting</w:t>
      </w:r>
      <w:r>
        <w:rPr>
          <w:rFonts w:ascii="Arial" w:cs="Arial" w:eastAsia="Arial" w:hAnsi="Arial"/>
          <w:sz w:val="18"/>
          <w:szCs w:val="18"/>
          <w:color w:val="auto"/>
        </w:rPr>
        <w:t>: Registered holders may vote in person at the 2019 Annual Meeting. Beneficial owners of shares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“street name” may not vote during the 2019 Annual Meeting without submission of a legal proxy from the bank, broker or other agent, as applicable.</w:t>
      </w:r>
    </w:p>
    <w:p>
      <w:pPr>
        <w:spacing w:after="0" w:line="19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Telephone and Internet voting facilities for stockholders of record will be available 24 hours a day and will close at 11:59 p.m. Eastern Time on June 5, 2019.</w:t>
      </w:r>
    </w:p>
    <w:p>
      <w:pPr>
        <w:spacing w:after="0" w:line="336" w:lineRule="exact"/>
        <w:rPr>
          <w:sz w:val="20"/>
          <w:szCs w:val="20"/>
          <w:color w:val="auto"/>
        </w:rPr>
      </w:pPr>
    </w:p>
    <w:p>
      <w:pPr>
        <w:ind w:left="520" w:hanging="458"/>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am I entitled to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Each holder of Common Stock is entitled to one vote on all matters to come before the 2019 Annual Meeting for each share held as of the Record Date.</w:t>
      </w:r>
    </w:p>
    <w:p>
      <w:pPr>
        <w:spacing w:after="0" w:line="336" w:lineRule="exact"/>
        <w:rPr>
          <w:sz w:val="20"/>
          <w:szCs w:val="20"/>
          <w:color w:val="auto"/>
        </w:rPr>
      </w:pPr>
    </w:p>
    <w:p>
      <w:pPr>
        <w:ind w:left="520" w:hanging="458"/>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or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You may change your vote at any time prior to the taking of the vote at the 2019 Annual Meeting. If you are a stockholder of record, you may change your vote and grant a new proxy bearing a later date by:</w:t>
      </w:r>
    </w:p>
    <w:p>
      <w:pPr>
        <w:spacing w:after="0" w:line="19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submitting a later-dated vote by telephone or via the Internet (only your last telephone or Internet vote will be counted) by 11:59 p.m. Eastern Time on June 5, 2019;</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participating in the 2019 Annual Meeting and voting again by telephone or via the Internet; or</w:t>
      </w:r>
    </w:p>
    <w:p>
      <w:pPr>
        <w:spacing w:after="0" w:line="225" w:lineRule="exact"/>
        <w:rPr>
          <w:rFonts w:ascii="Arial" w:cs="Arial" w:eastAsia="Arial" w:hAnsi="Arial"/>
          <w:sz w:val="18"/>
          <w:szCs w:val="18"/>
          <w:color w:val="auto"/>
        </w:rPr>
      </w:pPr>
    </w:p>
    <w:p>
      <w:pPr>
        <w:ind w:left="660" w:right="320" w:hanging="328"/>
        <w:spacing w:after="0" w:line="262"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sending a written notice of revocation to our Corporate Secretary at Shutterstock, Inc., Attn: Corporate Secretary, 350 Fifth Avenue, 21st Floor, New York, New York 10118 prior to the 2018 Annual Meeting.</w:t>
      </w:r>
    </w:p>
    <w:p>
      <w:pPr>
        <w:spacing w:after="0" w:line="336" w:lineRule="exact"/>
        <w:rPr>
          <w:rFonts w:ascii="Arial" w:cs="Arial" w:eastAsia="Arial" w:hAnsi="Arial"/>
          <w:sz w:val="18"/>
          <w:szCs w:val="18"/>
          <w:color w:val="auto"/>
        </w:rPr>
      </w:pPr>
    </w:p>
    <w:p>
      <w:pPr>
        <w:ind w:left="520" w:hanging="458"/>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Shutterstock or to third parties, except: (1) as necessary to meet applicable legal requirements, (2) to allow for the tabulation of votes and certification of the vote, and (3) to facilitate a successful proxy solicitation.</w:t>
      </w:r>
    </w:p>
    <w:p>
      <w:pPr>
        <w:spacing w:after="0" w:line="342" w:lineRule="exact"/>
        <w:rPr>
          <w:sz w:val="20"/>
          <w:szCs w:val="20"/>
          <w:color w:val="auto"/>
        </w:rPr>
      </w:pPr>
    </w:p>
    <w:p>
      <w:pPr>
        <w:ind w:left="520" w:hanging="458"/>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must be represented to conduct business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quorum requirement for holding the 2019 Annual Meeting and transacting business is that holders of a majority of the issued and outstanding stock entitled to vote as of the Record Date must be present at the 2019 Annual Meeting or represented by proxy. Both abstentions and broker non-votes (described below) are counted for the purpose of determining the presence of a quorum. As of the Record Date, we had 35,194,501 shares of Common Stock outstanding.</w:t>
      </w:r>
    </w:p>
    <w:p>
      <w:pPr>
        <w:spacing w:after="0" w:line="344" w:lineRule="exact"/>
        <w:rPr>
          <w:sz w:val="20"/>
          <w:szCs w:val="20"/>
          <w:color w:val="auto"/>
        </w:rPr>
      </w:pPr>
    </w:p>
    <w:p>
      <w:pPr>
        <w:ind w:left="520" w:hanging="458"/>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All of the matters scheduled to be voted on at the 2019 Annual Meeting are “non-routine,” except for the proposal to ratify the appointment of PricewaterhouseCoopers LLP as our independent registered public accounting firm for the fiscal year ending December 31, 2019.</w:t>
      </w:r>
    </w:p>
    <w:p>
      <w:pPr>
        <w:spacing w:after="0" w:line="20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tabulating the voting result for any particular proposal, shares that constitute “broker non-votes” will not be counted for purposes of determining whether the proposal is approved. Thus, “broker non-votes” will not affect the outcome of any matter being voted on at the 2019 Annual Meeting.</w:t>
      </w:r>
    </w:p>
    <w:p>
      <w:pPr>
        <w:spacing w:after="0" w:line="342" w:lineRule="exact"/>
        <w:rPr>
          <w:sz w:val="20"/>
          <w:szCs w:val="20"/>
          <w:color w:val="auto"/>
        </w:rPr>
      </w:pPr>
    </w:p>
    <w:p>
      <w:pPr>
        <w:ind w:left="520" w:hanging="458"/>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 are my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 the election of the director, you may vote “FOR” the nominee or your vote may be “WITHHELD” with respect to the nominee. In tabulating voting results for the election of director, only “FOR” or “WITHHELD” votes are counted. Neither abstentions nor “broker non-votes” will have any effect on the outcome of the voting with respect to the election of the director.</w:t>
      </w:r>
    </w:p>
    <w:p>
      <w:pPr>
        <w:spacing w:after="0" w:line="20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the other items of business to be brought before the 2019 Annual Meeting, you may vote “FOR,” “AGAINST,” or “ABSTAIN.” If you “ABSTAIN” in any of the other items of business to be brought before the 2019 Annual Meeting, the abstention has the same effect as a vote “AGAINST.”</w:t>
      </w:r>
    </w:p>
    <w:p>
      <w:pPr>
        <w:spacing w:after="0" w:line="2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If you provide specific instructions with regard to certain items, your shares will be voted in accordance with your instructions on such items. If you are a record holder and no instructions are indicated, the shares will be voted as recommended by the Board. If you hold shares beneficially in “street name” and you do not provide specific instructions on certain items, then your shares will be counted as “broker non-votes” on non-routine matters and will be voted in accordance with the broker instructions for routine matters in the broker’s discretion.</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00" w:hanging="465"/>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voting requirement to approve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election of the director, our amended and restated bylaws (the “Bylaws”) provide for the election of directors by a plurality of the votes cast. This means that the individual nominated for election to the Board who receives the highest number of “FOR” votes will be elected. Broker non-votes and withheld votes are not considered votes cast for or against the nominee under a plurality voting standard.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approval of the remaining two proposals described below require the affirmative “FOR” votes of the holders of the majority of 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represented by proxy or by attending the meeting at the 2019 Annual Meeting and entitled to vote thereon:</w:t>
      </w:r>
    </w:p>
    <w:p>
      <w:pPr>
        <w:spacing w:after="0" w:line="225" w:lineRule="exact"/>
        <w:rPr>
          <w:sz w:val="20"/>
          <w:szCs w:val="20"/>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 and</w:t>
      </w:r>
    </w:p>
    <w:p>
      <w:pPr>
        <w:spacing w:after="0" w:line="225" w:lineRule="exact"/>
        <w:rPr>
          <w:rFonts w:ascii="Arial" w:cs="Arial" w:eastAsia="Arial" w:hAnsi="Arial"/>
          <w:sz w:val="18"/>
          <w:szCs w:val="18"/>
          <w:color w:val="auto"/>
        </w:rPr>
      </w:pPr>
    </w:p>
    <w:p>
      <w:pPr>
        <w:ind w:left="660" w:right="80" w:hanging="328"/>
        <w:spacing w:after="0" w:line="262"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as our independent registered public accounting firm for the fiscal year ending December 31, 2019.</w:t>
      </w:r>
    </w:p>
    <w:p>
      <w:pPr>
        <w:spacing w:after="0" w:line="336" w:lineRule="exact"/>
        <w:rPr>
          <w:rFonts w:ascii="Arial" w:cs="Arial" w:eastAsia="Arial" w:hAnsi="Arial"/>
          <w:sz w:val="18"/>
          <w:szCs w:val="18"/>
          <w:color w:val="auto"/>
        </w:rPr>
      </w:pPr>
    </w:p>
    <w:p>
      <w:pPr>
        <w:ind w:left="520" w:hanging="458"/>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 director receives a plurality, but not a majority, of votes cast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an uncontested election, if a nominee for director who is an incumbent director is elected by a plurality of the votes cast but does not receive the vote of at least the majority of the votes cast (i.e., the number of shares voted “FOR” a director’s election does not exceed 50% of the total number of votes cast with respect to that director’s election, including votes to withhold authority), the director is deemed elected.</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However, under our director resignation policy, any nominee for director who, in an uncontested election, has more votes “WITHHELD” than “FOR” his or her election is expected to promptly tender his or her resignation for consideration by the Nominating and Corporate Governance Committee and subsequently by the Board. Our director resignation policy is incorporated into our Corporate Governance Guidelines, a copy of which can be found through the “Corporate Governance” link on our Investor Relations page at investor.shutterstock.com.</w:t>
      </w:r>
    </w:p>
    <w:p>
      <w:pPr>
        <w:spacing w:after="0" w:line="128" w:lineRule="exact"/>
        <w:rPr>
          <w:sz w:val="20"/>
          <w:szCs w:val="20"/>
          <w:color w:val="auto"/>
        </w:rPr>
      </w:pPr>
    </w:p>
    <w:p>
      <w:pPr>
        <w:ind w:left="520" w:hanging="458"/>
        <w:spacing w:after="0"/>
        <w:tabs>
          <w:tab w:leader="none" w:pos="5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additional matters are presented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Board does not intend to present any business at the 2019 Annual Meeting other than the proposals described in this proxy statement. However, if any other matter properly comes before the 2019 Annual Meeting, the persons named as proxy holders, Steven Berns and Heidi Garfield, will act on such matters in their discretion as permitted.</w:t>
      </w:r>
    </w:p>
    <w:p>
      <w:pPr>
        <w:spacing w:after="0" w:line="342" w:lineRule="exact"/>
        <w:rPr>
          <w:sz w:val="20"/>
          <w:szCs w:val="20"/>
          <w:color w:val="auto"/>
        </w:rPr>
      </w:pPr>
    </w:p>
    <w:p>
      <w:pPr>
        <w:ind w:left="520" w:hanging="458"/>
        <w:spacing w:after="0"/>
        <w:tabs>
          <w:tab w:leader="none" w:pos="5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How is the Company soliciting proxies for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Board is sending you this proxy statement in connection with the Board’s solicitation of proxies for use at the 2019 Annual Meeting. In addition to the mailing of these proxy materials, the solicitation of proxies or votes may be made in person, by telephone, or by electronic communication by our directors, officers, and employees, who will not receive any additional compensation for such solicitation activities. In addition, we have retained Alliance Advisors, L.L.C. (“Alliance”) to assist us with the distribution of proxy materials and vote solicitation.</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Shutterstock will pay the entire cost of preparing, assembling, printing, mailing, and distributing these proxy materials and soliciting votes. Upon request, we will reimburse banks, brokers, custodians, nominees and fiduciaries for their reasonable charges and expenses to forward our proxy materials to beneficial owners in accordance with applicable rules.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our agreement with Alliance, we will pay Alliance approximately $8,500 plus expenses for the solicitation services being provided in connection with the 2019 Annual Meeting.</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00" w:hanging="465"/>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will announce preliminary voting results at the 2019 Annual Meeting and publish the final voting results in a Current Report on Form 8-K filed with the SEC within four business days after the 2019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Attending the 2019 Annual Meeting</w:t>
      </w:r>
    </w:p>
    <w:p>
      <w:pPr>
        <w:spacing w:after="0" w:line="378" w:lineRule="exact"/>
        <w:rPr>
          <w:sz w:val="20"/>
          <w:szCs w:val="20"/>
          <w:color w:val="auto"/>
        </w:rPr>
      </w:pPr>
    </w:p>
    <w:p>
      <w:pPr>
        <w:ind w:left="620" w:hanging="585"/>
        <w:spacing w:after="0"/>
        <w:tabs>
          <w:tab w:leader="none" w:pos="6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How do I attend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To attend the 2019 Annual Meeting, you must have been a stockholder of record at the close of business on the Record Date and you will need to obtain an admission ticket in advance. You can request an admission ticket from our Investor Relations department by e-mailing IR@shutterstock.com. </w:t>
      </w:r>
      <w:r>
        <w:rPr>
          <w:rFonts w:ascii="Arial" w:cs="Arial" w:eastAsia="Arial" w:hAnsi="Arial"/>
          <w:sz w:val="18"/>
          <w:szCs w:val="18"/>
          <w:b w:val="1"/>
          <w:bCs w:val="1"/>
          <w:u w:val="single" w:color="auto"/>
          <w:color w:val="auto"/>
        </w:rPr>
        <w:t>You will not be allowed in the meeting without a valid admission ticket</w:t>
      </w:r>
      <w:r>
        <w:rPr>
          <w:rFonts w:ascii="Arial" w:cs="Arial" w:eastAsia="Arial" w:hAnsi="Arial"/>
          <w:sz w:val="18"/>
          <w:szCs w:val="18"/>
          <w:color w:val="auto"/>
        </w:rPr>
        <w:t>.</w:t>
      </w:r>
    </w:p>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Request for admission tickets will be processed in the order in which they are received and must be requested no later than 5:00 p.m. on June 3, 2019. Please note that seating is limited, and admission is on a first-come, first-served basis.</w:t>
      </w:r>
    </w:p>
    <w:p>
      <w:pPr>
        <w:spacing w:after="0" w:line="19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If you are attending the 2019 Annual Meeting, in order to gain entrance, you will be required to present: a valid photo identification, a copy of your brokerage statement (if you hold your shares in street name) and your admission ticket. You may be denied admission if you do not provide this information. Registration will begin at 9:00 a.m. Eastern Time and the meeting will begin at 10:00 a.m. Eastern Time. Please note that cell phones, cameras, recording equipment and other similar electronic devices, large bags and packages are strictly prohibited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Additional Information</w:t>
      </w:r>
    </w:p>
    <w:p>
      <w:pPr>
        <w:spacing w:after="0" w:line="378" w:lineRule="exact"/>
        <w:rPr>
          <w:sz w:val="20"/>
          <w:szCs w:val="20"/>
          <w:color w:val="auto"/>
        </w:rPr>
      </w:pPr>
    </w:p>
    <w:p>
      <w:pPr>
        <w:ind w:left="620" w:right="580" w:hanging="585"/>
        <w:spacing w:after="0" w:line="271" w:lineRule="auto"/>
        <w:tabs>
          <w:tab w:leader="none" w:pos="6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2020 Annual Meeting of Stockholders, our Corporate Secretary must receive the written proposal at our principal executive offices no later than December 27, 2019. If we hold our 2020 Annual Meeting of Stockholders more than 30 days before or after June 6, 2020 (the one-year anniversary of our 2019 Annual Meeting), then notice of a stockholder proposal must be received not later than the 90th day prior to the 2020 Annual Meeting of Stockholders or the 10th day following the date on which public announcement of the date of the 2020 Annual Meeting of Stockholders is first made by Shutterstock. We will disclose the new deadline by which stockholder proposals must be received under Item 5 of Part II of our earliest possible Quarterly Report on Form 10-Q or, if impracticable, by any means reasonably determined to inform stockholders.</w:t>
      </w: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Stockholder proposals must also otherwise comply with the requirements of Rule 14a-8 under the Securities Exchange Act of 1934, as amended (the “Exchange Act”). Proposals can be addressed to Shutterstock, Inc., Attn: Corporate Secretary, 350 Fifth Avenue, 21st Floor, New York, New York 10118.</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Bylaws also establish advance notice procedures for certain matters, including for stockholders who wish to present a proposal before an annual meeting of stockholders but do not intend for the proposal to be included in our proxy statement or for stockholders who wish to nominate individuals for election to the Board. To be timely for our 2020 Annual Meeting of Stockholders, our Corporate Secretary must receive written notice at our principal executive offices:</w:t>
      </w:r>
    </w:p>
    <w:p>
      <w:pPr>
        <w:spacing w:after="0" w:line="20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earlier than the close of business on February 7, 2020,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later than the close of business on March 9, 2020.</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Stockholders must also comply with certain other applicable requirements contained in our Bylaws. With regards to nominations for director at our 2020 Annual Meeting of Stockholders, the notice must include all information about the nominee that must be disclosed in proxy solicitations pursuant to Regulation 14A under the Exchange Act (including the nominee’s written consent to being named as a nominee and serving as a director) and a description of all material monetary agreements during the past three years and any other material relationships, between such stockholder and a beneficial owner on whose behalf the nomination is made and their affiliates and associates, or others acting in concert, on the one hand, and each proposed nominee, and his/her affiliates and associates, or others acting in concert, on the other hand, including all information that would be required to be disclosed pursuant to Rule 404 under Regulation S-K if the stockholder were a “registrant,” all as described in our Bylaws. The notice must also include certain additional information about and representations by the stockholder and/or the beneficial owner, all as detailed in our Bylaws.</w:t>
      </w:r>
    </w:p>
    <w:p>
      <w:pPr>
        <w:spacing w:after="0" w:line="213"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 We reserve the right to reject, rule out of order or take other appropriate action with respect to any proposal or nomination that does not comply with these and other applicable requirements contained in our Bylaws and applicable laws.</w:t>
      </w:r>
    </w:p>
    <w:p>
      <w:pPr>
        <w:spacing w:after="0" w:line="344" w:lineRule="exact"/>
        <w:rPr>
          <w:sz w:val="20"/>
          <w:szCs w:val="20"/>
          <w:color w:val="auto"/>
        </w:rPr>
      </w:pPr>
    </w:p>
    <w:p>
      <w:pPr>
        <w:ind w:left="500" w:hanging="465"/>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communicate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Stockholders and other interested parties may communicate directly with the Board, with any director, including our Presiding Director, or with the independent directors as a group or any other group of directors by writing to our Corporate Secretary at Shutterstock, Inc., 350 Fifth Avenue, 21st Floor, New York, New York 10118, with a request to forward the communication to the intended recipient or recipients. Messages received with such a request will be forwarded to the appropriate director or directors.</w:t>
      </w:r>
    </w:p>
    <w:p>
      <w:pPr>
        <w:spacing w:after="0" w:line="344" w:lineRule="exact"/>
        <w:rPr>
          <w:sz w:val="20"/>
          <w:szCs w:val="20"/>
          <w:color w:val="auto"/>
        </w:rPr>
      </w:pPr>
    </w:p>
    <w:p>
      <w:pPr>
        <w:ind w:left="520" w:hanging="458"/>
        <w:spacing w:after="0"/>
        <w:tabs>
          <w:tab w:leader="none" w:pos="5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obtain corporate governance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corporate governance materials are posted on our Investor Relations website (investor.shutterstock.com) under the link for “Corporate Governance.” In addition, stockholders may obtain paper copies of our corporate governance materials by sending a written request to Shutterstock, Inc., Attn: Corporate Secretary, 350 Fifth Avenue, 21st Floor, New York, New York 10118.</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5" w:right="3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EE2724"/>
        </w:rPr>
        <w:t>DIRECTORS, EXECUTIVE OFFICERS AND CORPORATE GOVERNANCE</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Directors and Executive Officers</w:t>
      </w:r>
    </w:p>
    <w:p>
      <w:pPr>
        <w:spacing w:after="0" w:line="23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names of our directors and executive officers and their ages, positions and biographies as of April 25, 2019 are set forth below. Our executive officers are appointed by, and serve at the discretion of our Board. There are no family relationships among our directors or executive officers.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Age</w:t>
            </w:r>
          </w:p>
        </w:tc>
        <w:tc>
          <w:tcPr>
            <w:tcW w:w="87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Position</w:t>
            </w:r>
          </w:p>
        </w:tc>
      </w:tr>
      <w:tr>
        <w:trPr>
          <w:trHeight w:val="211"/>
        </w:trPr>
        <w:tc>
          <w:tcPr>
            <w:tcW w:w="1780" w:type="dxa"/>
            <w:vAlign w:val="bottom"/>
          </w:tcPr>
          <w:p>
            <w:pPr>
              <w:ind w:left="40"/>
              <w:spacing w:after="0"/>
              <w:rPr>
                <w:sz w:val="20"/>
                <w:szCs w:val="20"/>
                <w:color w:val="auto"/>
              </w:rPr>
            </w:pPr>
            <w:r>
              <w:rPr>
                <w:rFonts w:ascii="Arial" w:cs="Arial" w:eastAsia="Arial" w:hAnsi="Arial"/>
                <w:sz w:val="18"/>
                <w:szCs w:val="18"/>
                <w:color w:val="auto"/>
              </w:rPr>
              <w:t>Jonathan Oringer</w:t>
            </w:r>
          </w:p>
        </w:tc>
        <w:tc>
          <w:tcPr>
            <w:tcW w:w="820" w:type="dxa"/>
            <w:vAlign w:val="bottom"/>
          </w:tcPr>
          <w:p>
            <w:pPr>
              <w:ind w:left="300"/>
              <w:spacing w:after="0"/>
              <w:rPr>
                <w:sz w:val="20"/>
                <w:szCs w:val="20"/>
                <w:color w:val="auto"/>
              </w:rPr>
            </w:pPr>
            <w:r>
              <w:rPr>
                <w:rFonts w:ascii="Arial" w:cs="Arial" w:eastAsia="Arial" w:hAnsi="Arial"/>
                <w:sz w:val="18"/>
                <w:szCs w:val="18"/>
                <w:color w:val="auto"/>
              </w:rPr>
              <w:t>44</w:t>
            </w:r>
          </w:p>
        </w:tc>
        <w:tc>
          <w:tcPr>
            <w:tcW w:w="8760" w:type="dxa"/>
            <w:vAlign w:val="bottom"/>
          </w:tcPr>
          <w:p>
            <w:pPr>
              <w:ind w:left="160"/>
              <w:spacing w:after="0"/>
              <w:rPr>
                <w:sz w:val="20"/>
                <w:szCs w:val="20"/>
                <w:color w:val="auto"/>
              </w:rPr>
            </w:pPr>
            <w:r>
              <w:rPr>
                <w:rFonts w:ascii="Arial" w:cs="Arial" w:eastAsia="Arial" w:hAnsi="Arial"/>
                <w:sz w:val="18"/>
                <w:szCs w:val="18"/>
                <w:color w:val="auto"/>
              </w:rPr>
              <w:t>Founder, Chief Executive Officer and Chairman of the Board (</w:t>
            </w:r>
            <w:r>
              <w:rPr>
                <w:rFonts w:ascii="Arial" w:cs="Arial" w:eastAsia="Arial" w:hAnsi="Arial"/>
                <w:sz w:val="18"/>
                <w:szCs w:val="18"/>
                <w:i w:val="1"/>
                <w:iCs w:val="1"/>
                <w:color w:val="auto"/>
              </w:rPr>
              <w:t>Nominee for election at the 2019 Annual</w:t>
            </w:r>
          </w:p>
        </w:tc>
      </w:tr>
      <w:tr>
        <w:trPr>
          <w:trHeight w:val="235"/>
        </w:trPr>
        <w:tc>
          <w:tcPr>
            <w:tcW w:w="1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760" w:type="dxa"/>
            <w:vAlign w:val="bottom"/>
          </w:tcPr>
          <w:p>
            <w:pPr>
              <w:ind w:left="160"/>
              <w:spacing w:after="0"/>
              <w:rPr>
                <w:sz w:val="20"/>
                <w:szCs w:val="20"/>
                <w:color w:val="auto"/>
              </w:rPr>
            </w:pPr>
            <w:r>
              <w:rPr>
                <w:rFonts w:ascii="Arial" w:cs="Arial" w:eastAsia="Arial" w:hAnsi="Arial"/>
                <w:sz w:val="18"/>
                <w:szCs w:val="18"/>
                <w:i w:val="1"/>
                <w:iCs w:val="1"/>
                <w:color w:val="auto"/>
              </w:rPr>
              <w:t>Meeting</w:t>
            </w:r>
            <w:r>
              <w:rPr>
                <w:rFonts w:ascii="Arial" w:cs="Arial" w:eastAsia="Arial" w:hAnsi="Arial"/>
                <w:sz w:val="18"/>
                <w:szCs w:val="18"/>
                <w:color w:val="auto"/>
              </w:rPr>
              <w:t>)</w:t>
            </w:r>
          </w:p>
        </w:tc>
      </w:tr>
      <w:tr>
        <w:trPr>
          <w:trHeight w:val="257"/>
        </w:trPr>
        <w:tc>
          <w:tcPr>
            <w:tcW w:w="1780" w:type="dxa"/>
            <w:vAlign w:val="bottom"/>
          </w:tcPr>
          <w:p>
            <w:pPr>
              <w:ind w:left="40"/>
              <w:spacing w:after="0"/>
              <w:rPr>
                <w:sz w:val="20"/>
                <w:szCs w:val="20"/>
                <w:color w:val="auto"/>
              </w:rPr>
            </w:pPr>
            <w:r>
              <w:rPr>
                <w:rFonts w:ascii="Arial" w:cs="Arial" w:eastAsia="Arial" w:hAnsi="Arial"/>
                <w:sz w:val="18"/>
                <w:szCs w:val="18"/>
                <w:color w:val="auto"/>
              </w:rPr>
              <w:t>Deirdre Bigley</w:t>
            </w:r>
          </w:p>
        </w:tc>
        <w:tc>
          <w:tcPr>
            <w:tcW w:w="820" w:type="dxa"/>
            <w:vAlign w:val="bottom"/>
          </w:tcPr>
          <w:p>
            <w:pPr>
              <w:ind w:left="300"/>
              <w:spacing w:after="0"/>
              <w:rPr>
                <w:sz w:val="20"/>
                <w:szCs w:val="20"/>
                <w:color w:val="auto"/>
              </w:rPr>
            </w:pPr>
            <w:r>
              <w:rPr>
                <w:rFonts w:ascii="Arial" w:cs="Arial" w:eastAsia="Arial" w:hAnsi="Arial"/>
                <w:sz w:val="18"/>
                <w:szCs w:val="18"/>
                <w:color w:val="auto"/>
              </w:rPr>
              <w:t>54</w:t>
            </w:r>
          </w:p>
        </w:tc>
        <w:tc>
          <w:tcPr>
            <w:tcW w:w="87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57"/>
        </w:trPr>
        <w:tc>
          <w:tcPr>
            <w:tcW w:w="1780" w:type="dxa"/>
            <w:vAlign w:val="bottom"/>
          </w:tcPr>
          <w:p>
            <w:pPr>
              <w:ind w:left="40"/>
              <w:spacing w:after="0"/>
              <w:rPr>
                <w:sz w:val="20"/>
                <w:szCs w:val="20"/>
                <w:color w:val="auto"/>
              </w:rPr>
            </w:pPr>
            <w:r>
              <w:rPr>
                <w:rFonts w:ascii="Arial" w:cs="Arial" w:eastAsia="Arial" w:hAnsi="Arial"/>
                <w:sz w:val="18"/>
                <w:szCs w:val="18"/>
                <w:color w:val="auto"/>
              </w:rPr>
              <w:t>Jeff Epstein</w:t>
            </w:r>
          </w:p>
        </w:tc>
        <w:tc>
          <w:tcPr>
            <w:tcW w:w="820" w:type="dxa"/>
            <w:vAlign w:val="bottom"/>
          </w:tcPr>
          <w:p>
            <w:pPr>
              <w:ind w:left="300"/>
              <w:spacing w:after="0"/>
              <w:rPr>
                <w:sz w:val="20"/>
                <w:szCs w:val="20"/>
                <w:color w:val="auto"/>
              </w:rPr>
            </w:pPr>
            <w:r>
              <w:rPr>
                <w:rFonts w:ascii="Arial" w:cs="Arial" w:eastAsia="Arial" w:hAnsi="Arial"/>
                <w:sz w:val="18"/>
                <w:szCs w:val="18"/>
                <w:color w:val="auto"/>
              </w:rPr>
              <w:t>62</w:t>
            </w:r>
          </w:p>
        </w:tc>
        <w:tc>
          <w:tcPr>
            <w:tcW w:w="87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57"/>
        </w:trPr>
        <w:tc>
          <w:tcPr>
            <w:tcW w:w="1780" w:type="dxa"/>
            <w:vAlign w:val="bottom"/>
          </w:tcPr>
          <w:p>
            <w:pPr>
              <w:ind w:left="40"/>
              <w:spacing w:after="0"/>
              <w:rPr>
                <w:sz w:val="20"/>
                <w:szCs w:val="20"/>
                <w:color w:val="auto"/>
              </w:rPr>
            </w:pPr>
            <w:r>
              <w:rPr>
                <w:rFonts w:ascii="Arial" w:cs="Arial" w:eastAsia="Arial" w:hAnsi="Arial"/>
                <w:sz w:val="18"/>
                <w:szCs w:val="18"/>
                <w:color w:val="auto"/>
              </w:rPr>
              <w:t>Thomas R. Evans</w:t>
            </w:r>
          </w:p>
        </w:tc>
        <w:tc>
          <w:tcPr>
            <w:tcW w:w="820" w:type="dxa"/>
            <w:vAlign w:val="bottom"/>
          </w:tcPr>
          <w:p>
            <w:pPr>
              <w:ind w:left="300"/>
              <w:spacing w:after="0"/>
              <w:rPr>
                <w:sz w:val="20"/>
                <w:szCs w:val="20"/>
                <w:color w:val="auto"/>
              </w:rPr>
            </w:pPr>
            <w:r>
              <w:rPr>
                <w:rFonts w:ascii="Arial" w:cs="Arial" w:eastAsia="Arial" w:hAnsi="Arial"/>
                <w:sz w:val="18"/>
                <w:szCs w:val="18"/>
                <w:color w:val="auto"/>
              </w:rPr>
              <w:t>64</w:t>
            </w:r>
          </w:p>
        </w:tc>
        <w:tc>
          <w:tcPr>
            <w:tcW w:w="87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57"/>
        </w:trPr>
        <w:tc>
          <w:tcPr>
            <w:tcW w:w="1780" w:type="dxa"/>
            <w:vAlign w:val="bottom"/>
          </w:tcPr>
          <w:p>
            <w:pPr>
              <w:ind w:left="40"/>
              <w:spacing w:after="0"/>
              <w:rPr>
                <w:sz w:val="20"/>
                <w:szCs w:val="20"/>
                <w:color w:val="auto"/>
              </w:rPr>
            </w:pPr>
            <w:r>
              <w:rPr>
                <w:rFonts w:ascii="Arial" w:cs="Arial" w:eastAsia="Arial" w:hAnsi="Arial"/>
                <w:sz w:val="18"/>
                <w:szCs w:val="18"/>
                <w:color w:val="auto"/>
              </w:rPr>
              <w:t>Paul J. Hennessy</w:t>
            </w:r>
          </w:p>
        </w:tc>
        <w:tc>
          <w:tcPr>
            <w:tcW w:w="820" w:type="dxa"/>
            <w:vAlign w:val="bottom"/>
          </w:tcPr>
          <w:p>
            <w:pPr>
              <w:ind w:left="300"/>
              <w:spacing w:after="0"/>
              <w:rPr>
                <w:sz w:val="20"/>
                <w:szCs w:val="20"/>
                <w:color w:val="auto"/>
              </w:rPr>
            </w:pPr>
            <w:r>
              <w:rPr>
                <w:rFonts w:ascii="Arial" w:cs="Arial" w:eastAsia="Arial" w:hAnsi="Arial"/>
                <w:sz w:val="18"/>
                <w:szCs w:val="18"/>
                <w:color w:val="auto"/>
              </w:rPr>
              <w:t>54</w:t>
            </w:r>
          </w:p>
        </w:tc>
        <w:tc>
          <w:tcPr>
            <w:tcW w:w="87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57"/>
        </w:trPr>
        <w:tc>
          <w:tcPr>
            <w:tcW w:w="1780" w:type="dxa"/>
            <w:vAlign w:val="bottom"/>
          </w:tcPr>
          <w:p>
            <w:pPr>
              <w:ind w:left="40"/>
              <w:spacing w:after="0"/>
              <w:rPr>
                <w:sz w:val="20"/>
                <w:szCs w:val="20"/>
                <w:color w:val="auto"/>
              </w:rPr>
            </w:pPr>
            <w:r>
              <w:rPr>
                <w:rFonts w:ascii="Arial" w:cs="Arial" w:eastAsia="Arial" w:hAnsi="Arial"/>
                <w:sz w:val="18"/>
                <w:szCs w:val="18"/>
                <w:color w:val="auto"/>
              </w:rPr>
              <w:t>Steven Berns</w:t>
            </w:r>
          </w:p>
        </w:tc>
        <w:tc>
          <w:tcPr>
            <w:tcW w:w="820" w:type="dxa"/>
            <w:vAlign w:val="bottom"/>
          </w:tcPr>
          <w:p>
            <w:pPr>
              <w:ind w:left="300"/>
              <w:spacing w:after="0"/>
              <w:rPr>
                <w:sz w:val="20"/>
                <w:szCs w:val="20"/>
                <w:color w:val="auto"/>
              </w:rPr>
            </w:pPr>
            <w:r>
              <w:rPr>
                <w:rFonts w:ascii="Arial" w:cs="Arial" w:eastAsia="Arial" w:hAnsi="Arial"/>
                <w:sz w:val="18"/>
                <w:szCs w:val="18"/>
                <w:color w:val="auto"/>
              </w:rPr>
              <w:t>54</w:t>
            </w:r>
          </w:p>
        </w:tc>
        <w:tc>
          <w:tcPr>
            <w:tcW w:w="8760" w:type="dxa"/>
            <w:vAlign w:val="bottom"/>
          </w:tcPr>
          <w:p>
            <w:pPr>
              <w:ind w:left="160"/>
              <w:spacing w:after="0"/>
              <w:rPr>
                <w:sz w:val="20"/>
                <w:szCs w:val="20"/>
                <w:color w:val="auto"/>
              </w:rPr>
            </w:pPr>
            <w:r>
              <w:rPr>
                <w:rFonts w:ascii="Arial" w:cs="Arial" w:eastAsia="Arial" w:hAnsi="Arial"/>
                <w:sz w:val="18"/>
                <w:szCs w:val="18"/>
                <w:color w:val="auto"/>
              </w:rPr>
              <w:t>Co-Chief Operating Officer and Chief Financial Officer</w:t>
            </w:r>
          </w:p>
        </w:tc>
      </w:tr>
      <w:tr>
        <w:trPr>
          <w:trHeight w:val="257"/>
        </w:trPr>
        <w:tc>
          <w:tcPr>
            <w:tcW w:w="1780" w:type="dxa"/>
            <w:vAlign w:val="bottom"/>
          </w:tcPr>
          <w:p>
            <w:pPr>
              <w:ind w:left="40"/>
              <w:spacing w:after="0"/>
              <w:rPr>
                <w:sz w:val="20"/>
                <w:szCs w:val="20"/>
                <w:color w:val="auto"/>
              </w:rPr>
            </w:pPr>
            <w:r>
              <w:rPr>
                <w:rFonts w:ascii="Arial" w:cs="Arial" w:eastAsia="Arial" w:hAnsi="Arial"/>
                <w:sz w:val="18"/>
                <w:szCs w:val="18"/>
                <w:color w:val="auto"/>
              </w:rPr>
              <w:t>Steven Ciardiello</w:t>
            </w:r>
          </w:p>
        </w:tc>
        <w:tc>
          <w:tcPr>
            <w:tcW w:w="820" w:type="dxa"/>
            <w:vAlign w:val="bottom"/>
          </w:tcPr>
          <w:p>
            <w:pPr>
              <w:ind w:left="300"/>
              <w:spacing w:after="0"/>
              <w:rPr>
                <w:sz w:val="20"/>
                <w:szCs w:val="20"/>
                <w:color w:val="auto"/>
              </w:rPr>
            </w:pPr>
            <w:r>
              <w:rPr>
                <w:rFonts w:ascii="Arial" w:cs="Arial" w:eastAsia="Arial" w:hAnsi="Arial"/>
                <w:sz w:val="18"/>
                <w:szCs w:val="18"/>
                <w:color w:val="auto"/>
              </w:rPr>
              <w:t>48</w:t>
            </w:r>
          </w:p>
        </w:tc>
        <w:tc>
          <w:tcPr>
            <w:tcW w:w="8760" w:type="dxa"/>
            <w:vAlign w:val="bottom"/>
          </w:tcPr>
          <w:p>
            <w:pPr>
              <w:ind w:left="160"/>
              <w:spacing w:after="0"/>
              <w:rPr>
                <w:sz w:val="20"/>
                <w:szCs w:val="20"/>
                <w:color w:val="auto"/>
              </w:rPr>
            </w:pPr>
            <w:r>
              <w:rPr>
                <w:rFonts w:ascii="Arial" w:cs="Arial" w:eastAsia="Arial" w:hAnsi="Arial"/>
                <w:sz w:val="18"/>
                <w:szCs w:val="18"/>
                <w:color w:val="auto"/>
              </w:rPr>
              <w:t>Chief Accounting Officer</w:t>
            </w:r>
          </w:p>
        </w:tc>
      </w:tr>
      <w:tr>
        <w:trPr>
          <w:trHeight w:val="257"/>
        </w:trPr>
        <w:tc>
          <w:tcPr>
            <w:tcW w:w="1780" w:type="dxa"/>
            <w:vAlign w:val="bottom"/>
          </w:tcPr>
          <w:p>
            <w:pPr>
              <w:ind w:left="40"/>
              <w:spacing w:after="0"/>
              <w:rPr>
                <w:sz w:val="20"/>
                <w:szCs w:val="20"/>
                <w:color w:val="auto"/>
              </w:rPr>
            </w:pPr>
            <w:r>
              <w:rPr>
                <w:rFonts w:ascii="Arial" w:cs="Arial" w:eastAsia="Arial" w:hAnsi="Arial"/>
                <w:sz w:val="18"/>
                <w:szCs w:val="18"/>
                <w:color w:val="auto"/>
              </w:rPr>
              <w:t>Lisa Nadler</w:t>
            </w:r>
          </w:p>
        </w:tc>
        <w:tc>
          <w:tcPr>
            <w:tcW w:w="820" w:type="dxa"/>
            <w:vAlign w:val="bottom"/>
          </w:tcPr>
          <w:p>
            <w:pPr>
              <w:ind w:left="300"/>
              <w:spacing w:after="0"/>
              <w:rPr>
                <w:sz w:val="20"/>
                <w:szCs w:val="20"/>
                <w:color w:val="auto"/>
              </w:rPr>
            </w:pPr>
            <w:r>
              <w:rPr>
                <w:rFonts w:ascii="Arial" w:cs="Arial" w:eastAsia="Arial" w:hAnsi="Arial"/>
                <w:sz w:val="18"/>
                <w:szCs w:val="18"/>
                <w:color w:val="auto"/>
              </w:rPr>
              <w:t>56</w:t>
            </w:r>
          </w:p>
        </w:tc>
        <w:tc>
          <w:tcPr>
            <w:tcW w:w="8760" w:type="dxa"/>
            <w:vAlign w:val="bottom"/>
          </w:tcPr>
          <w:p>
            <w:pPr>
              <w:ind w:left="160"/>
              <w:spacing w:after="0"/>
              <w:rPr>
                <w:sz w:val="20"/>
                <w:szCs w:val="20"/>
                <w:color w:val="auto"/>
              </w:rPr>
            </w:pPr>
            <w:r>
              <w:rPr>
                <w:rFonts w:ascii="Arial" w:cs="Arial" w:eastAsia="Arial" w:hAnsi="Arial"/>
                <w:sz w:val="18"/>
                <w:szCs w:val="18"/>
                <w:color w:val="auto"/>
              </w:rPr>
              <w:t>Chief Human Resources Officer</w:t>
            </w:r>
          </w:p>
        </w:tc>
      </w:tr>
      <w:tr>
        <w:trPr>
          <w:trHeight w:val="257"/>
        </w:trPr>
        <w:tc>
          <w:tcPr>
            <w:tcW w:w="1780" w:type="dxa"/>
            <w:vAlign w:val="bottom"/>
          </w:tcPr>
          <w:p>
            <w:pPr>
              <w:ind w:left="40"/>
              <w:spacing w:after="0"/>
              <w:rPr>
                <w:sz w:val="20"/>
                <w:szCs w:val="20"/>
                <w:color w:val="auto"/>
              </w:rPr>
            </w:pPr>
            <w:r>
              <w:rPr>
                <w:rFonts w:ascii="Arial" w:cs="Arial" w:eastAsia="Arial" w:hAnsi="Arial"/>
                <w:sz w:val="18"/>
                <w:szCs w:val="18"/>
                <w:color w:val="auto"/>
              </w:rPr>
              <w:t>Stan Pavlovsky</w:t>
            </w:r>
          </w:p>
        </w:tc>
        <w:tc>
          <w:tcPr>
            <w:tcW w:w="820" w:type="dxa"/>
            <w:vAlign w:val="bottom"/>
          </w:tcPr>
          <w:p>
            <w:pPr>
              <w:ind w:left="300"/>
              <w:spacing w:after="0"/>
              <w:rPr>
                <w:sz w:val="20"/>
                <w:szCs w:val="20"/>
                <w:color w:val="auto"/>
              </w:rPr>
            </w:pPr>
            <w:r>
              <w:rPr>
                <w:rFonts w:ascii="Arial" w:cs="Arial" w:eastAsia="Arial" w:hAnsi="Arial"/>
                <w:sz w:val="18"/>
                <w:szCs w:val="18"/>
                <w:color w:val="auto"/>
              </w:rPr>
              <w:t>47</w:t>
            </w:r>
          </w:p>
        </w:tc>
        <w:tc>
          <w:tcPr>
            <w:tcW w:w="8760" w:type="dxa"/>
            <w:vAlign w:val="bottom"/>
          </w:tcPr>
          <w:p>
            <w:pPr>
              <w:ind w:left="160"/>
              <w:spacing w:after="0"/>
              <w:rPr>
                <w:sz w:val="20"/>
                <w:szCs w:val="20"/>
                <w:color w:val="auto"/>
              </w:rPr>
            </w:pPr>
            <w:r>
              <w:rPr>
                <w:rFonts w:ascii="Arial" w:cs="Arial" w:eastAsia="Arial" w:hAnsi="Arial"/>
                <w:sz w:val="18"/>
                <w:szCs w:val="18"/>
                <w:color w:val="auto"/>
              </w:rPr>
              <w:t>Co-Chief Operating Officer and Head of Strategic Operations</w:t>
            </w:r>
          </w:p>
        </w:tc>
      </w:tr>
      <w:tr>
        <w:trPr>
          <w:trHeight w:val="264"/>
        </w:trPr>
        <w:tc>
          <w:tcPr>
            <w:tcW w:w="1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Louis Weiss</w:t>
            </w: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50</w:t>
            </w:r>
          </w:p>
        </w:tc>
        <w:tc>
          <w:tcPr>
            <w:tcW w:w="87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Chief Marketing Officer</w:t>
            </w:r>
          </w:p>
        </w:tc>
      </w:tr>
    </w:tbl>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 xml:space="preserve">Jonathan Oringer </w:t>
      </w:r>
      <w:r>
        <w:rPr>
          <w:rFonts w:ascii="Arial" w:cs="Arial" w:eastAsia="Arial" w:hAnsi="Arial"/>
          <w:sz w:val="18"/>
          <w:szCs w:val="18"/>
          <w:color w:val="auto"/>
        </w:rPr>
        <w:t>has served as our Founder, Chief Executive Officer and Chairman of the Board since founding the Company in 2003.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founding Shutterstock, Mr. Oringer served as a director of several private companies. Mr. Oringer serves as a member of Partnership for New York City, a nonprofit organization. Mr. Oringer holds a B.S. in computer science and mathematics from State University of New York at Stony Brook and an M.S. in computer science from Columbia University.</w:t>
      </w:r>
    </w:p>
    <w:p>
      <w:pPr>
        <w:spacing w:after="0" w:line="1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Deirdre Bigley </w:t>
      </w:r>
      <w:r>
        <w:rPr>
          <w:rFonts w:ascii="Arial" w:cs="Arial" w:eastAsia="Arial" w:hAnsi="Arial"/>
          <w:sz w:val="18"/>
          <w:szCs w:val="18"/>
          <w:color w:val="auto"/>
        </w:rPr>
        <w:t>has served as a member of our Board since May 2016. Since September 2009, Ms. Bigley has served as Chief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Bloomberg, L.P., a global business and financial information and news leader. Prior to joining Bloomberg, L.P., Ms. Bigley spent thirteen years at International Business Machines Corporation (IBM), serving in several capacities, including serving in her final years as Vice President of Worldwide Advertising and Interactive and Vice President of Worldwide Brand. Ms. Bigley has served on the Board of Directors of Wix.com, Inc., a cloud based development platform, since November 2017. Ms. Bigley also currently serves as a member of the Ad Council Board of Directors and Makers Board of Directors. Ms. Bigley holds a B.A. in English Literature from West Chester University.</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Jeff Epstein </w:t>
      </w:r>
      <w:r>
        <w:rPr>
          <w:rFonts w:ascii="Arial" w:cs="Arial" w:eastAsia="Arial" w:hAnsi="Arial"/>
          <w:sz w:val="18"/>
          <w:szCs w:val="18"/>
          <w:color w:val="auto"/>
        </w:rPr>
        <w:t>has served as a member of our Board since April 2012. Mr. Epstein is an Operating Partner at Bessemer Venture Partners,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capital firm, which he joined in November 2011, and has served as a lecturer in the Department of Management Science &amp; Engineering at Stanford University since 2014. Mr. Epstein was Executive Vice President and Chief Financial Officer of Oracle Corporation, the world’s largest enterprise software company, from September 2008 to April 2011. Mr. Epstein has served as a director of Booking Holdings Inc., a public travel services company, since April 2003, and a director of Twilio Inc., a cloud communication platform, since July 2017. Mr. Epstein is a director of the non-profit Kaiser Permanente and of several private companies. Mr. Epstein holds a B.A. from Yale College and an M.B.A. from Stanford University.</w:t>
      </w:r>
    </w:p>
    <w:p>
      <w:pPr>
        <w:spacing w:after="0" w:line="183"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 xml:space="preserve">Thomas R. Evans </w:t>
      </w:r>
      <w:r>
        <w:rPr>
          <w:rFonts w:ascii="Arial" w:cs="Arial" w:eastAsia="Arial" w:hAnsi="Arial"/>
          <w:sz w:val="17"/>
          <w:szCs w:val="17"/>
          <w:color w:val="auto"/>
        </w:rPr>
        <w:t>has served as a member of our Board since March 2012. From January 2014 through December 2015, Mr. Evans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Advisor to the Board of Bankrate, Inc., a leading aggregator of financial rate information, and from March 2004 until December 2013, when he retired, Mr. Evans served as its President and Chief Executive Officer and a director. Mr. Evans served as a director of Millennial Media, Inc., a public mobile marketplace company, from 2014 to November 2015 and as a director of Future Fuel Corp., a public chemical manufacturing company, from 2005 until September 2015. Mr. Evans served as a director of Angie's List, Inc., an online platform that connects home service professionals to customers, from February 2016 to September 2017, including serving as its Chairman of the Board from October 2016 through September 2017, until it was merged with the HomeAdvisor business of IAC/InterActiveCorp. Mr. Evans currently serves as a director at ANGI</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Homeservices Inc. and serves as a member of its Audit Committee and Chairman of its Compensation Committee. Mr. Evans holds a B.S. in business administration from Arizona State University.</w:t>
      </w:r>
    </w:p>
    <w:p>
      <w:pPr>
        <w:spacing w:after="0" w:line="17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Paul J. Hennessy </w:t>
      </w:r>
      <w:r>
        <w:rPr>
          <w:rFonts w:ascii="Arial" w:cs="Arial" w:eastAsia="Arial" w:hAnsi="Arial"/>
          <w:sz w:val="18"/>
          <w:szCs w:val="18"/>
          <w:color w:val="auto"/>
        </w:rPr>
        <w:t>has served as a member of our Board since April 2015. Since June 2016, Mr. Hennessy has served as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and member of the Board of Directors of Vroom, Inc., an online pre-owned car retailer. Prior to joining Vroom, from April 2015 through June 2016, Mr. Hennessy served as Chief Executive Officer of priceline.com, a provider of online travel and travel related reservation and search services. From November 2011 to March 2015, Mr. Hennessy served as Chief Marketing Officer of Booking.com, an online booking accommodations provider. From July 2006 to October 2011, Mr. Hennessy was Chief Distribution Officer of priceline.com. Mr. Hennessy holds a B.S. in marketing management from Dominican College and an M.B.A. from Long Island University.</w:t>
      </w:r>
    </w:p>
    <w:p>
      <w:pPr>
        <w:spacing w:after="0" w:line="1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Steven Berns </w:t>
      </w:r>
      <w:r>
        <w:rPr>
          <w:rFonts w:ascii="Arial" w:cs="Arial" w:eastAsia="Arial" w:hAnsi="Arial"/>
          <w:sz w:val="18"/>
          <w:szCs w:val="18"/>
          <w:color w:val="auto"/>
        </w:rPr>
        <w:t>has served as our Chief or Co-Chief Operating Officer since March 2017 and our Chief Financial Officer since September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Berns also served as a member of our Board from March 2012 to August 2015. Mr. Berns has nearly 30 years’ experience in global financial management, acquisitions, and business operations, including serving as Chief Financial Officer at the Tribune Media Company, a television and digital media company, from June 2013 to September 2015, and Revlon, Inc., a worldwide cosmetic and beauty products company, from February 2010 to June 2013. Mr. Berns is a Certified Public Accountant and received a B.S. from Lehigh University and an M.B.A. from the Stern School of Business at New York University.</w:t>
      </w:r>
    </w:p>
    <w:p>
      <w:pPr>
        <w:spacing w:after="0" w:line="1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Steven Ciardiello </w:t>
      </w:r>
      <w:r>
        <w:rPr>
          <w:rFonts w:ascii="Arial" w:cs="Arial" w:eastAsia="Arial" w:hAnsi="Arial"/>
          <w:sz w:val="18"/>
          <w:szCs w:val="18"/>
          <w:color w:val="auto"/>
        </w:rPr>
        <w:t>has served as our Chief Accounting Officer since November 2016. Prior to joining Shutterstock, Mr. Ciardiello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 of Accounting at WeWork Companies, Inc., a provider of shared workspace, from November 2015 to November 2016, Vice President – Finance at AmTrust Financial Services, Inc., a property and casualty insurance provider, from September 2014 to November 2015, and served in multiple capacities at Tower Group International, Ltd., a property and casualty insurance provider, from July 2010 to September 2014, advancing to Chief Accounting Officer. Mr. Ciardiello also worked in public accounting for nearly 15 years. Mr. Ciardiello is a Certified Public Accountant and earned a B.A. in economics from the University of Illinois.</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Lisa Nadler </w:t>
      </w:r>
      <w:r>
        <w:rPr>
          <w:rFonts w:ascii="Arial" w:cs="Arial" w:eastAsia="Arial" w:hAnsi="Arial"/>
          <w:sz w:val="18"/>
          <w:szCs w:val="18"/>
          <w:color w:val="auto"/>
        </w:rPr>
        <w:t>has served as our Chief Human Resources Officer since July 2017. Prior to joining Shutterstock, Ms. Nadler served 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Resources Officer at Sotheby’s, an art auction house, from September 2015 to July 2017. Prior to this, Ms. Nadler served as Chief Human Resources Officer of Madison Square Garden, a live sports and entertainment business from March 2014 to September 2015 and SVP, Human Resources of Cablevision, a provider of telecommunications and entertainment services from November 2011 to March 2014. Ms. Nadler received a B.S. in Engineering from Lehigh University.</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Stan Pavlovsky </w:t>
      </w:r>
      <w:r>
        <w:rPr>
          <w:rFonts w:ascii="Arial" w:cs="Arial" w:eastAsia="Arial" w:hAnsi="Arial"/>
          <w:sz w:val="18"/>
          <w:szCs w:val="18"/>
          <w:color w:val="auto"/>
        </w:rPr>
        <w:t>has served as our Co-Chief Operating Officer and Head of Strategic Operations since April 2019. Prior to joining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Mr. Pavlovsky served as the Executive Vice President, President of Meredith Digital at Meredith Corporation, a media and marketing company, from August 2016 through March 2019. From March 2013 through August 2016, Mr. Pavlovsky served as President of Allrecipes.com, a Meredith company. Prior to joining Meredith, Mr. Pavlovsky was Vice President eCommerce, Merchandising &amp; Marketing at Walgreens Boots Alliance, Inc., a pharmacy store chain, from June 2011 through March 2013. Mr. Pavlovsky previously spent several years at Drugstore.com, an internet retailer in health and beauty care products, which was acquired by Walgreens in 2011, serving in several capacities, including serving in his final years as Vice President, Drugstore.com. Mr. Pavlovsky holds a B.A. from California State University, Northridge and an M.B.A. from City University of Seattle.</w:t>
      </w:r>
    </w:p>
    <w:p>
      <w:pPr>
        <w:spacing w:after="0" w:line="18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 xml:space="preserve">Louis Weiss </w:t>
      </w:r>
      <w:r>
        <w:rPr>
          <w:rFonts w:ascii="Arial" w:cs="Arial" w:eastAsia="Arial" w:hAnsi="Arial"/>
          <w:sz w:val="18"/>
          <w:szCs w:val="18"/>
          <w:color w:val="auto"/>
        </w:rPr>
        <w:t>has served as our Chief Marketing Officer since February 2018. Prior to joining Shutterstock, Mr. Weiss served as President &amp;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Marketing Officer of Plated, a meal-kit delivery company, from April 2016 to July 2017. Prior to this, Mr. Weiss served in a variety of executive roles at the Vitamin Shoppe from December 2006 to January 2016, most recently as EVP, Chief Marketing and Merchandising Officer. Mr. Weiss received a B.S. in Economics from the Wharton School of the University of Pennsylvania.</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Board Structure, Director Nominations and Qualifications</w:t>
      </w:r>
    </w:p>
    <w:p>
      <w:pPr>
        <w:spacing w:after="0" w:line="2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Board is divided into three classes for purposes of election. One class is elected at each Annual Meeting of Stockholders to serve for a three-year term. Our Board currently consists of five members, classified into three classes as follows: Jonathan Oringer serves as a Class I director with a term ending at the 2019 Annual Meeting of Stockholders; Deirdre Bigley and Jeff Epstein serve as Class II directors with a term ending at the 2020 Annual</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Meeting of Stockholders; and Thomas R. Evans and Paul J. Hennessy serve as Class III directors with a term ending at the 2021 Annual Meeting.</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Nominating and Corporate Governance Committee is charged with identifying, evaluating and recommending director nominees to the full Board, as well as considering candidates for election to the Board recommended by stockholders. In evaluating the suitability of individual Board members, the Nominating and Corporate Governance Committee takes into account many factors, including international business experience; experience in industries beyond technology; financial experience and a good reputation within the financial community; business management experience and the potential to succeed top management in the event Board intervention is necessary on an unexpected basis; business contacts, business knowledge and influence that may be useful to our business and product lines; and knowledge about our industries and technologies. The Nominating and Corporate Governance Committee will also factor into its determination the following qualities with respect to potential director nominees:</w:t>
      </w:r>
    </w:p>
    <w:p>
      <w:pPr>
        <w:spacing w:after="0" w:line="20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reputation for integrity, honesty and adherence to high ethical standards;</w:t>
      </w:r>
    </w:p>
    <w:p>
      <w:pPr>
        <w:spacing w:after="0" w:line="225"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demonstrated business acumen, experience and ability to exercise sound judgments in matters that relate to the current and long-term objectives of the Company and willingness and ability to contribute positively to the decision-making process of the Company;</w:t>
      </w:r>
    </w:p>
    <w:p>
      <w:pPr>
        <w:spacing w:after="0" w:line="196"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commitment to understand the Company and its industry and to regularly attend and participate in meetings of the Board and its committees;</w:t>
      </w:r>
    </w:p>
    <w:p>
      <w:pPr>
        <w:spacing w:after="0" w:line="196" w:lineRule="exact"/>
        <w:rPr>
          <w:rFonts w:ascii="Arial" w:cs="Arial" w:eastAsia="Arial" w:hAnsi="Arial"/>
          <w:sz w:val="18"/>
          <w:szCs w:val="18"/>
          <w:color w:val="auto"/>
        </w:rPr>
      </w:pPr>
    </w:p>
    <w:p>
      <w:pPr>
        <w:ind w:left="660" w:right="540" w:hanging="328"/>
        <w:spacing w:after="0" w:line="291"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interest and ability to understand the sometimes conflicting interests of the various constituencies of the Company, which include stockholders, employees, customers, contributors and the general public, and to act in the interests of all stockholders; and</w:t>
      </w:r>
    </w:p>
    <w:p>
      <w:pPr>
        <w:spacing w:after="0" w:line="174" w:lineRule="exact"/>
        <w:rPr>
          <w:rFonts w:ascii="Arial" w:cs="Arial" w:eastAsia="Arial" w:hAnsi="Arial"/>
          <w:sz w:val="17"/>
          <w:szCs w:val="17"/>
          <w:color w:val="auto"/>
        </w:rPr>
      </w:pPr>
    </w:p>
    <w:p>
      <w:pPr>
        <w:ind w:left="660" w:right="62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actual or perceived conflict of interests that would impair the nominee’s ability to represent the interests of all the Company’s stockholders and to fulfill the responsibilities of a director.</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Although we do not have a formal diversity policy, the Board also evaluates each individual in the context of the Board as a whole, with the objective of recommending a group that can best support the success of the business and, based on its diversity of experience, represent stockholder interests through the exercise of sound judgment. In determining whether to recommend a director for re-election, the Nominating and Corporate Governance Committee also considers the director’s past attendance at meetings and participation in and contributions to the activities of the Board as well as the director’s service on the boards of other public companies to ensure that the director can carry out director duties in a responsible manner.</w:t>
      </w:r>
    </w:p>
    <w:p>
      <w:pPr>
        <w:spacing w:after="0" w:line="20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Upon determining the need for additional or replacement Board members, the Nominating and Corporate Governance Committee will identify one or more director candidates and evaluate each candidate under the criteria described above based on information provided to the committee by the Company or a third-party or may also include discussions with persons familiar with the candidate, an interview of the candidate or other actions the committee deems appropriate. Based on its assessment of each candidate’s independence, skills and qualifications and the criteria described above, the Nominating and Corporate Governance Committee will make recommendations regarding potential director candidates to the Board. The Nominating and Corporate Governance Committee may consult with management or engage third parties to assist in the search for director candidates or to assist in gathering information regarding a candidate’s background and experience.</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adopted a director resignation policy, pursuant to which any nominee for director who, in an uncontested election, receives more votes “WITHHELD” than “FOR” his or her election is expected to promptly tender his or her resignation for consideration by the Nominating and Corporate Governance Committee and subsequently by the Board. Our director resignation policy is incorporated into our Corporate Governance Guidelines, a copy of which can be found through the “Corporate Governance” link on our Investor Relations page at investor.shutterstock.com.</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Board, upon the recommendation of the Nominating and Corporate Governance Committee, has voted to nominate Mr. Oringer for election to the Board as a Class I director at the 2019 Annual Meeting to serve for a term of three years until the 2022 Annual Meeting of Stockholders, and until his successor has been elected and qualified or, if sooner, until his resignation or removal. Mr. Oringer is currently a member of the Board.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Corporate Governance and Board Matters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Governance, Business Conduct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751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 strong commitment to effective corporate governance and have in place a comprehensive corporate governance framework for our operations. We have adopted Corporate Governance Guidelines, last amended in February 2019, which, in conjunction with our amended and restated certificate of incorporation (the “Charter”), our Bylaws, and charters of the standing committees of our Board, form the framework for our corporate governance.</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also adopted a Code of Business Conduct and Ethics (“Code of Ethics”), last amended in February 2019, that applies to all of our directors, officers and employees, including our senior financial officers. Our Code of Ethics requires, among other things, that all of our directors, officers and employees comply with all laws, attempt to avoid conflicts of interest, conduct business in an honest and ethical manner and otherwise act with integrity and in the Company’s best interest. In addition, our Code of Ethics imposes obligations on all of our directors, officers and employees to maintain books, records, accounts and financial statements that are accurate and that comply with applicable laws and with our internal controls, as well as providing for disclosure controls and procedures.</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maintain a corporate governance page on our website that includes key information about our corporate governance initiatives, including our Corporate Governance Guidelines and Code of Ethics. The corporate governance page can be found on our Investor Relations website at investor.shutterstock.com under the link for “Corporate Governance.” We will promptly post under the same link amendments to or waivers, if any, of our Code of Ethics, involving our directors and executive officers.</w:t>
      </w:r>
    </w:p>
    <w:p>
      <w:pPr>
        <w:spacing w:after="0" w:line="2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also maintain policies to ensure our operations not only are compliant with applicable law, the rules and regulations of the SEC, and the listing standards of the New York Stock Exchange (“NYSE”), but also promote good corporate governance principles and standards of behavior. A summary of our corporate governance policies is set forth in the following table.</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9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8520" w:type="dxa"/>
            <w:vAlign w:val="bottom"/>
          </w:tcPr>
          <w:p>
            <w:pPr>
              <w:spacing w:after="0"/>
              <w:rPr>
                <w:sz w:val="17"/>
                <w:szCs w:val="17"/>
                <w:color w:val="auto"/>
              </w:rPr>
            </w:pPr>
          </w:p>
        </w:tc>
      </w:tr>
      <w:tr>
        <w:trPr>
          <w:trHeight w:val="649"/>
        </w:trPr>
        <w:tc>
          <w:tcPr>
            <w:tcW w:w="1280" w:type="dxa"/>
            <w:vAlign w:val="bottom"/>
            <w:tcBorders>
              <w:top w:val="single" w:sz="8" w:color="0000EE"/>
              <w:bottom w:val="single" w:sz="8" w:color="auto"/>
            </w:tcBorders>
          </w:tcPr>
          <w:p>
            <w:pPr>
              <w:ind w:left="40"/>
              <w:spacing w:after="0"/>
              <w:rPr>
                <w:sz w:val="20"/>
                <w:szCs w:val="20"/>
                <w:color w:val="auto"/>
              </w:rPr>
            </w:pPr>
            <w:r>
              <w:rPr>
                <w:rFonts w:ascii="Arial" w:cs="Arial" w:eastAsia="Arial" w:hAnsi="Arial"/>
                <w:sz w:val="18"/>
                <w:szCs w:val="18"/>
                <w:b w:val="1"/>
                <w:bCs w:val="1"/>
                <w:color w:val="auto"/>
              </w:rPr>
              <w:t>Policy</w:t>
            </w:r>
          </w:p>
        </w:tc>
        <w:tc>
          <w:tcPr>
            <w:tcW w:w="162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07"/>
        </w:trPr>
        <w:tc>
          <w:tcPr>
            <w:tcW w:w="2900" w:type="dxa"/>
            <w:vAlign w:val="bottom"/>
            <w:gridSpan w:val="2"/>
          </w:tcPr>
          <w:p>
            <w:pPr>
              <w:ind w:left="40"/>
              <w:spacing w:after="0"/>
              <w:rPr>
                <w:sz w:val="20"/>
                <w:szCs w:val="20"/>
                <w:color w:val="auto"/>
              </w:rPr>
            </w:pPr>
            <w:r>
              <w:rPr>
                <w:rFonts w:ascii="Arial" w:cs="Arial" w:eastAsia="Arial" w:hAnsi="Arial"/>
                <w:sz w:val="18"/>
                <w:szCs w:val="18"/>
                <w:b w:val="1"/>
                <w:bCs w:val="1"/>
                <w:color w:val="auto"/>
              </w:rPr>
              <w:t>Insider Trading and Disclosure</w:t>
            </w:r>
          </w:p>
        </w:tc>
        <w:tc>
          <w:tcPr>
            <w:tcW w:w="8520" w:type="dxa"/>
            <w:vAlign w:val="bottom"/>
          </w:tcPr>
          <w:p>
            <w:pPr>
              <w:ind w:left="220"/>
              <w:spacing w:after="0"/>
              <w:rPr>
                <w:sz w:val="20"/>
                <w:szCs w:val="20"/>
                <w:color w:val="auto"/>
              </w:rPr>
            </w:pPr>
            <w:r>
              <w:rPr>
                <w:rFonts w:ascii="Arial" w:cs="Arial" w:eastAsia="Arial" w:hAnsi="Arial"/>
                <w:sz w:val="18"/>
                <w:szCs w:val="18"/>
                <w:color w:val="auto"/>
              </w:rPr>
              <w:t>Sets forth the Company’s limitations regarding trading in Company securities and the handling of non-</w:t>
            </w:r>
          </w:p>
        </w:tc>
      </w:tr>
      <w:tr>
        <w:trPr>
          <w:trHeight w:val="239"/>
        </w:trPr>
        <w:tc>
          <w:tcPr>
            <w:tcW w:w="2900" w:type="dxa"/>
            <w:vAlign w:val="bottom"/>
            <w:gridSpan w:val="2"/>
          </w:tcPr>
          <w:p>
            <w:pPr>
              <w:ind w:left="40"/>
              <w:spacing w:after="0"/>
              <w:rPr>
                <w:sz w:val="20"/>
                <w:szCs w:val="20"/>
                <w:color w:val="auto"/>
              </w:rPr>
            </w:pPr>
            <w:r>
              <w:rPr>
                <w:rFonts w:ascii="Arial" w:cs="Arial" w:eastAsia="Arial" w:hAnsi="Arial"/>
                <w:sz w:val="18"/>
                <w:szCs w:val="18"/>
                <w:b w:val="1"/>
                <w:bCs w:val="1"/>
                <w:color w:val="auto"/>
              </w:rPr>
              <w:t>Policy</w:t>
            </w:r>
          </w:p>
        </w:tc>
        <w:tc>
          <w:tcPr>
            <w:tcW w:w="8520" w:type="dxa"/>
            <w:vAlign w:val="bottom"/>
          </w:tcPr>
          <w:p>
            <w:pPr>
              <w:ind w:left="220"/>
              <w:spacing w:after="0"/>
              <w:rPr>
                <w:sz w:val="20"/>
                <w:szCs w:val="20"/>
                <w:color w:val="auto"/>
              </w:rPr>
            </w:pPr>
            <w:r>
              <w:rPr>
                <w:rFonts w:ascii="Arial" w:cs="Arial" w:eastAsia="Arial" w:hAnsi="Arial"/>
                <w:sz w:val="18"/>
                <w:szCs w:val="18"/>
                <w:color w:val="auto"/>
              </w:rPr>
              <w:t>public material information.</w:t>
            </w:r>
          </w:p>
        </w:tc>
      </w:tr>
      <w:tr>
        <w:trPr>
          <w:trHeight w:val="404"/>
        </w:trPr>
        <w:tc>
          <w:tcPr>
            <w:tcW w:w="2900" w:type="dxa"/>
            <w:vAlign w:val="bottom"/>
            <w:gridSpan w:val="2"/>
          </w:tcPr>
          <w:p>
            <w:pPr>
              <w:ind w:left="40"/>
              <w:spacing w:after="0"/>
              <w:rPr>
                <w:sz w:val="20"/>
                <w:szCs w:val="20"/>
                <w:color w:val="auto"/>
              </w:rPr>
            </w:pPr>
            <w:r>
              <w:rPr>
                <w:rFonts w:ascii="Arial" w:cs="Arial" w:eastAsia="Arial" w:hAnsi="Arial"/>
                <w:sz w:val="18"/>
                <w:szCs w:val="18"/>
                <w:b w:val="1"/>
                <w:bCs w:val="1"/>
                <w:color w:val="auto"/>
              </w:rPr>
              <w:t>Whistleblower Policy</w:t>
            </w:r>
          </w:p>
        </w:tc>
        <w:tc>
          <w:tcPr>
            <w:tcW w:w="8520" w:type="dxa"/>
            <w:vAlign w:val="bottom"/>
          </w:tcPr>
          <w:p>
            <w:pPr>
              <w:ind w:left="220"/>
              <w:spacing w:after="0"/>
              <w:rPr>
                <w:sz w:val="20"/>
                <w:szCs w:val="20"/>
                <w:color w:val="auto"/>
              </w:rPr>
            </w:pPr>
            <w:r>
              <w:rPr>
                <w:rFonts w:ascii="Arial" w:cs="Arial" w:eastAsia="Arial" w:hAnsi="Arial"/>
                <w:sz w:val="18"/>
                <w:szCs w:val="18"/>
                <w:color w:val="auto"/>
              </w:rPr>
              <w:t>Sets forth the procedures for the reporting of suspected misconduct, illegal activities or fraud, including</w:t>
            </w:r>
          </w:p>
        </w:tc>
      </w:tr>
      <w:tr>
        <w:trPr>
          <w:trHeight w:val="203"/>
        </w:trPr>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520" w:type="dxa"/>
            <w:vAlign w:val="bottom"/>
          </w:tcPr>
          <w:p>
            <w:pPr>
              <w:ind w:left="220"/>
              <w:spacing w:after="0" w:line="202" w:lineRule="exact"/>
              <w:rPr>
                <w:sz w:val="20"/>
                <w:szCs w:val="20"/>
                <w:color w:val="auto"/>
              </w:rPr>
            </w:pPr>
            <w:r>
              <w:rPr>
                <w:rFonts w:ascii="Arial" w:cs="Arial" w:eastAsia="Arial" w:hAnsi="Arial"/>
                <w:sz w:val="18"/>
                <w:szCs w:val="18"/>
                <w:color w:val="auto"/>
              </w:rPr>
              <w:t>any questionable accounting, internal accounting controls and auditing matters, or other violations of</w:t>
            </w:r>
          </w:p>
        </w:tc>
      </w:tr>
      <w:tr>
        <w:trPr>
          <w:trHeight w:val="217"/>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20" w:type="dxa"/>
            <w:vAlign w:val="bottom"/>
          </w:tcPr>
          <w:p>
            <w:pPr>
              <w:ind w:left="220"/>
              <w:spacing w:after="0"/>
              <w:rPr>
                <w:sz w:val="20"/>
                <w:szCs w:val="20"/>
                <w:color w:val="auto"/>
              </w:rPr>
            </w:pPr>
            <w:r>
              <w:rPr>
                <w:rFonts w:ascii="Arial" w:cs="Arial" w:eastAsia="Arial" w:hAnsi="Arial"/>
                <w:sz w:val="18"/>
                <w:szCs w:val="18"/>
                <w:color w:val="auto"/>
              </w:rPr>
              <w:t>federal or state laws or the Code of Ethics and the receipt, treatment and investigation of such reports.</w:t>
            </w:r>
          </w:p>
        </w:tc>
      </w:tr>
    </w:tbl>
    <w:p>
      <w:pPr>
        <w:spacing w:after="0" w:line="180" w:lineRule="exact"/>
        <w:rPr>
          <w:sz w:val="20"/>
          <w:szCs w:val="20"/>
          <w:color w:val="auto"/>
        </w:rPr>
      </w:pPr>
    </w:p>
    <w:p>
      <w:pPr>
        <w:ind w:left="3120" w:right="80" w:hanging="3092"/>
        <w:spacing w:after="0" w:line="271" w:lineRule="auto"/>
        <w:rPr>
          <w:sz w:val="20"/>
          <w:szCs w:val="20"/>
          <w:color w:val="auto"/>
        </w:rPr>
      </w:pPr>
      <w:r>
        <w:rPr>
          <w:rFonts w:ascii="Arial" w:cs="Arial" w:eastAsia="Arial" w:hAnsi="Arial"/>
          <w:sz w:val="18"/>
          <w:szCs w:val="18"/>
          <w:b w:val="1"/>
          <w:bCs w:val="1"/>
          <w:color w:val="auto"/>
        </w:rPr>
        <w:t xml:space="preserve">Related Person Transaction Policy </w:t>
      </w:r>
      <w:r>
        <w:rPr>
          <w:rFonts w:ascii="Arial" w:cs="Arial" w:eastAsia="Arial" w:hAnsi="Arial"/>
          <w:sz w:val="18"/>
          <w:szCs w:val="18"/>
          <w:color w:val="auto"/>
        </w:rPr>
        <w:t>Sets forth the policies and procedures for reviewing, approving and ratifying proposed transactions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executive officers, significant shareholders or any other related persons.</w:t>
      </w:r>
    </w:p>
    <w:p>
      <w:pPr>
        <w:sectPr>
          <w:pgSz w:w="11900" w:h="16838" w:orient="portrait"/>
          <w:cols w:equalWidth="0" w:num="1">
            <w:col w:w="11420"/>
          </w:cols>
          <w:pgMar w:left="240" w:top="108" w:right="239" w:bottom="1440" w:gutter="0" w:footer="0" w:header="0"/>
        </w:sectPr>
      </w:pPr>
    </w:p>
    <w:p>
      <w:pPr>
        <w:spacing w:after="0" w:line="1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Anti-Corruption Policy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Provides detailed guidance for our Board members, officers, employees and third parties acting on our behalf on prohibited actions under anti-bribery and anti-corruption laws.</w:t>
      </w:r>
    </w:p>
    <w:p>
      <w:pPr>
        <w:spacing w:after="0" w:line="175" w:lineRule="exact"/>
        <w:rPr>
          <w:sz w:val="20"/>
          <w:szCs w:val="20"/>
          <w:color w:val="auto"/>
        </w:rPr>
      </w:pPr>
    </w:p>
    <w:p>
      <w:pPr>
        <w:sectPr>
          <w:pgSz w:w="11900" w:h="16838" w:orient="portrait"/>
          <w:cols w:equalWidth="0" w:num="2">
            <w:col w:w="2400" w:space="720"/>
            <w:col w:w="8300"/>
          </w:cols>
          <w:pgMar w:left="240" w:top="108" w:right="23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Anti-Harassment Policy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Provides that all persons shall be treated with dignity and respect and shall not be subject to discriminatory practices and harassment and sets forth the policies and procedures for reporting and investigation suspected harassment.</w:t>
      </w:r>
    </w:p>
    <w:p>
      <w:pPr>
        <w:spacing w:after="0" w:line="181" w:lineRule="exact"/>
        <w:rPr>
          <w:sz w:val="20"/>
          <w:szCs w:val="20"/>
          <w:color w:val="auto"/>
        </w:rPr>
      </w:pPr>
    </w:p>
    <w:p>
      <w:pPr>
        <w:sectPr>
          <w:pgSz w:w="11900" w:h="16838" w:orient="portrait"/>
          <w:cols w:equalWidth="0" w:num="2">
            <w:col w:w="2400" w:space="720"/>
            <w:col w:w="8300"/>
          </w:cols>
          <w:pgMar w:left="240" w:top="108" w:right="239" w:bottom="1440" w:gutter="0" w:footer="0" w:header="0"/>
          <w:type w:val="continuous"/>
        </w:sectPr>
      </w:pPr>
    </w:p>
    <w:p>
      <w:pPr>
        <w:ind w:left="40"/>
        <w:spacing w:after="0" w:line="271" w:lineRule="auto"/>
        <w:rPr>
          <w:sz w:val="20"/>
          <w:szCs w:val="20"/>
          <w:color w:val="auto"/>
        </w:rPr>
      </w:pPr>
      <w:r>
        <w:rPr>
          <w:rFonts w:ascii="Arial" w:cs="Arial" w:eastAsia="Arial" w:hAnsi="Arial"/>
          <w:sz w:val="18"/>
          <w:szCs w:val="18"/>
          <w:b w:val="1"/>
          <w:bCs w:val="1"/>
          <w:color w:val="auto"/>
        </w:rPr>
        <w:t>Corporate Communications and Disclosure Policy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Sets forth guidelines on fair and complete disclosure of Company information to current and future stockholders, the investing public and the financial community to ensure compliance with SEC rules and regulations.</w:t>
      </w:r>
    </w:p>
    <w:p>
      <w:pPr>
        <w:spacing w:after="0" w:line="181" w:lineRule="exact"/>
        <w:rPr>
          <w:sz w:val="20"/>
          <w:szCs w:val="20"/>
          <w:color w:val="auto"/>
        </w:rPr>
      </w:pPr>
    </w:p>
    <w:p>
      <w:pPr>
        <w:sectPr>
          <w:pgSz w:w="11900" w:h="16838" w:orient="portrait"/>
          <w:cols w:equalWidth="0" w:num="2">
            <w:col w:w="2780" w:space="340"/>
            <w:col w:w="8300"/>
          </w:cols>
          <w:pgMar w:left="240" w:top="108" w:right="23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Economic Sanctions Policy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Provides that all Company activities by directors, officers, employees and agents acting on behalf of the Company comport fully with applicable embargoes and other economic sanctions requirements.</w:t>
      </w:r>
    </w:p>
    <w:p>
      <w:pPr>
        <w:spacing w:after="0" w:line="175" w:lineRule="exact"/>
        <w:rPr>
          <w:sz w:val="20"/>
          <w:szCs w:val="20"/>
          <w:color w:val="auto"/>
        </w:rPr>
      </w:pPr>
    </w:p>
    <w:p>
      <w:pPr>
        <w:sectPr>
          <w:pgSz w:w="11900" w:h="16838" w:orient="portrait"/>
          <w:cols w:equalWidth="0" w:num="2">
            <w:col w:w="2400" w:space="720"/>
            <w:col w:w="8300"/>
          </w:cols>
          <w:pgMar w:left="240" w:top="108"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 xml:space="preserve">Executive Compensation Clawback </w:t>
      </w:r>
      <w:r>
        <w:rPr>
          <w:rFonts w:ascii="Arial" w:cs="Arial" w:eastAsia="Arial" w:hAnsi="Arial"/>
          <w:sz w:val="18"/>
          <w:szCs w:val="18"/>
          <w:color w:val="auto"/>
        </w:rPr>
        <w:t>Sets forth the guidelines pursuant to which the Company may recover certain incentive-based</w:t>
      </w:r>
    </w:p>
    <w:p>
      <w:pPr>
        <w:spacing w:after="0" w:line="18" w:lineRule="exact"/>
        <w:rPr>
          <w:sz w:val="20"/>
          <w:szCs w:val="20"/>
          <w:color w:val="auto"/>
        </w:rPr>
      </w:pPr>
    </w:p>
    <w:p>
      <w:pPr>
        <w:ind w:left="3120" w:right="180" w:hanging="3079"/>
        <w:spacing w:after="0" w:line="237" w:lineRule="auto"/>
        <w:tabs>
          <w:tab w:leader="none" w:pos="3100" w:val="left"/>
        </w:tabs>
        <w:rPr>
          <w:sz w:val="20"/>
          <w:szCs w:val="20"/>
          <w:color w:val="auto"/>
        </w:rPr>
      </w:pPr>
      <w:r>
        <w:rPr>
          <w:rFonts w:ascii="Arial" w:cs="Arial" w:eastAsia="Arial" w:hAnsi="Arial"/>
          <w:sz w:val="18"/>
          <w:szCs w:val="18"/>
          <w:b w:val="1"/>
          <w:bCs w:val="1"/>
          <w:color w:val="auto"/>
        </w:rPr>
        <w:t>Policy</w:t>
      </w:r>
      <w:r>
        <w:rPr>
          <w:sz w:val="20"/>
          <w:szCs w:val="20"/>
          <w:color w:val="auto"/>
        </w:rPr>
        <w:tab/>
      </w:r>
      <w:r>
        <w:rPr>
          <w:rFonts w:ascii="Arial" w:cs="Arial" w:eastAsia="Arial" w:hAnsi="Arial"/>
          <w:sz w:val="18"/>
          <w:szCs w:val="18"/>
          <w:color w:val="auto"/>
        </w:rPr>
        <w:t>compensation payments made to executive officers and non-executive officers, as applicable, if the Company is required to prepare an accounting restatement of its financial statements as a result of (i) material noncompliance with any financial reporting requirements under the federal securities laws, (ii) negligence, misconduct, wrongdoing or violation of any Company policies or (iii) willful, knowing or intentional misconduct or violation of any Company policy or applicable legal and regulatory requirements.</w:t>
      </w:r>
    </w:p>
    <w:p>
      <w:pPr>
        <w:spacing w:after="0" w:line="23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 copy of any of the policies set forth above may be requested from the Corporate Secretary, Shutterstock, Inc., 350 Fifth Avenue, 21st Floor, New York, New York 10118.</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751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5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Corporate Governance Guidelines state that a majority of the Board will consist of directors who meet the independence requirements of the NYSE listing standards, as well as the criterion related to contributions to tax-exempt organizations. A copy of our Corporate Governance Guidelines, which include our definitions for independence, can be found on our Investor Relations website at investor.shutterstock.com under the link for “Corporate Governance.” Our Board conducts an annual review to determine whether each of our directors qualifies as independent as defined in our Corporate Governance Guidelines and the NYSE listing standards applicable to board composition. The Board makes an affirmative determination regarding the independence of each director, based upon the recommendation of the Nominating and Corporate Governance Committee.</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Ms. Bigley and each of Messrs. Epstein, Evans, and Hennessy, representing four of our five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8"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751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54"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Our Corporate Governance Guidelines are designed to promote the functioning of the Board and its committees. These Guidelines address Board composition, Board functions and responsibilities, qualifications, leadership structure, committees and meetings.</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Corporate Governance Guidelines do not indicate a particular Board structure, and the Board is given the flexibility to select its Chairman and our Chief Executive Officer in the manner that it believes is in the best interests of our stockholders. Accordingly, the positions of Chairman and the Chief Executive Officer may be filled by either one individual or two individuals. The Board has not separated the positions of Chairman and Chief Executive Officer. Both positions are currently held by Mr. Oringer. Since October 2014, the Board has appointed Mr. Evans as our “Presiding Director” to preside over non-management and executive sessions of the Board.</w:t>
      </w:r>
    </w:p>
    <w:p>
      <w:pPr>
        <w:spacing w:after="0" w:line="206"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auto"/>
        </w:rPr>
        <w:t>The Board believes that this structure has historically served the Company well and continues to do so by creating a critical link between management and the Board, enabling the Board to perform its oversight function with the benefits of management’s perspectives on the business, facilitating communication between the Board and our senior management, and providing the Board with direct oversight of our business and affairs. In the Board’s view, separating the positions of Chairman and Chief Executive Officer has the potential to give rise to divided leadership, which could interfere with good decision-making or weaken the Company’s ability to develop and implement strategy. Instead, the Company believes that combining the positions of Chairman and Chief Executive Officer provides a single, clear chain of command to execute the Company’s strategic initiatives and business plans. In addition, the Company believes that a combined Chairman/Chief Executive Officer is better positioned to act as a bridge between management and the Board, facilitating the regular flow of information. The Company also believes that it is advantageous to have a Chairman with an extensive history with and knowledge of the Company (as is the case with Mr. Oringer, who founded the Company in 2003), as compared to a relatively less informed independent Chairman of the Board.</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751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54"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Effective risk management is critical to our Company’s ability to achieve its strategy. The Board oversees management in exercising its responsibility for managing risk, considering our robust framework of policies, procedures, and processes to anticipate, identify, assess, prioritize, and mitigate risks across the Company. Responsibility for managing risk rests with executive management while the Board and its committees participate in oversight of the process. Specifically, the Board has responsibility for overseeing the strategic planning process, reviewing and monitoring management’s execution of the Company’s strategic and business plans, and selected risk areas. Each Board committee is responsible for oversight of specific risk areas relevant to their respective committee charter.</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oversight responsibility of the Board and its committees is informed by reports from our management team and our internal audit function that are designed to provide visibility to the Board about the identification and assessment of key risks and our risk mitigation strategies. Specifically, the Company has robust internal processes and an internal control environment that facilitate the identification and management of risks and regular communication with the Board and its committees. These include an enterprise risk management assessment, regular internal management Disclosure Committee meetings, a Code of Business Conduct and Ethics and a comprehensive internal and external audit process. The Board executes its oversight responsibility directly and through its committees, which regularly report back to the Board. Some examples of risks overseen by committees are:</w:t>
      </w:r>
    </w:p>
    <w:p>
      <w:pPr>
        <w:spacing w:after="0" w:line="207" w:lineRule="exact"/>
        <w:rPr>
          <w:sz w:val="20"/>
          <w:szCs w:val="20"/>
          <w:color w:val="auto"/>
        </w:rPr>
      </w:pPr>
    </w:p>
    <w:p>
      <w:pPr>
        <w:ind w:left="660" w:right="160" w:hanging="328"/>
        <w:spacing w:after="0" w:line="25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Audit Committee oversees the enterprise risk process that management implements, and reviews and assesses the Company’s processes to manage financial reporting risk and to manage internal audit, internal control over financial reporting and disclosure controls and procedures, tax, investment, and other financial risks, as well as the Company’s financial position and financial activities. The Board has also delegated oversight of information technology and cybersecurity risks to the Audit Committee.</w:t>
      </w:r>
    </w:p>
    <w:p>
      <w:pPr>
        <w:spacing w:after="0" w:line="204" w:lineRule="exact"/>
        <w:rPr>
          <w:rFonts w:ascii="Arial" w:cs="Arial" w:eastAsia="Arial" w:hAnsi="Arial"/>
          <w:sz w:val="18"/>
          <w:szCs w:val="18"/>
          <w:color w:val="auto"/>
        </w:rPr>
      </w:pPr>
    </w:p>
    <w:p>
      <w:pPr>
        <w:ind w:left="660" w:right="114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Compensation Committee oversees compensation programs, policies and practices and their effect on risk-taking by management.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660" w:right="100" w:hanging="328"/>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manages risk by overseeing the governance framework and structure as well as other corporate governance matters, including oversight of the annual board and committee assessment process, and is charged with developing and recommending to the Board corporate governance principles and policies and Board committee structure, leadership and membership.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Each committee reports regularly to the Board with respect to such committee’s particular risk oversight responsibilities.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 on the Board Role’s in Oversight of Human Capital Management</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Board has long recognized that our employees are some of our most important assets and is engaged with management on ensuring that our Company is an employer of choice for the most talented employees in our industry. While the full Board discusses human capital management with regards to its role in overseeing our overall long-term strategy, our Compensation Committee has responsibility for overseeing human capital management. The Compensation Committee is tasked with overseeing specific initiatives on a regular basis, including, among other tasks:</w:t>
      </w:r>
    </w:p>
    <w:p>
      <w:pPr>
        <w:spacing w:after="0" w:line="20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Monitoring employee turnover;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Overseeing compensation philosophies and incentive plans across our workforce;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Monitoring our workforce planning;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Understanding our workforce demographics and diversity, equity and inclusion strategies;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Monitoring our corporate culture.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 on the Board Role’s in Oversight of Cybersecurity and Data Privacy</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Board and the Audit Committee are each involved in oversight of the Company’s management of cybersecurity risk. Cybersecurity is vital to protecting proprietary and confidential information and the trust of our customers, contributors and employees. To more effectively prevent, detect and respond to information security threats, the Company has a dedicated Chief Information Security Officer whose team is responsible for leading enterprise-wide information security strategy, policy, standards, architecture and processes. The Audit Committee receives regular reports from the then-current Chief Information Security Officer and Chief Technology Officer, as applicable, on, among other things, the Company’s cyber risks and threats, the status of projects to strengthen the Company’s information security systems, assessments of the Company’s security program and the emerging threat landscape. The Audit Committee regularly briefs the full Board on these matters. The Board and its committees also discuss recent incidents throughout the industry and the emerging threat landscape.</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CEO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751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5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Board recognizes the importance of effective executive leadership to the Company’s ongoing success and achievement of business strategies today and in the future. In 2017, the Nominating and Corporate Governance Committee conducted a review of the Company’s CEO succession planning and developed a succession plan, including an emergency succession plan, with input from Mr. Oringer and other members of management, which was approved by the Board in October 2017. In conducting this review, the Nominating and Corporate Governance Committee and Board considered, among other factors, organizational and operational needs, competitive challenges, leadership/management potential and development, and emergency situations.</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751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Stockholders and other interested parties may communicate directly with the Board, with any director, including our Presiding Director, or with the independent directors as a group or any other group of directors by writing to our Corporate Secretary at Shutterstock, Inc., Attn: Corporate Secretary, 350 Fifth Avenue, 21st Floor, New York, New York 10118, with a request to forward such communication to the intended recipient or recipients. Messages</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5"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received with such a request will be forwarded to the appropriate director or directors. If the communication is addressed to the Presiding Director, the communication will be forwarded directly to the Presiding Director and will not be processed by the Corporate Secretary. If no particular director is named, letters will be forwarded, depending upon the subject matter, to the Chair of the Audit, Compensation, or Nominating and Corporate Governance Committee, as the Corporate Secretary deems appropriate or necessary.</w:t>
      </w:r>
    </w:p>
    <w:p>
      <w:pPr>
        <w:spacing w:after="0" w:line="3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751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5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During 2018, the Board held 16 meetings and additionally took action on three occasions by unanimous written consent. Each of our directors attended, in person or by telephone, at least 75% of the total number of meetings of both the Board of Directors and Board committees on which such director served during the period. Under our Corporate Governance Guidelines, each of our directors is strongly encouraged to make every effort to attend our annual meetings. At the time of our 2018 Annual Meeting, we had five directors, four of whom attended the 2018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Executive sessions of our independent directors are generally held in connection with regularly scheduled Board meetings and are chaired by our Presiding Director. Our standing committees also generally meet in executive sessions at the end of each committee meeting.</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751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54"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In 2018, our Board had three standing committees: an Audit Committee, a Compensation Committee, and a Nominating and Corporate Governance Committee. These committees currently comprise the following independent members:</w:t>
      </w:r>
    </w:p>
    <w:p>
      <w:pPr>
        <w:spacing w:after="0" w:line="346"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Nominating and</w:t>
            </w:r>
          </w:p>
        </w:tc>
      </w:tr>
      <w:tr>
        <w:trPr>
          <w:trHeight w:val="176"/>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r>
      <w:tr>
        <w:trPr>
          <w:trHeight w:val="176"/>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Audit</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r>
      <w:tr>
        <w:trPr>
          <w:trHeight w:val="210"/>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Committee</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Committee</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Committee</w:t>
            </w:r>
          </w:p>
        </w:tc>
      </w:tr>
      <w:tr>
        <w:trPr>
          <w:trHeight w:val="27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Jeff Epstein</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r>
      <w:tr>
        <w:trPr>
          <w:trHeight w:val="26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Thomas R. Evans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ü</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ü</w:t>
            </w:r>
          </w:p>
        </w:tc>
        <w:tc>
          <w:tcPr>
            <w:tcW w:w="1140" w:type="dxa"/>
            <w:vAlign w:val="bottom"/>
          </w:tcPr>
          <w:p>
            <w:pPr>
              <w:spacing w:after="0"/>
              <w:rPr>
                <w:sz w:val="22"/>
                <w:szCs w:val="22"/>
                <w:color w:val="auto"/>
              </w:rPr>
            </w:pPr>
          </w:p>
        </w:tc>
      </w:tr>
      <w:tr>
        <w:trPr>
          <w:trHeight w:val="277"/>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Paul J. Hennessy</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ü</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ü</w:t>
            </w:r>
          </w:p>
        </w:tc>
        <w:tc>
          <w:tcPr>
            <w:tcW w:w="1140" w:type="dxa"/>
            <w:vAlign w:val="bottom"/>
            <w:shd w:val="clear" w:color="auto" w:fill="CCEEFF"/>
          </w:tcPr>
          <w:p>
            <w:pPr>
              <w:spacing w:after="0"/>
              <w:rPr>
                <w:sz w:val="24"/>
                <w:szCs w:val="24"/>
                <w:color w:val="auto"/>
              </w:rPr>
            </w:pPr>
          </w:p>
        </w:tc>
      </w:tr>
      <w:tr>
        <w:trPr>
          <w:trHeight w:val="264"/>
        </w:trPr>
        <w:tc>
          <w:tcPr>
            <w:tcW w:w="5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Deirdre Bigley</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r>
      <w:tr>
        <w:trPr>
          <w:trHeight w:val="204"/>
        </w:trPr>
        <w:tc>
          <w:tcPr>
            <w:tcW w:w="5740" w:type="dxa"/>
            <w:vAlign w:val="bottom"/>
            <w:gridSpan w:val="2"/>
          </w:tcPr>
          <w:p>
            <w:pPr>
              <w:ind w:left="620"/>
              <w:spacing w:after="0"/>
              <w:rPr>
                <w:sz w:val="20"/>
                <w:szCs w:val="20"/>
                <w:color w:val="auto"/>
              </w:rPr>
            </w:pPr>
            <w:r>
              <w:rPr>
                <w:rFonts w:ascii="Arial" w:cs="Arial" w:eastAsia="Arial" w:hAnsi="Arial"/>
                <w:sz w:val="14"/>
                <w:szCs w:val="14"/>
                <w:color w:val="auto"/>
              </w:rPr>
              <w:t>Committee Chairperson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-755015</wp:posOffset>
            </wp:positionV>
            <wp:extent cx="77470" cy="8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572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-583565</wp:posOffset>
            </wp:positionV>
            <wp:extent cx="77470"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572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-240665</wp:posOffset>
            </wp:positionV>
            <wp:extent cx="77470"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572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-94615</wp:posOffset>
            </wp:positionV>
            <wp:extent cx="77470" cy="85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5725"/>
                    </a:xfrm>
                    <a:prstGeom prst="rect">
                      <a:avLst/>
                    </a:prstGeom>
                    <a:noFill/>
                  </pic:spPr>
                </pic:pic>
              </a:graphicData>
            </a:graphic>
          </wp:anchor>
        </w:drawing>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Each of our standing committees has a written charter approved by the Board that establishes the committee’s roles and responsibilities. Copies of the charters for the Audit Committee, the Compensation Committee, and the Nominating and Corporate Governance Committee can be found on our Investor Relations website at investor.shutterstock.com under the link for “Corporate Governance.” Please note that information on, or that can be accessed through, our website is not part of the proxy soliciting materials, is not deemed “filed” with the SEC and is not to be incorporated by reference into any of our filings under the Securities Act of 1933, as amended (the “Securities Act”), or the Exchange Act, and, except for information filed by the Company under the cover of Schedule 14A, is not deemed to be proxy soliciting materials.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primary purpose of our Audit Committee is to assist the Board in its oversight of our corporate accounting and financial reporting process and internal controls over financial reporting. As more fully described in its charter, the Audit Committee’s responsibilities include:</w:t>
      </w:r>
    </w:p>
    <w:p>
      <w:pPr>
        <w:spacing w:after="0" w:line="196" w:lineRule="exact"/>
        <w:rPr>
          <w:sz w:val="20"/>
          <w:szCs w:val="20"/>
          <w:color w:val="auto"/>
        </w:rPr>
      </w:pPr>
    </w:p>
    <w:p>
      <w:pPr>
        <w:ind w:left="1300" w:right="80" w:hanging="320"/>
        <w:spacing w:after="0" w:line="262"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1300" w:right="260" w:hanging="320"/>
        <w:spacing w:after="0" w:line="262"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88" w:lineRule="exact"/>
        <w:rPr>
          <w:rFonts w:ascii="Arial" w:cs="Arial" w:eastAsia="Arial" w:hAnsi="Arial"/>
          <w:sz w:val="18"/>
          <w:szCs w:val="18"/>
          <w:color w:val="auto"/>
        </w:rPr>
      </w:pPr>
    </w:p>
    <w:p>
      <w:pPr>
        <w:ind w:left="1300" w:right="280" w:hanging="320"/>
        <w:spacing w:after="0" w:line="262"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88" w:lineRule="exact"/>
        <w:rPr>
          <w:rFonts w:ascii="Arial" w:cs="Arial" w:eastAsia="Arial" w:hAnsi="Arial"/>
          <w:sz w:val="18"/>
          <w:szCs w:val="18"/>
          <w:color w:val="auto"/>
        </w:rPr>
      </w:pPr>
    </w:p>
    <w:p>
      <w:pPr>
        <w:ind w:left="1300" w:right="40" w:hanging="320"/>
        <w:spacing w:after="0" w:line="262"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coordinating the Board’s oversight of our internal control over financial reporting, disclosure controls and procedures, and code of business conduct and ethics;</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establishing procedures for the receipt and retention of accounting-related complaints and concerns;</w:t>
      </w:r>
    </w:p>
    <w:p>
      <w:pPr>
        <w:spacing w:after="0" w:line="117" w:lineRule="exact"/>
        <w:rPr>
          <w:rFonts w:ascii="Arial" w:cs="Arial" w:eastAsia="Arial" w:hAnsi="Arial"/>
          <w:sz w:val="18"/>
          <w:szCs w:val="18"/>
          <w:color w:val="auto"/>
        </w:rPr>
      </w:pPr>
    </w:p>
    <w:p>
      <w:pPr>
        <w:ind w:left="1300" w:right="720" w:hanging="320"/>
        <w:spacing w:after="0" w:line="262"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meeting independently with our senior internal audit executive, our independent registered public accounting firm, and management;</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Audit Committee currently consists of Mr. Epstein, who serves as its chairman, Mr. Evans and Mr. Hennessy. The Audit Committee met seven times during 2018. The Board, in its business judgment, has determined that each director serving on the Audit Committee meets the independence criteria prescribed by the Exchange Act and SEC rules and regulations and meets the NYSE’s financial literacy requirements for audit committee members. The Board has also determined that Mr. Epstein qualifies as an audit committee financial expert within the meaning of SEC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4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primary purpose of our Compensation Committee is to assist the Board in overseeing our compensation program. As more fully described in its charter, the Compensation Committee’s responsibilities include:</w:t>
      </w:r>
    </w:p>
    <w:p>
      <w:pPr>
        <w:spacing w:after="0" w:line="19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our general compensation strategy;</w:t>
      </w:r>
    </w:p>
    <w:p>
      <w:pPr>
        <w:spacing w:after="0" w:line="225"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establishing annual and long-term performance goals for our Chief Executive Officer, and evaluating the performance of our Chief Executive Officer in light of those goals and objectives and determining and approving or recommending for approval the compensation of our Chief Executive Officer based on such evaluations;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in consultation with our Chief Executive Officer, the compensation of our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administering our stock plans and any equity compensation arrangements that may be adopted by us from time to time;</w:t>
      </w:r>
    </w:p>
    <w:p>
      <w:pPr>
        <w:spacing w:after="0" w:line="225" w:lineRule="exact"/>
        <w:rPr>
          <w:rFonts w:ascii="Arial" w:cs="Arial" w:eastAsia="Arial" w:hAnsi="Arial"/>
          <w:sz w:val="18"/>
          <w:szCs w:val="18"/>
          <w:color w:val="auto"/>
        </w:rPr>
      </w:pPr>
    </w:p>
    <w:p>
      <w:pPr>
        <w:ind w:left="660" w:right="68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compensation levels for directors for service on our Board and its committees and recommendation changes in such compensation; and</w:t>
      </w:r>
    </w:p>
    <w:p>
      <w:pPr>
        <w:spacing w:after="0" w:line="196"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discussing with management the annual Compensation Discussion and Analysis (“CD&amp;A”) disclosure and related tabular presentations for our named executive officers and, based on this review and discussions, making a recommendation to include the CD&amp;A disclosure in the Company’s annual public filings.</w:t>
      </w:r>
    </w:p>
    <w:p>
      <w:pPr>
        <w:spacing w:after="0" w:line="20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engagement of any compensation consultants, legal counsel or other advisors rests exclusively with our Compensation Committee, which has sole authority to retain and terminate any compensation consultant, counsel or other advisor that it uses.</w:t>
      </w:r>
    </w:p>
    <w:p>
      <w:pPr>
        <w:spacing w:after="0" w:line="1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Compensation Committee currently consists of Ms. Bigley, who serves as its chairperson, Mr. Evans and Mr. Hennessy. The Compensation Committee met five times during 2018 and additionally took action on three (3) occasions by unanimous written consent. The Board, in its business judgment, has determined that each director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serving on the Compensation Committee meets the independence requirements prescribed by the NYSE and is a “non-employee director” for purposes of the Exchange Act and an “outside director” for purposes of Section 162(m) of the Internal Revenue Code.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primary purposes of our Nominating and Corporate Governance Committee are to assist our Board in identifying individuals qualified to become members of our Board, to oversee the evaluation of our Board and management and to review and update our corporate governance principles. As more fully described in its charter, the Nominating and Corporate Governance Committee’s responsibilities include:</w:t>
      </w:r>
    </w:p>
    <w:p>
      <w:pPr>
        <w:spacing w:after="0" w:line="20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developing and recommending a set of corporate governance principles to our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evaluating the composition, size, organization and governance of our Board and its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reviewing and recommending to our Board director independence determinations with respect to continuing and prospective directors;</w:t>
      </w:r>
    </w:p>
    <w:p>
      <w:pPr>
        <w:spacing w:after="0" w:line="236" w:lineRule="exact"/>
        <w:rPr>
          <w:rFonts w:ascii="Arial" w:cs="Arial" w:eastAsia="Arial" w:hAnsi="Arial"/>
          <w:sz w:val="17"/>
          <w:szCs w:val="17"/>
          <w:color w:val="auto"/>
        </w:rPr>
      </w:pPr>
    </w:p>
    <w:p>
      <w:pPr>
        <w:ind w:left="660" w:right="34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identifying, evaluating and recommending candidates for election to our Board in the class subject to election; including nominees recommended by our stockholders; and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overseeing our Board and Board committee’s performance and self-evaluation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 currently consists of Mr. Evans, who serves as its chairperson, Ms. Bigley and</w:t>
      </w:r>
    </w:p>
    <w:p>
      <w:pPr>
        <w:spacing w:after="0" w:line="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Mr. Epstein. The Nominating and Corporate Governance Committee met two (2) times during 2018. The Board, in its business judgment, has determined that each director serving on the Nominating and Corporate Governance Committee meets the independence requirements prescribed by the NYSE.</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751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members of our Compensation Committee during 2018 were as follows: Deirdre Bigley, Thomas R. Evans and Paul J. Hennessy. Each of the members of our Compensation Committee during 2018 is or was a non-employee director and was never an officer or employee of the Company or any of its subsidiaries. None of our executive officers currently serves, or in the past has served, as a member of the board of directors or compensation committee of any entity that has one or more executive officers serving on our Board or on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125"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EE2724"/>
        </w:rPr>
        <w:t>PROPOSAL ONE: ELECTION OF DIRECTOR</w:t>
      </w:r>
    </w:p>
    <w:p>
      <w:pPr>
        <w:spacing w:after="0" w:line="25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Board is divided into three classes. Directors are elected by class, for three-year terms. The Nominating and Corporate Governance Committee recommended, and the Board has nominated the Class I director, Jonathan Oringer, as nominee for election as a member of our Board at the 2019 Annual Meeting.</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Mr. Oringer has agreed to serve as a director of the Company if elected. The term of office of a director elected at this 2019 Annual Meeting will continue until the Annual Meeting of Stockholders held in 2022 or until such director’s successor has been duly elected and qualified, or until such director’s earlier resignation or removal.</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Unless otherwise instructed, the persons appointed in the accompanying form of proxy will vote the proxies received by them for Mr. Oringer, who is presently a director of the Company. In the event that Mr. Oringer becomes unavailable or unwilling to serve as a member of our Board, the proxy holders will vote in their discretion for a substitute nominee, or if a substitute nominee cannot be identified, the Board may reduce the size of the Board.</w:t>
      </w:r>
    </w:p>
    <w:p>
      <w:pPr>
        <w:spacing w:after="0" w:line="204" w:lineRule="exact"/>
        <w:rPr>
          <w:sz w:val="20"/>
          <w:szCs w:val="20"/>
          <w:color w:val="auto"/>
        </w:rPr>
      </w:pPr>
    </w:p>
    <w:p>
      <w:pPr>
        <w:jc w:val="both"/>
        <w:ind w:right="6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 table below summarizes the key qualifications, skills or attributes of the director nominee standing for election at the 2019 Annual Meeting, which we believe qualifies him to serve on our Board. For additional information regarding our Board members, including our director nominee standing for election at the 2019 Annual Meeting, please refer to the biographies set forth under “Directors and Executive Officers” on page </w:t>
      </w:r>
      <w:hyperlink w:anchor="page12">
        <w:r>
          <w:rPr>
            <w:rFonts w:ascii="Arial" w:cs="Arial" w:eastAsia="Arial" w:hAnsi="Arial"/>
            <w:sz w:val="18"/>
            <w:szCs w:val="18"/>
            <w:u w:val="single" w:color="auto"/>
            <w:color w:val="0000EE"/>
          </w:rPr>
          <w:t>9</w:t>
        </w:r>
      </w:hyperlink>
      <w:r>
        <w:rPr>
          <w:rFonts w:ascii="Arial" w:cs="Arial" w:eastAsia="Arial" w:hAnsi="Arial"/>
          <w:sz w:val="18"/>
          <w:szCs w:val="18"/>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Director</w:t>
            </w:r>
          </w:p>
        </w:tc>
        <w:tc>
          <w:tcPr>
            <w:tcW w:w="95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Qualifications</w:t>
            </w:r>
          </w:p>
        </w:tc>
      </w:tr>
      <w:tr>
        <w:trPr>
          <w:trHeight w:val="229"/>
        </w:trPr>
        <w:tc>
          <w:tcPr>
            <w:tcW w:w="1880" w:type="dxa"/>
            <w:vAlign w:val="bottom"/>
          </w:tcPr>
          <w:p>
            <w:pPr>
              <w:ind w:left="40"/>
              <w:spacing w:after="0"/>
              <w:rPr>
                <w:sz w:val="20"/>
                <w:szCs w:val="20"/>
                <w:color w:val="auto"/>
              </w:rPr>
            </w:pPr>
            <w:r>
              <w:rPr>
                <w:rFonts w:ascii="Arial" w:cs="Arial" w:eastAsia="Arial" w:hAnsi="Arial"/>
                <w:sz w:val="18"/>
                <w:szCs w:val="18"/>
                <w:color w:val="auto"/>
              </w:rPr>
              <w:t>Jonathan Oringer</w:t>
            </w:r>
          </w:p>
        </w:tc>
        <w:tc>
          <w:tcPr>
            <w:tcW w:w="9540" w:type="dxa"/>
            <w:vAlign w:val="bottom"/>
          </w:tcPr>
          <w:p>
            <w:pPr>
              <w:ind w:left="440"/>
              <w:spacing w:after="0"/>
              <w:rPr>
                <w:sz w:val="20"/>
                <w:szCs w:val="20"/>
                <w:color w:val="auto"/>
              </w:rPr>
            </w:pPr>
            <w:r>
              <w:rPr>
                <w:rFonts w:ascii="Arial" w:cs="Arial" w:eastAsia="Arial" w:hAnsi="Arial"/>
                <w:sz w:val="18"/>
                <w:szCs w:val="18"/>
                <w:color w:val="auto"/>
              </w:rPr>
              <w:t>Extensive experience in the commercial digital imagery industry, experience with entrepreneurial and technology</w:t>
            </w:r>
          </w:p>
        </w:tc>
      </w:tr>
      <w:tr>
        <w:trPr>
          <w:trHeight w:val="217"/>
        </w:trPr>
        <w:tc>
          <w:tcPr>
            <w:tcW w:w="1880" w:type="dxa"/>
            <w:vAlign w:val="bottom"/>
          </w:tcPr>
          <w:p>
            <w:pPr>
              <w:spacing w:after="0"/>
              <w:rPr>
                <w:sz w:val="18"/>
                <w:szCs w:val="18"/>
                <w:color w:val="auto"/>
              </w:rPr>
            </w:pPr>
          </w:p>
        </w:tc>
        <w:tc>
          <w:tcPr>
            <w:tcW w:w="9540" w:type="dxa"/>
            <w:vAlign w:val="bottom"/>
          </w:tcPr>
          <w:p>
            <w:pPr>
              <w:ind w:left="440"/>
              <w:spacing w:after="0"/>
              <w:rPr>
                <w:sz w:val="20"/>
                <w:szCs w:val="20"/>
                <w:color w:val="auto"/>
              </w:rPr>
            </w:pPr>
            <w:r>
              <w:rPr>
                <w:rFonts w:ascii="Arial" w:cs="Arial" w:eastAsia="Arial" w:hAnsi="Arial"/>
                <w:sz w:val="18"/>
                <w:szCs w:val="18"/>
                <w:color w:val="auto"/>
              </w:rPr>
              <w:t>companies and extensive knowledge of the Company as its founder.</w:t>
            </w:r>
          </w:p>
        </w:tc>
      </w:tr>
    </w:tbl>
    <w:p>
      <w:pPr>
        <w:spacing w:after="0" w:line="200" w:lineRule="exact"/>
        <w:rPr>
          <w:sz w:val="20"/>
          <w:szCs w:val="20"/>
          <w:color w:val="auto"/>
        </w:rPr>
      </w:pP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 plurality of the votes cast in the election of directors is required to elect a nominee to our Board. The Board has adopted a director resignation policy, pursuant to which any nominee for director who, in an uncontested election, has more votes “WITHHELD” than “FOR” his or her election is expected to promptly tender his or her resignation for consideration by the Nominating and Corporate Governance Committee and subsequently by the Board. Our director resignation policy is incorporated into our Corporate Governance Guidelines, a copy of which can be found through the “Corporate Governance” link on our Investor Relations page at investor.shutterstock.com.</w:t>
      </w:r>
    </w:p>
    <w:p>
      <w:pPr>
        <w:spacing w:after="0" w:line="187" w:lineRule="exact"/>
        <w:rPr>
          <w:sz w:val="20"/>
          <w:szCs w:val="20"/>
          <w:color w:val="auto"/>
        </w:rPr>
      </w:pPr>
    </w:p>
    <w:p>
      <w:pPr>
        <w:jc w:val="center"/>
        <w:spacing w:after="0" w:line="274" w:lineRule="auto"/>
        <w:rPr>
          <w:sz w:val="20"/>
          <w:szCs w:val="20"/>
          <w:color w:val="auto"/>
        </w:rPr>
      </w:pPr>
      <w:r>
        <w:rPr>
          <w:rFonts w:ascii="Arial" w:cs="Arial" w:eastAsia="Arial" w:hAnsi="Arial"/>
          <w:sz w:val="22"/>
          <w:szCs w:val="22"/>
          <w:b w:val="1"/>
          <w:bCs w:val="1"/>
          <w:color w:val="EE2724"/>
        </w:rPr>
        <w:t>OUR BOARD UNANIMOUSLY RECOMMENDS A VOTE “FOR” THE ELECTION OF THE NOMINEE FOR DIRECTOR NAMED ABOVE.</w:t>
      </w:r>
    </w:p>
    <w:p>
      <w:pPr>
        <w:spacing w:after="0" w:line="17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key qualifications, skills or attributes of the members of the Board whose terms or directorships do not expire at the 2019 Annual Meeting are set forth below.</w:t>
      </w:r>
    </w:p>
    <w:p>
      <w:pPr>
        <w:spacing w:after="0" w:line="336"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18"/>
          <w:szCs w:val="18"/>
          <w:b w:val="1"/>
          <w:bCs w:val="1"/>
          <w:color w:val="auto"/>
        </w:rPr>
        <w:t>Director</w:t>
      </w:r>
      <w:r>
        <w:rPr>
          <w:sz w:val="20"/>
          <w:szCs w:val="20"/>
          <w:color w:val="auto"/>
        </w:rPr>
        <w:tab/>
      </w:r>
      <w:r>
        <w:rPr>
          <w:rFonts w:ascii="Arial" w:cs="Arial" w:eastAsia="Arial" w:hAnsi="Arial"/>
          <w:sz w:val="18"/>
          <w:szCs w:val="18"/>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Deirdre Bigley</w:t>
      </w:r>
    </w:p>
    <w:p>
      <w:pPr>
        <w:spacing w:after="0" w:line="1" w:lineRule="exact"/>
        <w:rPr>
          <w:sz w:val="20"/>
          <w:szCs w:val="20"/>
          <w:color w:val="auto"/>
        </w:rPr>
      </w:pPr>
    </w:p>
    <w:p>
      <w:pPr>
        <w:ind w:left="40"/>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term expiring at 2020 Annual</w:t>
      </w:r>
      <w:r>
        <w:rPr>
          <w:rFonts w:ascii="Arial" w:cs="Arial" w:eastAsia="Arial" w:hAnsi="Arial"/>
          <w:sz w:val="14"/>
          <w:szCs w:val="14"/>
          <w:color w:val="auto"/>
        </w:rPr>
        <w:t xml:space="preserve"> </w:t>
      </w:r>
      <w:r>
        <w:rPr>
          <w:rFonts w:ascii="Arial" w:cs="Arial" w:eastAsia="Arial" w:hAnsi="Arial"/>
          <w:sz w:val="14"/>
          <w:szCs w:val="14"/>
          <w:i w:val="1"/>
          <w:iCs w:val="1"/>
          <w:color w:val="auto"/>
        </w:rPr>
        <w:t>Meeting)</w:t>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 Epstein</w:t>
      </w:r>
    </w:p>
    <w:p>
      <w:pPr>
        <w:spacing w:after="0" w:line="1" w:lineRule="exact"/>
        <w:rPr>
          <w:sz w:val="20"/>
          <w:szCs w:val="20"/>
          <w:color w:val="auto"/>
        </w:rPr>
      </w:pPr>
    </w:p>
    <w:p>
      <w:pPr>
        <w:ind w:left="40"/>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term expiring at 2020 Annual</w:t>
      </w:r>
      <w:r>
        <w:rPr>
          <w:rFonts w:ascii="Arial" w:cs="Arial" w:eastAsia="Arial" w:hAnsi="Arial"/>
          <w:sz w:val="14"/>
          <w:szCs w:val="14"/>
          <w:color w:val="auto"/>
        </w:rPr>
        <w:t xml:space="preserve"> </w:t>
      </w:r>
      <w:r>
        <w:rPr>
          <w:rFonts w:ascii="Arial" w:cs="Arial" w:eastAsia="Arial" w:hAnsi="Arial"/>
          <w:sz w:val="14"/>
          <w:szCs w:val="14"/>
          <w:i w:val="1"/>
          <w:iCs w:val="1"/>
          <w:color w:val="auto"/>
        </w:rPr>
        <w:t>Meeting)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R. Evans</w:t>
      </w:r>
    </w:p>
    <w:p>
      <w:pPr>
        <w:spacing w:after="0" w:line="1" w:lineRule="exact"/>
        <w:rPr>
          <w:sz w:val="20"/>
          <w:szCs w:val="20"/>
          <w:color w:val="auto"/>
        </w:rPr>
      </w:pPr>
    </w:p>
    <w:p>
      <w:pPr>
        <w:ind w:left="40"/>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term expiring at 2021 Annual</w:t>
      </w:r>
      <w:r>
        <w:rPr>
          <w:rFonts w:ascii="Arial" w:cs="Arial" w:eastAsia="Arial" w:hAnsi="Arial"/>
          <w:sz w:val="14"/>
          <w:szCs w:val="14"/>
          <w:color w:val="auto"/>
        </w:rPr>
        <w:t xml:space="preserve"> </w:t>
      </w:r>
      <w:r>
        <w:rPr>
          <w:rFonts w:ascii="Arial" w:cs="Arial" w:eastAsia="Arial" w:hAnsi="Arial"/>
          <w:sz w:val="14"/>
          <w:szCs w:val="14"/>
          <w:i w:val="1"/>
          <w:iCs w:val="1"/>
          <w:color w:val="auto"/>
        </w:rPr>
        <w:t>Meeting)</w:t>
      </w: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J. Hennessy</w:t>
      </w:r>
    </w:p>
    <w:p>
      <w:pPr>
        <w:spacing w:after="0" w:line="1" w:lineRule="exact"/>
        <w:rPr>
          <w:sz w:val="20"/>
          <w:szCs w:val="20"/>
          <w:color w:val="auto"/>
        </w:rPr>
      </w:pPr>
    </w:p>
    <w:p>
      <w:pPr>
        <w:ind w:left="40"/>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term expiring at 2021 Annual</w:t>
      </w:r>
      <w:r>
        <w:rPr>
          <w:rFonts w:ascii="Arial" w:cs="Arial" w:eastAsia="Arial" w:hAnsi="Arial"/>
          <w:sz w:val="14"/>
          <w:szCs w:val="14"/>
          <w:color w:val="auto"/>
        </w:rPr>
        <w:t xml:space="preserve"> </w:t>
      </w:r>
      <w:r>
        <w:rPr>
          <w:rFonts w:ascii="Arial" w:cs="Arial" w:eastAsia="Arial" w:hAnsi="Arial"/>
          <w:sz w:val="14"/>
          <w:szCs w:val="14"/>
          <w:i w:val="1"/>
          <w:iCs w:val="1"/>
          <w:color w:val="auto"/>
        </w:rPr>
        <w:t>Meeting)</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560"/>
        <w:spacing w:after="0"/>
        <w:rPr>
          <w:sz w:val="20"/>
          <w:szCs w:val="20"/>
          <w:color w:val="auto"/>
        </w:rPr>
      </w:pPr>
      <w:r>
        <w:rPr>
          <w:rFonts w:ascii="Arial" w:cs="Arial" w:eastAsia="Arial" w:hAnsi="Arial"/>
          <w:sz w:val="18"/>
          <w:szCs w:val="18"/>
          <w:color w:val="auto"/>
        </w:rPr>
        <w:t>Extensive experience working at multinational corporations with teams across a range of products and significant business and operational experience, particularly as a senior marketing executive at media and technology companies.</w:t>
      </w:r>
    </w:p>
    <w:p>
      <w:pPr>
        <w:spacing w:after="0" w:line="200" w:lineRule="exact"/>
        <w:rPr>
          <w:sz w:val="20"/>
          <w:szCs w:val="20"/>
          <w:color w:val="auto"/>
        </w:rPr>
      </w:pPr>
    </w:p>
    <w:p>
      <w:pPr>
        <w:spacing w:after="0" w:line="21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Extensive financial and business expertise, including background as chief financial officer of the world’s largest enterprise software company, and service as a senior executive at companies in the internet and advertising industries.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Breadth of business experience, particularly as a senior executive in internet and media industries, and service on the board of directors of public companies; valuable insight into operational strategy and execution.</w:t>
      </w:r>
    </w:p>
    <w:p>
      <w:pPr>
        <w:spacing w:after="0" w:line="400" w:lineRule="exact"/>
        <w:rPr>
          <w:sz w:val="20"/>
          <w:szCs w:val="20"/>
          <w:color w:val="auto"/>
        </w:rPr>
      </w:pPr>
    </w:p>
    <w:p>
      <w:pPr>
        <w:jc w:val="both"/>
        <w:ind w:right="740"/>
        <w:spacing w:after="0"/>
        <w:rPr>
          <w:sz w:val="20"/>
          <w:szCs w:val="20"/>
          <w:color w:val="auto"/>
        </w:rPr>
      </w:pPr>
      <w:r>
        <w:rPr>
          <w:rFonts w:ascii="Arial" w:cs="Arial" w:eastAsia="Arial" w:hAnsi="Arial"/>
          <w:sz w:val="18"/>
          <w:szCs w:val="18"/>
          <w:color w:val="auto"/>
        </w:rPr>
        <w:t>Extensive global marketing and management experience as well as domestic and international start-up experience, particularly as a senior executive with online marketing experience in the internet and travel industries.</w:t>
      </w:r>
    </w:p>
    <w:p>
      <w:pPr>
        <w:spacing w:after="0" w:line="200" w:lineRule="exact"/>
        <w:rPr>
          <w:sz w:val="20"/>
          <w:szCs w:val="20"/>
          <w:color w:val="auto"/>
        </w:rPr>
      </w:pPr>
    </w:p>
    <w:p>
      <w:pPr>
        <w:sectPr>
          <w:pgSz w:w="11900" w:h="16838" w:orient="portrait"/>
          <w:cols w:equalWidth="0" w:num="2">
            <w:col w:w="1920" w:space="520"/>
            <w:col w:w="8980"/>
          </w:cols>
          <w:pgMar w:left="240" w:top="125" w:right="239" w:bottom="1440" w:gutter="0" w:footer="0" w:header="0"/>
          <w:type w:val="continuous"/>
        </w:sect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EE2724"/>
        </w:rPr>
        <w:t>DIRECTOR COMPENSATION</w:t>
      </w:r>
    </w:p>
    <w:p>
      <w:pPr>
        <w:spacing w:after="0" w:line="25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Compensation Committee reviews director compensation periodically and recommends changes to the Board, when it deems appropriate, taking into account various factors, including the responsibilities of directors generally and the responsibilities of committee chairs, and the Company’s performance, and based on market information provided by Aon Hewitt, an independent compensation consulting firm. The Board reviews the recommendations of the Compensation Committee and determines the form and amount of director compensation. Directors who also serve as employees of the Company do not receive payment for services as a director.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Non-Employee Director Compensation Policy</w:t>
      </w:r>
    </w:p>
    <w:p>
      <w:pPr>
        <w:spacing w:after="0" w:line="238"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 December 2018, our Compensation Committee recommended, and our Board approved, a revised non-employee director compensation policy, or the director compensation policy, which establishes compensation to be paid to our non-employee directors as an inducement to obtain and retain the services of qualified persons to serve as members of our Board. The revised director compensation policy became effective on January 1, 2019.</w:t>
      </w:r>
    </w:p>
    <w:p>
      <w:pPr>
        <w:spacing w:after="0" w:line="2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goal of the director compensation policy is to provide compensation for our non-employee directors in a manner that enables us to attract and retain outstanding director candidates and reflects the substantial time commitment necessary to oversee the Company’s affairs. The director compensation policy is also intended to align the interests of our directors and our stockholders, and we have chosen to do so by compensating our non-employee directors with a mix of cash and equity-based compensation.</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the director compensation policy, each of our non-employee directors receives an annual fee of $ 50,000. In addition, the chairperson and members of our Audit, Compensation, and Nominating and Corporate Governance Committees are entitled to receive annual retainer fees payable quarterly in arrears (and prorated in the event of service less than an entire quarter) as follows:</w:t>
      </w:r>
    </w:p>
    <w:p>
      <w:pPr>
        <w:spacing w:after="0" w:line="352" w:lineRule="exact"/>
        <w:rPr>
          <w:sz w:val="20"/>
          <w:szCs w:val="20"/>
          <w:color w:val="auto"/>
        </w:rPr>
      </w:pPr>
    </w:p>
    <w:tbl>
      <w:tblPr>
        <w:tblLayout w:type="fixed"/>
        <w:tblInd w:w="1220" w:type="dxa"/>
        <w:tblCellMar>
          <w:top w:w="0" w:type="dxa"/>
          <w:left w:w="0" w:type="dxa"/>
          <w:bottom w:w="0" w:type="dxa"/>
          <w:right w:w="0" w:type="dxa"/>
        </w:tblCellMar>
      </w:tblPr>
      <w:tr>
        <w:trPr>
          <w:trHeight w:val="176"/>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Annual Fees-</w:t>
            </w:r>
          </w:p>
        </w:tc>
        <w:tc>
          <w:tcPr>
            <w:tcW w:w="1440" w:type="dxa"/>
            <w:vAlign w:val="bottom"/>
          </w:tcPr>
          <w:p>
            <w:pPr>
              <w:jc w:val="right"/>
              <w:ind w:right="197"/>
              <w:spacing w:after="0"/>
              <w:rPr>
                <w:sz w:val="20"/>
                <w:szCs w:val="20"/>
                <w:color w:val="auto"/>
              </w:rPr>
            </w:pPr>
            <w:r>
              <w:rPr>
                <w:rFonts w:ascii="Arial" w:cs="Arial" w:eastAsia="Arial" w:hAnsi="Arial"/>
                <w:sz w:val="14"/>
                <w:szCs w:val="14"/>
                <w:b w:val="1"/>
                <w:bCs w:val="1"/>
                <w:color w:val="auto"/>
              </w:rPr>
              <w:t>Annual Fees-</w:t>
            </w:r>
          </w:p>
        </w:tc>
      </w:tr>
      <w:tr>
        <w:trPr>
          <w:trHeight w:val="21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Role</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Chairperson ($)</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Other Members ($)</w:t>
            </w:r>
          </w:p>
        </w:tc>
      </w:tr>
      <w:tr>
        <w:trPr>
          <w:trHeight w:val="25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Audit Committee</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6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Compensation Committee</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7"/>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215"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In addition to the annual cash retainer, the independent director who serves as the Lead Independent Director or Presiding Director, as applicable, shall be entitled to an additional annual cash retainer in the amount of $10,000.</w:t>
      </w:r>
    </w:p>
    <w:p>
      <w:pPr>
        <w:spacing w:after="0" w:line="200" w:lineRule="exact"/>
        <w:rPr>
          <w:sz w:val="20"/>
          <w:szCs w:val="20"/>
          <w:color w:val="auto"/>
        </w:rPr>
      </w:pPr>
    </w:p>
    <w:p>
      <w:pPr>
        <w:spacing w:after="0" w:line="21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We also reimburse our non-employee directors for reasonable travel expenses and other out-of-pocket costs incurred in connection with attending Board and committee meetings.</w:t>
      </w:r>
    </w:p>
    <w:p>
      <w:pPr>
        <w:spacing w:after="0" w:line="19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Pursuant to our director compensation policy, each non-employee director receives a restricted stock unit (“RSU”) award with a cash value equal to $150,000 upon election and annually thereafter, with the grant date of such annual award to be the date of our annual meeting of stockholders. These RSUs vest on the earlier of (i) the one-year anniversary of the date of grant and (ii) the date immediately preceding the date of our annual meeting of stockholders for the year following the year of grant for the award, subject in each case to the non-employee director’s continued service to the Company through the vesting date. If a non-employee director is appointed to the Board at any point other than at the annual meeting of stockholders, the initial director grant is prorated.</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number of RSUs subject to the grant is determined by dividing the cash value of the award by the average of our closing price for a share of our Common Stock during the 30 trading-day period ending on the date immediately prior to the grant date, rounded down to the nearest whole number of shares. These RSU grants are issued pursuant to and are subject to the terms and conditions of our Amended and Restated 2012 Plan and the terms of the RSU agreements entered into between each non-employee director and the Company. Furthermore, the vesting for any equity awards to our non-employee directors terminate, and all such awards shall become fully vested, upon a change in control of the Company.</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also provides our non-employee directors the option to elect to defer the settlement of the vested shares subject to their RSU grants to be issued on the earliest of a fixed date in the future or the date of the non-employee director’s separation from service, and the date of a change in control of the Company.</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Amended and Restated 2012 Omnibus Equity Incentive Plan (the “Amended and Restated 2012 Plan”), limits the maximum aggregate value of awards granted under the Amended and Restated 2012 Plan (based on their grant date fair value for financial reporting purposes) and cash payable to any individual non-employee director in any fiscal year to $ 750,000, subject to extraordinary circumstances, at the recommendation of the Board. The Board believes this is a meaningful limit on total director compensation and as set forth in our Director Compensation Table below and described above, the actual amounts paid to our non-employee directors are lower than the limit.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Director Compensation Table</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table provides information on the amount of compensation received by our non-employee directors for the year ended December 31, 2018. Information regarding the compensation of Mr. Oringer, who served as our Chief Executive Officer as well as a member of our Board, is set forth in the Summary Compensation Table included elsewhere in this proxy statement.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Fees Earned</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or Paid in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Stock</w:t>
            </w:r>
          </w:p>
        </w:tc>
        <w:tc>
          <w:tcPr>
            <w:tcW w:w="1140" w:type="dxa"/>
            <w:vAlign w:val="bottom"/>
          </w:tcPr>
          <w:p>
            <w:pPr>
              <w:spacing w:after="0"/>
              <w:rPr>
                <w:sz w:val="15"/>
                <w:szCs w:val="15"/>
                <w:color w:val="auto"/>
              </w:rPr>
            </w:pPr>
          </w:p>
        </w:tc>
      </w:tr>
      <w:tr>
        <w:trPr>
          <w:trHeight w:val="216"/>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Cash ($)</w:t>
            </w:r>
            <w:r>
              <w:rPr>
                <w:rFonts w:ascii="Arial" w:cs="Arial" w:eastAsia="Arial" w:hAnsi="Arial"/>
                <w:sz w:val="17"/>
                <w:szCs w:val="17"/>
                <w:b w:val="1"/>
                <w:bCs w:val="1"/>
                <w:color w:val="auto"/>
                <w:w w:val="98"/>
                <w:vertAlign w:val="superscript"/>
              </w:rPr>
              <w:t>(1)</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17"/>
                <w:szCs w:val="17"/>
                <w:b w:val="1"/>
                <w:bCs w:val="1"/>
                <w:color w:val="auto"/>
                <w:vertAlign w:val="superscript"/>
              </w:rPr>
              <w:t>(2)</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Total ($)</w:t>
            </w:r>
          </w:p>
        </w:tc>
      </w:tr>
      <w:tr>
        <w:trPr>
          <w:trHeight w:val="294"/>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Deirdre Bigley</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159,949</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219,949</w:t>
            </w:r>
          </w:p>
        </w:tc>
      </w:tr>
      <w:tr>
        <w:trPr>
          <w:trHeight w:val="365"/>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Jeff Epstein</w:t>
            </w:r>
            <w:r>
              <w:rPr>
                <w:rFonts w:ascii="Arial" w:cs="Arial" w:eastAsia="Arial" w:hAnsi="Arial"/>
                <w:sz w:val="21"/>
                <w:szCs w:val="21"/>
                <w:color w:val="auto"/>
                <w:vertAlign w:val="superscript"/>
              </w:rPr>
              <w:t>(4)</w:t>
            </w:r>
          </w:p>
        </w:tc>
        <w:tc>
          <w:tcPr>
            <w:tcW w:w="1240" w:type="dxa"/>
            <w:vAlign w:val="bottom"/>
          </w:tcPr>
          <w:p>
            <w:pPr>
              <w:jc w:val="center"/>
              <w:spacing w:after="0"/>
              <w:rPr>
                <w:sz w:val="20"/>
                <w:szCs w:val="20"/>
                <w:color w:val="auto"/>
              </w:rPr>
            </w:pPr>
            <w:r>
              <w:rPr>
                <w:rFonts w:ascii="Arial" w:cs="Arial" w:eastAsia="Arial" w:hAnsi="Arial"/>
                <w:sz w:val="18"/>
                <w:szCs w:val="18"/>
                <w:color w:val="auto"/>
              </w:rPr>
              <w:t>72,500</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159,949</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232,449</w:t>
            </w:r>
          </w:p>
        </w:tc>
      </w:tr>
      <w:tr>
        <w:trPr>
          <w:trHeight w:val="365"/>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Thomas R. Evans</w:t>
            </w:r>
            <w:r>
              <w:rPr>
                <w:rFonts w:ascii="Arial" w:cs="Arial" w:eastAsia="Arial" w:hAnsi="Arial"/>
                <w:sz w:val="21"/>
                <w:szCs w:val="21"/>
                <w:color w:val="auto"/>
                <w:vertAlign w:val="superscript"/>
              </w:rPr>
              <w:t>(5)</w:t>
            </w:r>
          </w:p>
        </w:tc>
        <w:tc>
          <w:tcPr>
            <w:tcW w:w="1240" w:type="dxa"/>
            <w:vAlign w:val="bottom"/>
          </w:tcPr>
          <w:p>
            <w:pPr>
              <w:jc w:val="center"/>
              <w:spacing w:after="0"/>
              <w:rPr>
                <w:sz w:val="20"/>
                <w:szCs w:val="20"/>
                <w:color w:val="auto"/>
              </w:rPr>
            </w:pPr>
            <w:r>
              <w:rPr>
                <w:rFonts w:ascii="Arial" w:cs="Arial" w:eastAsia="Arial" w:hAnsi="Arial"/>
                <w:sz w:val="18"/>
                <w:szCs w:val="18"/>
                <w:color w:val="auto"/>
              </w:rPr>
              <w:t>67,500</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159,949</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227,449</w:t>
            </w:r>
          </w:p>
        </w:tc>
      </w:tr>
      <w:tr>
        <w:trPr>
          <w:trHeight w:val="365"/>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Paul J. Hennessy</w:t>
            </w:r>
            <w:r>
              <w:rPr>
                <w:rFonts w:ascii="Arial" w:cs="Arial" w:eastAsia="Arial" w:hAnsi="Arial"/>
                <w:sz w:val="21"/>
                <w:szCs w:val="21"/>
                <w:color w:val="auto"/>
                <w:vertAlign w:val="superscript"/>
              </w:rPr>
              <w:t>(6)</w:t>
            </w:r>
          </w:p>
        </w:tc>
        <w:tc>
          <w:tcPr>
            <w:tcW w:w="1240" w:type="dxa"/>
            <w:vAlign w:val="bottom"/>
          </w:tcPr>
          <w:p>
            <w:pPr>
              <w:jc w:val="center"/>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159,949</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224,949</w:t>
            </w:r>
          </w:p>
        </w:tc>
      </w:tr>
    </w:tbl>
    <w:p>
      <w:pPr>
        <w:spacing w:after="0" w:line="282" w:lineRule="exact"/>
        <w:rPr>
          <w:sz w:val="20"/>
          <w:szCs w:val="20"/>
          <w:color w:val="auto"/>
        </w:rPr>
      </w:pPr>
    </w:p>
    <w:p>
      <w:pPr>
        <w:ind w:left="660" w:right="600" w:hanging="652"/>
        <w:spacing w:after="0" w:line="260"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all fees earned or paid in cash for services as a director, including annual retainer fees, committee chair and membership fees, as applicable.</w:t>
      </w:r>
    </w:p>
    <w:p>
      <w:pPr>
        <w:spacing w:after="0" w:line="33" w:lineRule="exact"/>
        <w:rPr>
          <w:rFonts w:ascii="Arial" w:cs="Arial" w:eastAsia="Arial" w:hAnsi="Arial"/>
          <w:sz w:val="16"/>
          <w:szCs w:val="16"/>
          <w:color w:val="auto"/>
        </w:rPr>
      </w:pPr>
    </w:p>
    <w:p>
      <w:pPr>
        <w:ind w:left="660" w:right="140" w:hanging="652"/>
        <w:spacing w:after="0" w:line="249"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6"/>
          <w:szCs w:val="16"/>
          <w:color w:val="auto"/>
        </w:rPr>
        <w:t>Amounts represent the aggregate grant date fair value of stock awards computed in accordance with Financial Accounting Board Accounting Standards Codification Topic 718, “Compensation — Stock Compensation.” Stock awards reflect a grant of $150,000 of RSUs at the 2018 Annual Meeting of Stockholders, with the number of shares determined by dividing $150,000 by the average of our closing price for a share of our Common Stock during the 30 trading-day period ending on the date immediately prior to the grant date, rounded down to the nearest whole number of shares. Grant date fair value was calculated using the closing price on the grant date of $48.75 per share, which was the closing price of our Common Stock on June 6, 2018.</w:t>
      </w:r>
    </w:p>
    <w:p>
      <w:pPr>
        <w:spacing w:after="0" w:line="43" w:lineRule="exact"/>
        <w:rPr>
          <w:rFonts w:ascii="Arial" w:cs="Arial" w:eastAsia="Arial" w:hAnsi="Arial"/>
          <w:sz w:val="14"/>
          <w:szCs w:val="14"/>
          <w:color w:val="auto"/>
        </w:rPr>
      </w:pPr>
    </w:p>
    <w:p>
      <w:pPr>
        <w:ind w:left="660" w:right="320" w:hanging="652"/>
        <w:spacing w:after="0" w:line="253"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of December 31, 2018, Ms. Bigley had 3,461 RSUs outstanding. Ms. Bigley’s outstanding number of RSUs was increased in August 2018 as a result of the Special Dividend Adjustment. For more information regarding the Special Dividend Adjustment, see “Compensation Discussion and Analysis - Section 3 - Elements of 2018 Compensation - Special Dividend Adjustment” elsewhere in this Proxy Statement.</w:t>
      </w:r>
    </w:p>
    <w:p>
      <w:pPr>
        <w:spacing w:after="0" w:line="39" w:lineRule="exact"/>
        <w:rPr>
          <w:rFonts w:ascii="Arial" w:cs="Arial" w:eastAsia="Arial" w:hAnsi="Arial"/>
          <w:sz w:val="16"/>
          <w:szCs w:val="16"/>
          <w:color w:val="auto"/>
        </w:rPr>
      </w:pPr>
    </w:p>
    <w:p>
      <w:pPr>
        <w:ind w:left="660" w:hanging="652"/>
        <w:spacing w:after="0" w:line="25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of December 31, 2018, Mr. Epstein had stock options to purchase 21,099 shares of Common Stock, all of which are vested, and 3,461 RSUs outstanding. Mr. Epstein’s outstanding number of RSUs and options was increased in August 2018 as a result of the Special Dividend Adjustment. For more information regarding the Special Dividend Adjustment, see “Compensation Discussion and Analysis - Section 3 - Elements of 2018 Compensation - Special Dividend Adjustment” elsewhere in this Proxy Statement.</w:t>
      </w:r>
    </w:p>
    <w:p>
      <w:pPr>
        <w:spacing w:after="0" w:line="40" w:lineRule="exact"/>
        <w:rPr>
          <w:rFonts w:ascii="Arial" w:cs="Arial" w:eastAsia="Arial" w:hAnsi="Arial"/>
          <w:sz w:val="16"/>
          <w:szCs w:val="16"/>
          <w:color w:val="auto"/>
        </w:rPr>
      </w:pPr>
    </w:p>
    <w:p>
      <w:pPr>
        <w:ind w:left="660" w:hanging="652"/>
        <w:spacing w:after="0" w:line="253"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of December 31, 2018, Mr. Evans had 3,461 RSUs outstanding. Mr. Evans’ outstanding number of RSUs was increased in August 2018 as a result of the Special Dividend Adjustment. For more information regarding the Special Dividend Adjustment, see “Compensation Discussion and Analysis - Section 3 - Elements of 2018 Compensation - Special Dividend Adjustment” elsewhere in this Proxy Statement.</w:t>
      </w:r>
    </w:p>
    <w:p>
      <w:pPr>
        <w:spacing w:after="0" w:line="39" w:lineRule="exact"/>
        <w:rPr>
          <w:rFonts w:ascii="Arial" w:cs="Arial" w:eastAsia="Arial" w:hAnsi="Arial"/>
          <w:sz w:val="16"/>
          <w:szCs w:val="16"/>
          <w:color w:val="auto"/>
        </w:rPr>
      </w:pPr>
    </w:p>
    <w:p>
      <w:pPr>
        <w:ind w:left="660" w:right="100" w:hanging="652"/>
        <w:spacing w:after="0" w:line="253"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of December 31, 2018, Mr. Hennessy had 3,461 RSUs outstanding. Mr. Hennessy’s outstanding number of RSUs was increased in August 2018 as a result of the Special Dividend Adjustment. For more information regarding the Special Dividend Adjustment, see “Compensation Discussion and Analysis - Section 3 - Elements of 2018 Compensation - Special Dividend Adjustment” elsewhere in this Proxy Statement.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820"/>
        <w:spacing w:after="0"/>
        <w:rPr>
          <w:sz w:val="20"/>
          <w:szCs w:val="20"/>
          <w:color w:val="auto"/>
        </w:rPr>
      </w:pPr>
      <w:r>
        <w:rPr>
          <w:rFonts w:ascii="Arial" w:cs="Arial" w:eastAsia="Arial" w:hAnsi="Arial"/>
          <w:sz w:val="25"/>
          <w:szCs w:val="25"/>
          <w:b w:val="1"/>
          <w:bCs w:val="1"/>
          <w:color w:val="EE2724"/>
        </w:rPr>
        <w:t>SECURITY OWNERSHIP OF CERTAIN BENEFICIAL OWNERS AND MANAGEMENT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March 29, 2019, regarding the beneficial ownership of our Common Stock by:</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the outstanding shares of any class of our voting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25"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Unless otherwise noted below, the address of each beneficial owner listed in the table below is c/o Shutterstock, Inc., 350 Fifth Avenue, 21st Floor, New York, New York 10118. We have determined beneficial ownership in accordance with the rules of the SEC. Except as indicated by the footnotes below, we believe, based on information furnished to us, that the persons and entities named in the table below have sole voting and investment power with respect to all shares of Common Stock that they beneficially own.</w:t>
      </w:r>
    </w:p>
    <w:p>
      <w:pPr>
        <w:spacing w:after="0" w:line="20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Applicable percentage ownership is based on 35,200,928 shares of Common Stock outstanding as of March 29, 2019. In computing the number of shares of Common Stock beneficially owned by a person and the percentage ownership of that person, we deemed outstanding shares of Common Stock subject to stock options held by that person that are currently exercisable or exercisable within 60 days of March 29, 2019, and Common Stock issuable upon the vesting of RSUs within 60 days of March 29, 2019 to be outstanding (not taking into account the withholding of shares of Common Stock to cover applicable taxes). Further, the number of shares of Common Stock beneficially owned by a person and the percentage ownership of that person reflect the Special Dividend Adjustment with respect to (i) stock options held by that person that are currently exercisable or exercisable within 60 days of March 29, 2019, and (ii) Common Stock issuable upon the vesting of RSUs within 60 days of March 29, 2019. For more information regarding the Special Dividend Adjustment, see “Compensation Discussion and Analysis - Section 3 - Elements of 2018 Compensation - Special Dividend Adjustment” elsewhere in this Proxy Statement. We did not deem options outstanding, however, for purpose of computing the percentage ownership of any other person.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Shares Beneficially Owned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tcPr>
          <w:p>
            <w:pPr>
              <w:spacing w:after="0"/>
              <w:rPr>
                <w:sz w:val="22"/>
                <w:szCs w:val="22"/>
                <w:color w:val="auto"/>
              </w:rPr>
            </w:pPr>
          </w:p>
        </w:tc>
        <w:tc>
          <w:tcPr>
            <w:tcW w:w="16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22"/>
                <w:szCs w:val="22"/>
                <w:color w:val="auto"/>
              </w:rPr>
            </w:pPr>
          </w:p>
        </w:tc>
        <w:tc>
          <w:tcPr>
            <w:tcW w:w="16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Percentage</w:t>
            </w:r>
          </w:p>
        </w:tc>
      </w:tr>
      <w:tr>
        <w:trPr>
          <w:trHeight w:val="256"/>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321"/>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Jonathan Oringer</w:t>
            </w:r>
            <w:r>
              <w:rPr>
                <w:rFonts w:ascii="Arial" w:cs="Arial" w:eastAsia="Arial" w:hAnsi="Arial"/>
                <w:sz w:val="21"/>
                <w:szCs w:val="21"/>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16,354,133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46.2%</w:t>
            </w:r>
          </w:p>
        </w:tc>
      </w:tr>
      <w:tr>
        <w:trPr>
          <w:trHeight w:val="272"/>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Steven Berns</w:t>
            </w:r>
            <w:r>
              <w:rPr>
                <w:rFonts w:ascii="Arial" w:cs="Arial" w:eastAsia="Arial" w:hAnsi="Arial"/>
                <w:sz w:val="21"/>
                <w:szCs w:val="21"/>
                <w:color w:val="auto"/>
                <w:vertAlign w:val="superscript"/>
              </w:rPr>
              <w:t>(2)</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165,721</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Stan Pavlovsky</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21"/>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Lisa Nadler</w:t>
            </w:r>
            <w:r>
              <w:rPr>
                <w:rFonts w:ascii="Arial" w:cs="Arial" w:eastAsia="Arial" w:hAnsi="Arial"/>
                <w:sz w:val="21"/>
                <w:szCs w:val="21"/>
                <w:color w:val="auto"/>
                <w:vertAlign w:val="superscript"/>
              </w:rPr>
              <w:t>(3)</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9,525</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Lou Weiss</w:t>
            </w:r>
            <w:r>
              <w:rPr>
                <w:rFonts w:ascii="Arial" w:cs="Arial" w:eastAsia="Arial" w:hAnsi="Arial"/>
                <w:sz w:val="21"/>
                <w:szCs w:val="21"/>
                <w:color w:val="auto"/>
                <w:vertAlign w:val="superscript"/>
              </w:rPr>
              <w:t>(4)</w:t>
            </w:r>
          </w:p>
        </w:tc>
        <w:tc>
          <w:tcPr>
            <w:tcW w:w="1600" w:type="dxa"/>
            <w:vAlign w:val="bottom"/>
          </w:tcPr>
          <w:p>
            <w:pPr>
              <w:jc w:val="center"/>
              <w:spacing w:after="0"/>
              <w:rPr>
                <w:sz w:val="20"/>
                <w:szCs w:val="20"/>
                <w:color w:val="auto"/>
              </w:rPr>
            </w:pPr>
            <w:r>
              <w:rPr>
                <w:rFonts w:ascii="Arial" w:cs="Arial" w:eastAsia="Arial" w:hAnsi="Arial"/>
                <w:sz w:val="18"/>
                <w:szCs w:val="18"/>
                <w:color w:val="auto"/>
              </w:rPr>
              <w:t>10,888</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Martin Brodbeck</w:t>
            </w:r>
            <w:r>
              <w:rPr>
                <w:rFonts w:ascii="Arial" w:cs="Arial" w:eastAsia="Arial" w:hAnsi="Arial"/>
                <w:sz w:val="21"/>
                <w:szCs w:val="21"/>
                <w:color w:val="auto"/>
                <w:vertAlign w:val="superscript"/>
              </w:rPr>
              <w:t>(5)</w:t>
            </w:r>
          </w:p>
        </w:tc>
        <w:tc>
          <w:tcPr>
            <w:tcW w:w="1600" w:type="dxa"/>
            <w:vAlign w:val="bottom"/>
          </w:tcPr>
          <w:p>
            <w:pPr>
              <w:jc w:val="center"/>
              <w:spacing w:after="0"/>
              <w:rPr>
                <w:sz w:val="20"/>
                <w:szCs w:val="20"/>
                <w:color w:val="auto"/>
              </w:rPr>
            </w:pPr>
            <w:r>
              <w:rPr>
                <w:rFonts w:ascii="Arial" w:cs="Arial" w:eastAsia="Arial" w:hAnsi="Arial"/>
                <w:sz w:val="18"/>
                <w:szCs w:val="18"/>
                <w:color w:val="auto"/>
              </w:rPr>
              <w:t>18,460</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Steve Ciardiello</w:t>
            </w:r>
            <w:r>
              <w:rPr>
                <w:rFonts w:ascii="Arial" w:cs="Arial" w:eastAsia="Arial" w:hAnsi="Arial"/>
                <w:sz w:val="21"/>
                <w:szCs w:val="21"/>
                <w:color w:val="auto"/>
                <w:vertAlign w:val="superscript"/>
              </w:rPr>
              <w:t>(6)</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9,503</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Deirdre Bigley</w:t>
            </w:r>
            <w:r>
              <w:rPr>
                <w:rFonts w:ascii="Arial" w:cs="Arial" w:eastAsia="Arial" w:hAnsi="Arial"/>
                <w:sz w:val="21"/>
                <w:szCs w:val="21"/>
                <w:color w:val="auto"/>
                <w:vertAlign w:val="superscript"/>
              </w:rPr>
              <w:t>(7)</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7,305</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Jeff Epstein</w:t>
            </w:r>
            <w:r>
              <w:rPr>
                <w:rFonts w:ascii="Arial" w:cs="Arial" w:eastAsia="Arial" w:hAnsi="Arial"/>
                <w:sz w:val="21"/>
                <w:szCs w:val="21"/>
                <w:color w:val="auto"/>
                <w:vertAlign w:val="superscript"/>
              </w:rPr>
              <w:t>(8)</w:t>
            </w:r>
          </w:p>
        </w:tc>
        <w:tc>
          <w:tcPr>
            <w:tcW w:w="1600" w:type="dxa"/>
            <w:vAlign w:val="bottom"/>
          </w:tcPr>
          <w:p>
            <w:pPr>
              <w:jc w:val="center"/>
              <w:spacing w:after="0"/>
              <w:rPr>
                <w:sz w:val="20"/>
                <w:szCs w:val="20"/>
                <w:color w:val="auto"/>
              </w:rPr>
            </w:pPr>
            <w:r>
              <w:rPr>
                <w:rFonts w:ascii="Arial" w:cs="Arial" w:eastAsia="Arial" w:hAnsi="Arial"/>
                <w:sz w:val="18"/>
                <w:szCs w:val="18"/>
                <w:color w:val="auto"/>
              </w:rPr>
              <w:t>38,708</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Thomas R. Evans</w:t>
            </w:r>
            <w:r>
              <w:rPr>
                <w:rFonts w:ascii="Arial" w:cs="Arial" w:eastAsia="Arial" w:hAnsi="Arial"/>
                <w:sz w:val="21"/>
                <w:szCs w:val="21"/>
                <w:color w:val="auto"/>
                <w:vertAlign w:val="superscript"/>
              </w:rPr>
              <w:t>(9)</w:t>
            </w:r>
          </w:p>
        </w:tc>
        <w:tc>
          <w:tcPr>
            <w:tcW w:w="1600" w:type="dxa"/>
            <w:vAlign w:val="bottom"/>
          </w:tcPr>
          <w:p>
            <w:pPr>
              <w:jc w:val="center"/>
              <w:spacing w:after="0"/>
              <w:rPr>
                <w:sz w:val="20"/>
                <w:szCs w:val="20"/>
                <w:color w:val="auto"/>
              </w:rPr>
            </w:pPr>
            <w:r>
              <w:rPr>
                <w:rFonts w:ascii="Arial" w:cs="Arial" w:eastAsia="Arial" w:hAnsi="Arial"/>
                <w:sz w:val="18"/>
                <w:szCs w:val="18"/>
                <w:color w:val="auto"/>
              </w:rPr>
              <w:t>21,729</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Paul J. Hennessy</w:t>
            </w:r>
            <w:r>
              <w:rPr>
                <w:rFonts w:ascii="Arial" w:cs="Arial" w:eastAsia="Arial" w:hAnsi="Arial"/>
                <w:sz w:val="21"/>
                <w:szCs w:val="21"/>
                <w:color w:val="auto"/>
                <w:vertAlign w:val="superscript"/>
              </w:rPr>
              <w:t>(10)</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9,853</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executive officers and directors as a group (11 persons)</w:t>
            </w:r>
            <w:r>
              <w:rPr>
                <w:rFonts w:ascii="Arial" w:cs="Arial" w:eastAsia="Arial" w:hAnsi="Arial"/>
                <w:sz w:val="21"/>
                <w:szCs w:val="21"/>
                <w:b w:val="1"/>
                <w:bCs w:val="1"/>
                <w:color w:val="auto"/>
                <w:vertAlign w:val="superscript"/>
              </w:rPr>
              <w:t>(11)</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16,645,825</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46.8%</w:t>
            </w:r>
          </w:p>
        </w:tc>
      </w:tr>
      <w:tr>
        <w:trPr>
          <w:trHeight w:val="239"/>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Other 5% Stockholders: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1"/>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Blackrock, Inc.</w:t>
            </w:r>
            <w:r>
              <w:rPr>
                <w:rFonts w:ascii="Arial" w:cs="Arial" w:eastAsia="Arial" w:hAnsi="Arial"/>
                <w:sz w:val="21"/>
                <w:szCs w:val="21"/>
                <w:color w:val="auto"/>
                <w:vertAlign w:val="superscript"/>
              </w:rPr>
              <w:t>(12)</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2,725,900</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7.7%</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ArrowMark Colorado Holdings LLC</w:t>
            </w:r>
            <w:r>
              <w:rPr>
                <w:rFonts w:ascii="Arial" w:cs="Arial" w:eastAsia="Arial" w:hAnsi="Arial"/>
                <w:sz w:val="21"/>
                <w:szCs w:val="21"/>
                <w:color w:val="auto"/>
                <w:vertAlign w:val="superscript"/>
              </w:rPr>
              <w:t>(13)</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3,203,981</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9.1%</w:t>
            </w:r>
          </w:p>
        </w:tc>
      </w:tr>
      <w:tr>
        <w:trPr>
          <w:trHeight w:val="238"/>
        </w:trPr>
        <w:tc>
          <w:tcPr>
            <w:tcW w:w="8120" w:type="dxa"/>
            <w:vAlign w:val="bottom"/>
            <w:gridSpan w:val="2"/>
          </w:tcPr>
          <w:p>
            <w:pPr>
              <w:ind w:left="40"/>
              <w:spacing w:after="0" w:line="238" w:lineRule="exact"/>
              <w:rPr>
                <w:sz w:val="20"/>
                <w:szCs w:val="20"/>
                <w:color w:val="auto"/>
              </w:rPr>
            </w:pPr>
            <w:r>
              <w:rPr>
                <w:rFonts w:ascii="Arial" w:cs="Arial" w:eastAsia="Arial" w:hAnsi="Arial"/>
                <w:sz w:val="18"/>
                <w:szCs w:val="18"/>
                <w:color w:val="auto"/>
              </w:rPr>
              <w:t>The Vanguard Group</w:t>
            </w:r>
            <w:r>
              <w:rPr>
                <w:rFonts w:ascii="Arial" w:cs="Arial" w:eastAsia="Arial" w:hAnsi="Arial"/>
                <w:sz w:val="21"/>
                <w:szCs w:val="21"/>
                <w:color w:val="auto"/>
                <w:vertAlign w:val="superscript"/>
              </w:rPr>
              <w:t>(14)</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1,947,853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5.5%</w:t>
            </w:r>
          </w:p>
        </w:tc>
      </w:tr>
    </w:tbl>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5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Represents beneficial ownership of less than 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16,156,327 shares of Common Stock and 197,806 shares issuable upon exercise of outstanding options exercisable at or within 60 days of March 29, 2019.</w:t>
      </w:r>
    </w:p>
    <w:p>
      <w:pPr>
        <w:spacing w:after="0" w:line="109" w:lineRule="exact"/>
        <w:rPr>
          <w:rFonts w:ascii="Arial" w:cs="Arial" w:eastAsia="Arial" w:hAnsi="Arial"/>
          <w:sz w:val="14"/>
          <w:szCs w:val="14"/>
          <w:color w:val="auto"/>
        </w:rPr>
      </w:pPr>
    </w:p>
    <w:p>
      <w:pPr>
        <w:ind w:left="500" w:right="200" w:hanging="492"/>
        <w:spacing w:after="0" w:line="250"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42,301 shares of Common Stock, 2,102 RSUs that are vested as of March 29, 2019 but will not settle until the earlier of Mr. Berns’ separation of service from the Company or the date of a change in control of the Company, and 121,318 shares issuable upon exercise of outstanding options exercisable at or within 60 days of March 29, 2019.</w:t>
      </w:r>
    </w:p>
    <w:p>
      <w:pPr>
        <w:spacing w:after="0" w:line="91" w:lineRule="exact"/>
        <w:rPr>
          <w:rFonts w:ascii="Arial" w:cs="Arial" w:eastAsia="Arial" w:hAnsi="Arial"/>
          <w:sz w:val="14"/>
          <w:szCs w:val="14"/>
          <w:color w:val="auto"/>
        </w:rPr>
      </w:pPr>
    </w:p>
    <w:p>
      <w:pPr>
        <w:ind w:left="500" w:hanging="492"/>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7,943 shares of Common Stock and 1,582 shares issuable upon exercise of outstanding options exercisable at or within 60 days of March 29, 2019.</w:t>
      </w:r>
    </w:p>
    <w:p>
      <w:pPr>
        <w:spacing w:after="0" w:line="109" w:lineRule="exact"/>
        <w:rPr>
          <w:rFonts w:ascii="Arial" w:cs="Arial" w:eastAsia="Arial" w:hAnsi="Arial"/>
          <w:sz w:val="14"/>
          <w:szCs w:val="14"/>
          <w:color w:val="auto"/>
        </w:rPr>
      </w:pPr>
    </w:p>
    <w:p>
      <w:pPr>
        <w:ind w:left="500" w:right="160" w:hanging="492"/>
        <w:spacing w:after="0" w:line="258"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5,578 shares issuable upon exercise of outstanding options exercisable at or within 60 days of March 29, 2019 and 5,310 shares issuable upon the vesting of RSUs at or within 60 days of March 29, 2019.</w:t>
      </w:r>
    </w:p>
    <w:p>
      <w:pPr>
        <w:spacing w:after="0" w:line="86" w:lineRule="exact"/>
        <w:rPr>
          <w:rFonts w:ascii="Arial" w:cs="Arial" w:eastAsia="Arial" w:hAnsi="Arial"/>
          <w:sz w:val="14"/>
          <w:szCs w:val="14"/>
          <w:color w:val="auto"/>
        </w:rPr>
      </w:pPr>
    </w:p>
    <w:p>
      <w:pPr>
        <w:ind w:left="500" w:right="20" w:hanging="492"/>
        <w:spacing w:after="0" w:line="258"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18,460 shares issuable upon exercise of outstanding options exercisable at or within 60 days of March 29, 2019. Mr. Brodbeck’s employment with the Company as our Chief Technology Officer ended effective as of the close of business on March 15, 2019. Mr. Brodbeck’s ownership is as of such date.</w:t>
      </w:r>
    </w:p>
    <w:p>
      <w:pPr>
        <w:spacing w:after="0" w:line="86" w:lineRule="exact"/>
        <w:rPr>
          <w:rFonts w:ascii="Arial" w:cs="Arial" w:eastAsia="Arial" w:hAnsi="Arial"/>
          <w:sz w:val="14"/>
          <w:szCs w:val="14"/>
          <w:color w:val="auto"/>
        </w:rPr>
      </w:pPr>
    </w:p>
    <w:p>
      <w:pPr>
        <w:ind w:left="500" w:hanging="492"/>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9,503 shares of Common Stock.</w:t>
      </w:r>
    </w:p>
    <w:p>
      <w:pPr>
        <w:spacing w:after="0" w:line="109" w:lineRule="exact"/>
        <w:rPr>
          <w:rFonts w:ascii="Arial" w:cs="Arial" w:eastAsia="Arial" w:hAnsi="Arial"/>
          <w:sz w:val="14"/>
          <w:szCs w:val="14"/>
          <w:color w:val="auto"/>
        </w:rPr>
      </w:pPr>
    </w:p>
    <w:p>
      <w:pPr>
        <w:ind w:left="500" w:hanging="492"/>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7,305 shares of Common Stock.</w:t>
      </w:r>
    </w:p>
    <w:p>
      <w:pPr>
        <w:spacing w:after="0" w:line="109" w:lineRule="exact"/>
        <w:rPr>
          <w:rFonts w:ascii="Arial" w:cs="Arial" w:eastAsia="Arial" w:hAnsi="Arial"/>
          <w:sz w:val="14"/>
          <w:szCs w:val="14"/>
          <w:color w:val="auto"/>
        </w:rPr>
      </w:pPr>
    </w:p>
    <w:p>
      <w:pPr>
        <w:ind w:left="500" w:hanging="492"/>
        <w:spacing w:after="0" w:line="250"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9,528 shares of Common Stock, 8,081 RSUs that are vested as of March 29, 2019 but will not settle until the earlier of Mr. Epstein’s separation of service from the Company or the date of a change in control of the Company, and 21,099 shares issuable upon exercise of outstanding options exercisable at or within 60 days of March 29, 2019.</w:t>
      </w:r>
    </w:p>
    <w:p>
      <w:pPr>
        <w:spacing w:after="0" w:line="91" w:lineRule="exact"/>
        <w:rPr>
          <w:rFonts w:ascii="Arial" w:cs="Arial" w:eastAsia="Arial" w:hAnsi="Arial"/>
          <w:sz w:val="14"/>
          <w:szCs w:val="14"/>
          <w:color w:val="auto"/>
        </w:rPr>
      </w:pPr>
    </w:p>
    <w:p>
      <w:pPr>
        <w:ind w:left="500" w:right="280" w:hanging="492"/>
        <w:spacing w:after="0" w:line="258"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13,648 shares of Common Stock and 8,081 RSUs that are vested as of March 29, 2019 but will not settle until the earlier of Mr. Evan’s separation of service from the Company or the date of a change in control of the Company.</w:t>
      </w:r>
    </w:p>
    <w:p>
      <w:pPr>
        <w:spacing w:after="0" w:line="86" w:lineRule="exact"/>
        <w:rPr>
          <w:rFonts w:ascii="Arial" w:cs="Arial" w:eastAsia="Arial" w:hAnsi="Arial"/>
          <w:sz w:val="14"/>
          <w:szCs w:val="14"/>
          <w:color w:val="auto"/>
        </w:rPr>
      </w:pPr>
    </w:p>
    <w:p>
      <w:pPr>
        <w:ind w:left="500" w:right="280" w:hanging="492"/>
        <w:spacing w:after="0" w:line="258"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6,989 shares of Common Stock, 2,864 RSUs that are vested as of March 29, 2019 but will not settle until the earlier of Mr. Hennessy’s separation of service from the Company or the date of a change in control of the Company.</w:t>
      </w:r>
    </w:p>
    <w:p>
      <w:pPr>
        <w:spacing w:after="0" w:line="86" w:lineRule="exact"/>
        <w:rPr>
          <w:rFonts w:ascii="Arial" w:cs="Arial" w:eastAsia="Arial" w:hAnsi="Arial"/>
          <w:sz w:val="14"/>
          <w:szCs w:val="14"/>
          <w:color w:val="auto"/>
        </w:rPr>
      </w:pPr>
    </w:p>
    <w:p>
      <w:pPr>
        <w:ind w:left="500" w:hanging="492"/>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365,843 shares issuable upon exercise of outstanding options exercisable at or within 60 days of March 29, 2019.</w:t>
      </w:r>
    </w:p>
    <w:p>
      <w:pPr>
        <w:spacing w:after="0" w:line="109" w:lineRule="exact"/>
        <w:rPr>
          <w:rFonts w:ascii="Arial" w:cs="Arial" w:eastAsia="Arial" w:hAnsi="Arial"/>
          <w:sz w:val="14"/>
          <w:szCs w:val="14"/>
          <w:color w:val="auto"/>
        </w:rPr>
      </w:pPr>
    </w:p>
    <w:p>
      <w:pPr>
        <w:ind w:left="500" w:right="300" w:hanging="492"/>
        <w:spacing w:after="0" w:line="250"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13G/A filed by Blackrock, Inc. (“Blackrock”) with the SEC on February 6, 2019, which reported ownership as of December 31, 2018. Of the 2,725,900 shares of our Common Stock deemed beneficially owned, Blackrock reported sole voting power as to 2,654,873 shares and sole dispositive power as to all shares beneficially owned. The address of Blackrock is 55 East 52nd Street New York, NY 10055.</w:t>
      </w:r>
    </w:p>
    <w:p>
      <w:pPr>
        <w:spacing w:after="0" w:line="91" w:lineRule="exact"/>
        <w:rPr>
          <w:rFonts w:ascii="Arial" w:cs="Arial" w:eastAsia="Arial" w:hAnsi="Arial"/>
          <w:sz w:val="14"/>
          <w:szCs w:val="14"/>
          <w:color w:val="auto"/>
        </w:rPr>
      </w:pPr>
    </w:p>
    <w:p>
      <w:pPr>
        <w:ind w:left="500" w:right="40" w:hanging="492"/>
        <w:spacing w:after="0" w:line="250"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 filed by ArrowMark Colorado Holdings LLC (“ArrowMark”) with the SEC on February 14, 2019, which reported ownership as of December 31, 2018. Of the 3,203,981 shares of our Common Stock deemed beneficially owned, ArrowMark reported that it had sole voting and dispositive power over all shares beneficially owned. The address of ArrowMark is 100 Fillmore Street, Suite 325, Denver, Colorado 80206.</w:t>
      </w:r>
    </w:p>
    <w:p>
      <w:pPr>
        <w:spacing w:after="0" w:line="91" w:lineRule="exact"/>
        <w:rPr>
          <w:rFonts w:ascii="Arial" w:cs="Arial" w:eastAsia="Arial" w:hAnsi="Arial"/>
          <w:sz w:val="14"/>
          <w:szCs w:val="14"/>
          <w:color w:val="auto"/>
        </w:rPr>
      </w:pPr>
    </w:p>
    <w:p>
      <w:pPr>
        <w:ind w:left="500" w:right="100" w:hanging="492"/>
        <w:spacing w:after="0" w:line="247"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 filed by The Vanguard Group (“Vanguard”) with the SEC on February 12, 2019, which reported ownership as of December 31, 2018. Of the 1,947,853 shares of our Common Stock deemed beneficially owned, Vanguard reported sole voting power as to 39,035 shares, shared voting power as to 3,400 shares, sole dispositive power as 1,907,418 shares and shared dispositive power as to 40,435 shares. The address of Vanguard is 100 Vanguard Blvd., Malvern, Pennsylvania 19355.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Section 16(a) Beneficial Ownership Reporting Compliance</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Under U.S. securities laws, directors, certain executive officers and persons holding more than 10% of our Common Stock must report their initial ownership of our Common Stock and any changes in that ownership to the SEC. The SEC has designated specific due dates for these reports and we must identify in this proxy statement those persons who did not file these reports when due. We believe that during 2018, our directors, executive officers and 10% stockholders complied with the Section 16(a) filing requirements, with the exception of late Form 4 filings for Messrs. Berns, Brodbeck, and Ciardiello and Ms. Nadler in connection with a grant of restricted stock units on March 1, 2018 and Mr. Evans in connection with a sale of shares of Common Stock on August 22, 2018. In making these statements, we have relied upon the examination of copies of Forms 3, 4 and 5, and amendments to these forms, provided to us and the written representations of our directors, executive officers and 10% stockholders.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0000"/>
        </w:rPr>
        <w:t>PROPOSAL TWO:</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FF0000"/>
        </w:rPr>
        <w:t>ADVISORY VOTE TO APPROVE THE COMPENSATION OF OUR NAMED EXECUTIVE OFFICERS</w:t>
      </w:r>
    </w:p>
    <w:p>
      <w:pPr>
        <w:spacing w:after="0" w:line="22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As required pursuant to Section 14A of the Exchange Act, the Board is asking you to approve, on an advisory basis, the executive compensation programs and policies and the resulting compensation of the named executive officers (“NEOs”) listed in the 2018 Summary Compensation Table as described in this proxy statement.</w:t>
      </w:r>
    </w:p>
    <w:p>
      <w:pPr>
        <w:spacing w:after="0" w:line="14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Because the vote is advisory, the result will not be binding on the Compensation Committee or the Company and it will not affect, limit or augment any existing compensation or awards. The Compensation Committee will, however, take into account the outcome of the vote when considering future compensation arrangements.</w:t>
      </w:r>
    </w:p>
    <w:p>
      <w:pPr>
        <w:spacing w:after="0" w:line="14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affirmative “FOR” vote of a majority of the shares present and entitled to vote at the 2019 Annual Meeting, either represented by proxy or by attending the meeting, is required to approve, on an advisory basis, the compensation of our NEOs.</w:t>
      </w:r>
    </w:p>
    <w:p>
      <w:pPr>
        <w:spacing w:after="0" w:line="14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We believe you should read the Compensation Discussion and Analysis and compensation tables and also consider the factors below in determining whether to approve this proposal.</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Key Features of our Executive Compensation Program</w:t>
      </w:r>
    </w:p>
    <w:p>
      <w:pPr>
        <w:spacing w:after="0" w:line="2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discretionary structure of our compensation program allows our Board and our Compensation Committee to determine pay based on a comprehensive view of the quantitative and qualitative factors they believe best reflect the results that will produce long-term business success. The correlation between our financial results, Company objectives and NEO compensation actually awarded demonstrates the success of this approach.</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designed our compensation programs for NEOs to attract, motivate and retain the key executives who drive our success. Pay that reflects performance and alignment of that pay with the interests of our stockholders are the key principles that underlie our compensation program and decisions. In that regard, we:</w:t>
      </w:r>
    </w:p>
    <w:p>
      <w:pPr>
        <w:spacing w:after="0" w:line="202" w:lineRule="exact"/>
        <w:rPr>
          <w:sz w:val="20"/>
          <w:szCs w:val="20"/>
          <w:color w:val="auto"/>
        </w:rPr>
      </w:pPr>
    </w:p>
    <w:p>
      <w:pPr>
        <w:ind w:left="660" w:right="440" w:hanging="328"/>
        <w:spacing w:after="0" w:line="291"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weight compensation towards driving achievement of our long-term strategic and financial objectives and aligning our executive officers’ interest with the long-term interests of our stockholders by providing meaningful variable and equity-based compensation;</w:t>
      </w:r>
    </w:p>
    <w:p>
      <w:pPr>
        <w:spacing w:after="0" w:line="174"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 base salaries to our senior executives that are competitive based on our review of market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consider peer group competitive pay and practices and comparative data derived from market research in establishing compensation;</w:t>
      </w:r>
    </w:p>
    <w:p>
      <w:pPr>
        <w:spacing w:after="0" w:line="225"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strive to enhance retention by conditioning a significant percentage of total compensation on multi-year vesting, and with respect to our Chief Executive Officer, performance-based vesting; and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 not include excise tax gross-ups in change in control termination benefits.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Although the vote is non-binding, the Board and the Compensation Committee value the opinions of the stockholders and will review the voting results and consider the outcome of the say-on-pay vote and stockholder concerns, along with other relevant factors, when making compensation decisions.</w:t>
      </w:r>
    </w:p>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accordance with the wishes of our stockholders based on a vote in 2015, we currently hold our say-on-pay vote every year. Accordingly, we are asking our stockholders to indicate their support for our named executive officer compensation as described in this proxy statement by voting “FOR” the following resolution at the 2019 Annual Meeting:</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pursuant to Item 402 of Regulation S-K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proxy statement, including in the “Compensation Discussion and Analysis,” the compensation tables and the narrative discussion, is hereby approved.”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EE2724"/>
        </w:rPr>
        <w:t>THE BOARD UNANIMOUSLY RECOMMENDS A VOTE “FOR” THIS RESOLUTION.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EE2724"/>
        </w:rPr>
        <w:t>EXECUTIVE COMPENSATION</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Compensation Discussion and Analysis</w:t>
      </w:r>
    </w:p>
    <w:p>
      <w:pPr>
        <w:spacing w:after="0" w:line="2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Compensation Discussion and Analysis explains our executive compensation program as it pertains to our Chief Executive Officer (CEO), our Chief Financial Officer (CFO), and our three other most highly compensated executive officers. Throughout this document, these executives are collectively referred to as our ‘‘NEOs’’ or our “named executive officers.” For the year ended December 31, 2018,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215900</wp:posOffset>
            </wp:positionV>
            <wp:extent cx="70751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360"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1840" w:type="dxa"/>
            <w:vAlign w:val="bottom"/>
          </w:tcPr>
          <w:p>
            <w:pPr>
              <w:ind w:left="40"/>
              <w:spacing w:after="0"/>
              <w:rPr>
                <w:sz w:val="20"/>
                <w:szCs w:val="20"/>
                <w:color w:val="auto"/>
              </w:rPr>
            </w:pPr>
            <w:r>
              <w:rPr>
                <w:rFonts w:ascii="Arial" w:cs="Arial" w:eastAsia="Arial" w:hAnsi="Arial"/>
                <w:sz w:val="18"/>
                <w:szCs w:val="18"/>
                <w:color w:val="auto"/>
              </w:rPr>
              <w:t>Jonathan Oringer</w:t>
            </w:r>
          </w:p>
        </w:tc>
        <w:tc>
          <w:tcPr>
            <w:tcW w:w="9300" w:type="dxa"/>
            <w:vAlign w:val="bottom"/>
          </w:tcPr>
          <w:p>
            <w:pPr>
              <w:ind w:left="420"/>
              <w:spacing w:after="0"/>
              <w:rPr>
                <w:sz w:val="20"/>
                <w:szCs w:val="20"/>
                <w:color w:val="auto"/>
              </w:rPr>
            </w:pPr>
            <w:r>
              <w:rPr>
                <w:rFonts w:ascii="Arial" w:cs="Arial" w:eastAsia="Arial" w:hAnsi="Arial"/>
                <w:sz w:val="18"/>
                <w:szCs w:val="18"/>
                <w:color w:val="auto"/>
              </w:rPr>
              <w:t>Founder, Chief Executive Officer and Chairman of the Board</w:t>
            </w:r>
          </w:p>
        </w:tc>
      </w:tr>
      <w:tr>
        <w:trPr>
          <w:trHeight w:val="257"/>
        </w:trPr>
        <w:tc>
          <w:tcPr>
            <w:tcW w:w="1840" w:type="dxa"/>
            <w:vAlign w:val="bottom"/>
          </w:tcPr>
          <w:p>
            <w:pPr>
              <w:ind w:left="40"/>
              <w:spacing w:after="0"/>
              <w:rPr>
                <w:sz w:val="20"/>
                <w:szCs w:val="20"/>
                <w:color w:val="auto"/>
              </w:rPr>
            </w:pPr>
            <w:r>
              <w:rPr>
                <w:rFonts w:ascii="Arial" w:cs="Arial" w:eastAsia="Arial" w:hAnsi="Arial"/>
                <w:sz w:val="18"/>
                <w:szCs w:val="18"/>
                <w:color w:val="auto"/>
              </w:rPr>
              <w:t>Steven Berns</w:t>
            </w:r>
          </w:p>
        </w:tc>
        <w:tc>
          <w:tcPr>
            <w:tcW w:w="9300" w:type="dxa"/>
            <w:vAlign w:val="bottom"/>
          </w:tcPr>
          <w:p>
            <w:pPr>
              <w:ind w:left="420"/>
              <w:spacing w:after="0"/>
              <w:rPr>
                <w:sz w:val="20"/>
                <w:szCs w:val="20"/>
                <w:color w:val="auto"/>
              </w:rPr>
            </w:pPr>
            <w:r>
              <w:rPr>
                <w:rFonts w:ascii="Arial" w:cs="Arial" w:eastAsia="Arial" w:hAnsi="Arial"/>
                <w:sz w:val="18"/>
                <w:szCs w:val="18"/>
                <w:color w:val="auto"/>
              </w:rPr>
              <w:t>Co-Chief Operating Officer and Chief Financial Officer</w:t>
            </w:r>
          </w:p>
        </w:tc>
      </w:tr>
      <w:tr>
        <w:trPr>
          <w:trHeight w:val="257"/>
        </w:trPr>
        <w:tc>
          <w:tcPr>
            <w:tcW w:w="1840" w:type="dxa"/>
            <w:vAlign w:val="bottom"/>
          </w:tcPr>
          <w:p>
            <w:pPr>
              <w:ind w:left="40"/>
              <w:spacing w:after="0"/>
              <w:rPr>
                <w:sz w:val="20"/>
                <w:szCs w:val="20"/>
                <w:color w:val="auto"/>
              </w:rPr>
            </w:pPr>
            <w:r>
              <w:rPr>
                <w:rFonts w:ascii="Arial" w:cs="Arial" w:eastAsia="Arial" w:hAnsi="Arial"/>
                <w:sz w:val="18"/>
                <w:szCs w:val="18"/>
                <w:color w:val="auto"/>
              </w:rPr>
              <w:t>Martin Brodbeck</w:t>
            </w:r>
          </w:p>
        </w:tc>
        <w:tc>
          <w:tcPr>
            <w:tcW w:w="9300" w:type="dxa"/>
            <w:vAlign w:val="bottom"/>
          </w:tcPr>
          <w:p>
            <w:pPr>
              <w:ind w:left="420"/>
              <w:spacing w:after="0"/>
              <w:rPr>
                <w:sz w:val="20"/>
                <w:szCs w:val="20"/>
                <w:color w:val="auto"/>
              </w:rPr>
            </w:pPr>
            <w:r>
              <w:rPr>
                <w:rFonts w:ascii="Arial" w:cs="Arial" w:eastAsia="Arial" w:hAnsi="Arial"/>
                <w:sz w:val="18"/>
                <w:szCs w:val="18"/>
                <w:color w:val="auto"/>
              </w:rPr>
              <w:t>Former Chief Technology Officer</w:t>
            </w:r>
          </w:p>
        </w:tc>
      </w:tr>
      <w:tr>
        <w:trPr>
          <w:trHeight w:val="257"/>
        </w:trPr>
        <w:tc>
          <w:tcPr>
            <w:tcW w:w="1840" w:type="dxa"/>
            <w:vAlign w:val="bottom"/>
          </w:tcPr>
          <w:p>
            <w:pPr>
              <w:ind w:left="40"/>
              <w:spacing w:after="0"/>
              <w:rPr>
                <w:sz w:val="20"/>
                <w:szCs w:val="20"/>
                <w:color w:val="auto"/>
              </w:rPr>
            </w:pPr>
            <w:r>
              <w:rPr>
                <w:rFonts w:ascii="Arial" w:cs="Arial" w:eastAsia="Arial" w:hAnsi="Arial"/>
                <w:sz w:val="18"/>
                <w:szCs w:val="18"/>
                <w:color w:val="auto"/>
              </w:rPr>
              <w:t>Lisa Nadler</w:t>
            </w:r>
          </w:p>
        </w:tc>
        <w:tc>
          <w:tcPr>
            <w:tcW w:w="9300" w:type="dxa"/>
            <w:vAlign w:val="bottom"/>
          </w:tcPr>
          <w:p>
            <w:pPr>
              <w:ind w:left="420"/>
              <w:spacing w:after="0"/>
              <w:rPr>
                <w:sz w:val="20"/>
                <w:szCs w:val="20"/>
                <w:color w:val="auto"/>
              </w:rPr>
            </w:pPr>
            <w:r>
              <w:rPr>
                <w:rFonts w:ascii="Arial" w:cs="Arial" w:eastAsia="Arial" w:hAnsi="Arial"/>
                <w:sz w:val="18"/>
                <w:szCs w:val="18"/>
                <w:color w:val="auto"/>
              </w:rPr>
              <w:t>Chief Human Resources Officer</w:t>
            </w:r>
          </w:p>
        </w:tc>
      </w:tr>
      <w:tr>
        <w:trPr>
          <w:trHeight w:val="264"/>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Lou Weiss</w:t>
            </w: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Chief Marketing Officer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is organized into four sections:</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1 - Executive Summary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2 - Establishing and Evaluating Executive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3 - Elements of 2018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4 - Other Compensation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Section 1 - Executive Summary</w:t>
      </w:r>
    </w:p>
    <w:p>
      <w:pPr>
        <w:spacing w:after="0" w:line="15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are a leading global technology company offering a creative platform, which provides high-quality digital content, tools and services to creative professionals.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such, our long-term success depends in part on our ability to attract, engage, motivate and retain highly talented individuals who are committed to our vision, strategy and values. One of the key objectives of our executive compensation program is to link executives’ pay to their performance and their advancement of our overall annual and long-term performance and business strategies. Other objectives include aligning our NEOs interests with those of our stockholders and encouraging high-performing executives to remain with the Company over the course of their careers. We believe that the amount of compensation for each NEO reflects experience, responsibilities, performance and service to Shutterstock and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Business Highlights</w:t>
      </w:r>
    </w:p>
    <w:p>
      <w:pPr>
        <w:spacing w:after="0" w:line="24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Our strategy consists of three pillars: Platform, where our goal is to make our content, tools and platform available anytime and anywhere; Network, where we are focused on improving the further personalization and localization of our customer and contributor experiences; and Talent, where we aim to have a best-in-class global employee population. In 2018, we made significant progress in these three areas. We streamlined the process for contributors to upload content and implemented language and localization improvements to our platform, which helped drive customer and contributor engagement to an all-time high. Our testing culture and agile environment enabled nimble and competitive pricing and packaging changes. All of our channels experienced revenue growth, with our E-Commerce channel in particular delivering 10% growth for the year, which was the highest annual level of growth for our E-Commerce channel since 2015. In addition, our focus on cost management and internal efficiencies led to improving Adjusted EBITDA margins.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company performance in 2018 include</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193" w:lineRule="exact"/>
        <w:rPr>
          <w:sz w:val="20"/>
          <w:szCs w:val="20"/>
          <w:color w:val="auto"/>
        </w:rPr>
      </w:pPr>
    </w:p>
    <w:p>
      <w:pPr>
        <w:ind w:left="660" w:right="60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revenue of $623.3 million, representing a 11.9% year-over-year increase, and representing a 14.7% year-over-year increase in revenue excluding revenue from Webdam, our digital asset management business which we sold in the first quarter of 2018;</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125" w:right="3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expansion of the number of images in our collection by 42% to over 241 million images;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expansion of the number of videos in our collection by 44% to over 13 million video clips;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growth in paid downloads by 4.4% to 179.6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revenue per download by 8.6% to $3.40;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celebrated over 1 billion content licenses since our founding in 2003;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paid a special cash dividend in August 2018 of $3.00 a share, or approximately $104.9 million in the aggregate;</w:t>
      </w:r>
    </w:p>
    <w:p>
      <w:pPr>
        <w:spacing w:after="0" w:line="225"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continuing innovation of our machine learning and artificial intelligence algorithms, including launching Shutterstock Showcase, which allows users to try the Company’s newest and most innovative and experimental tools;</w:t>
      </w:r>
    </w:p>
    <w:p>
      <w:pPr>
        <w:spacing w:after="0" w:line="196"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enhanced our localization capabilities, including on our PremiumBeat site, where we now support 21 languages and expanded our extensive selection of region-specific music;</w:t>
      </w:r>
    </w:p>
    <w:p>
      <w:pPr>
        <w:spacing w:after="0" w:line="196"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made available editorial content on our creative platform, providing our global customer base with instant access to 40 million news, sports, entertainment and archival images; and</w:t>
      </w:r>
    </w:p>
    <w:p>
      <w:pPr>
        <w:spacing w:after="0" w:line="19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 into Zcool Network Technology Limited, which further expanded our presence in fast growing markets, specifically mainland China.</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1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For additional information regarding our financial results, please see our 2018 Annual Report, including "Item 7. Management’s Discussion and Analysis of Financial Condition and Results of Operations." For a description of our key metrics, including paid downloads, revenue per download and images in our collection, see "Key Operating Metrics" within "Item 7. Management’s Discussion and Analysis of Financial Condition and Results of Operations" in our 2018 Annual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 Highlights</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also advance our compensation practices through effective corporate governance and have adopted corporate governance practices and policies that our Board believes help to advance our compensation goals,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210820</wp:posOffset>
            </wp:positionV>
            <wp:extent cx="680910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372"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31642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46" w:lineRule="exact"/>
        <w:rPr>
          <w:sz w:val="20"/>
          <w:szCs w:val="20"/>
          <w:color w:val="auto"/>
        </w:rPr>
      </w:pPr>
    </w:p>
    <w:p>
      <w:pPr>
        <w:ind w:left="580" w:right="120" w:hanging="167"/>
        <w:spacing w:after="0" w:line="210" w:lineRule="auto"/>
        <w:tabs>
          <w:tab w:leader="none" w:pos="580" w:val="left"/>
        </w:tabs>
        <w:numPr>
          <w:ilvl w:val="0"/>
          <w:numId w:val="52"/>
        </w:numPr>
        <w:rPr>
          <w:rFonts w:ascii="Arial" w:cs="Arial" w:eastAsia="Arial" w:hAnsi="Arial"/>
          <w:sz w:val="22"/>
          <w:szCs w:val="22"/>
          <w:color w:val="auto"/>
        </w:rPr>
      </w:pPr>
      <w:r>
        <w:rPr>
          <w:rFonts w:ascii="Arial" w:cs="Arial" w:eastAsia="Arial" w:hAnsi="Arial"/>
          <w:sz w:val="16"/>
          <w:szCs w:val="16"/>
          <w:color w:val="auto"/>
        </w:rPr>
        <w:t>Maintain a completely independent Compensation Committee that establishes our compensation practices</w:t>
      </w:r>
    </w:p>
    <w:p>
      <w:pPr>
        <w:spacing w:after="0" w:line="49" w:lineRule="exact"/>
        <w:rPr>
          <w:rFonts w:ascii="Arial" w:cs="Arial" w:eastAsia="Arial" w:hAnsi="Arial"/>
          <w:sz w:val="22"/>
          <w:szCs w:val="22"/>
          <w:color w:val="auto"/>
        </w:rPr>
      </w:pPr>
    </w:p>
    <w:p>
      <w:pPr>
        <w:ind w:left="580" w:right="720" w:hanging="167"/>
        <w:spacing w:after="0"/>
        <w:tabs>
          <w:tab w:leader="none" w:pos="580" w:val="left"/>
        </w:tabs>
        <w:numPr>
          <w:ilvl w:val="0"/>
          <w:numId w:val="52"/>
        </w:numPr>
        <w:rPr>
          <w:rFonts w:ascii="Arial" w:cs="Arial" w:eastAsia="Arial" w:hAnsi="Arial"/>
          <w:sz w:val="30"/>
          <w:szCs w:val="30"/>
          <w:color w:val="auto"/>
          <w:vertAlign w:val="subscript"/>
        </w:rPr>
      </w:pPr>
      <w:r>
        <w:rPr>
          <w:rFonts w:ascii="Arial" w:cs="Arial" w:eastAsia="Arial" w:hAnsi="Arial"/>
          <w:sz w:val="13"/>
          <w:szCs w:val="13"/>
          <w:color w:val="auto"/>
        </w:rPr>
        <w:t>Design executive compensation program to align pay with performance</w:t>
      </w:r>
    </w:p>
    <w:p>
      <w:pPr>
        <w:spacing w:after="0" w:line="87" w:lineRule="exact"/>
        <w:rPr>
          <w:rFonts w:ascii="Arial" w:cs="Arial" w:eastAsia="Arial" w:hAnsi="Arial"/>
          <w:sz w:val="30"/>
          <w:szCs w:val="30"/>
          <w:color w:val="auto"/>
          <w:vertAlign w:val="subscript"/>
        </w:rPr>
      </w:pPr>
    </w:p>
    <w:p>
      <w:pPr>
        <w:ind w:left="580" w:hanging="167"/>
        <w:spacing w:after="0" w:line="181" w:lineRule="auto"/>
        <w:tabs>
          <w:tab w:leader="none" w:pos="580" w:val="left"/>
        </w:tabs>
        <w:numPr>
          <w:ilvl w:val="0"/>
          <w:numId w:val="52"/>
        </w:numPr>
        <w:rPr>
          <w:rFonts w:ascii="Arial" w:cs="Arial" w:eastAsia="Arial" w:hAnsi="Arial"/>
          <w:sz w:val="36"/>
          <w:szCs w:val="36"/>
          <w:color w:val="auto"/>
          <w:vertAlign w:val="subscript"/>
        </w:rPr>
      </w:pPr>
      <w:r>
        <w:rPr>
          <w:rFonts w:ascii="Arial" w:cs="Arial" w:eastAsia="Arial" w:hAnsi="Arial"/>
          <w:sz w:val="15"/>
          <w:szCs w:val="15"/>
          <w:color w:val="auto"/>
        </w:rPr>
        <w:t>Award a vast majority of pay as variable and not fixed compensation, with our CEO receiving nominal fixed pay (one dollar base salary) and above market variable/performance-based pay</w:t>
      </w:r>
    </w:p>
    <w:p>
      <w:pPr>
        <w:ind w:left="580" w:hanging="167"/>
        <w:spacing w:after="0" w:line="181" w:lineRule="auto"/>
        <w:tabs>
          <w:tab w:leader="none" w:pos="580" w:val="left"/>
        </w:tabs>
        <w:numPr>
          <w:ilvl w:val="0"/>
          <w:numId w:val="52"/>
        </w:numPr>
        <w:rPr>
          <w:rFonts w:ascii="Arial" w:cs="Arial" w:eastAsia="Arial" w:hAnsi="Arial"/>
          <w:sz w:val="28"/>
          <w:szCs w:val="28"/>
          <w:color w:val="auto"/>
          <w:vertAlign w:val="subscript"/>
        </w:rPr>
      </w:pPr>
      <w:r>
        <w:rPr>
          <w:rFonts w:ascii="Arial" w:cs="Arial" w:eastAsia="Arial" w:hAnsi="Arial"/>
          <w:sz w:val="13"/>
          <w:szCs w:val="13"/>
          <w:color w:val="auto"/>
        </w:rPr>
        <w:t>Employ our executive officers “at will”</w:t>
      </w:r>
    </w:p>
    <w:p>
      <w:pPr>
        <w:spacing w:after="0" w:line="237" w:lineRule="exact"/>
        <w:rPr>
          <w:rFonts w:ascii="Arial" w:cs="Arial" w:eastAsia="Arial" w:hAnsi="Arial"/>
          <w:sz w:val="28"/>
          <w:szCs w:val="28"/>
          <w:color w:val="auto"/>
          <w:vertAlign w:val="subscript"/>
        </w:rPr>
      </w:pPr>
    </w:p>
    <w:p>
      <w:pPr>
        <w:ind w:left="580" w:right="380" w:hanging="167"/>
        <w:spacing w:after="0" w:line="228" w:lineRule="auto"/>
        <w:tabs>
          <w:tab w:leader="none" w:pos="580" w:val="left"/>
        </w:tabs>
        <w:numPr>
          <w:ilvl w:val="0"/>
          <w:numId w:val="52"/>
        </w:numPr>
        <w:rPr>
          <w:rFonts w:ascii="Arial" w:cs="Arial" w:eastAsia="Arial" w:hAnsi="Arial"/>
          <w:sz w:val="35"/>
          <w:szCs w:val="35"/>
          <w:color w:val="auto"/>
          <w:vertAlign w:val="subscript"/>
        </w:rPr>
      </w:pPr>
      <w:r>
        <w:rPr>
          <w:rFonts w:ascii="Arial" w:cs="Arial" w:eastAsia="Arial" w:hAnsi="Arial"/>
          <w:sz w:val="14"/>
          <w:szCs w:val="14"/>
          <w:color w:val="auto"/>
        </w:rPr>
        <w:t>Provide for “double-trigger” equity acceleration upon change in control</w:t>
      </w:r>
    </w:p>
    <w:p>
      <w:pPr>
        <w:spacing w:after="0" w:line="1" w:lineRule="exact"/>
        <w:rPr>
          <w:rFonts w:ascii="Arial" w:cs="Arial" w:eastAsia="Arial" w:hAnsi="Arial"/>
          <w:sz w:val="35"/>
          <w:szCs w:val="35"/>
          <w:color w:val="auto"/>
          <w:vertAlign w:val="subscript"/>
        </w:rPr>
      </w:pPr>
    </w:p>
    <w:p>
      <w:pPr>
        <w:ind w:left="580" w:hanging="167"/>
        <w:spacing w:after="0" w:line="181" w:lineRule="auto"/>
        <w:tabs>
          <w:tab w:leader="none" w:pos="580" w:val="left"/>
        </w:tabs>
        <w:numPr>
          <w:ilvl w:val="0"/>
          <w:numId w:val="52"/>
        </w:numPr>
        <w:rPr>
          <w:rFonts w:ascii="Arial" w:cs="Arial" w:eastAsia="Arial" w:hAnsi="Arial"/>
          <w:sz w:val="28"/>
          <w:szCs w:val="28"/>
          <w:color w:val="auto"/>
          <w:vertAlign w:val="subscript"/>
        </w:rPr>
      </w:pPr>
      <w:r>
        <w:rPr>
          <w:rFonts w:ascii="Arial" w:cs="Arial" w:eastAsia="Arial" w:hAnsi="Arial"/>
          <w:sz w:val="13"/>
          <w:szCs w:val="13"/>
          <w:color w:val="auto"/>
        </w:rPr>
        <w:t>Maintain a clawback policy</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2091"/>
        <w:spacing w:after="0"/>
        <w:rPr>
          <w:sz w:val="20"/>
          <w:szCs w:val="20"/>
          <w:color w:val="auto"/>
        </w:rPr>
      </w:pPr>
      <w:r>
        <w:rPr>
          <w:rFonts w:ascii="Arial" w:cs="Arial" w:eastAsia="Arial" w:hAnsi="Arial"/>
          <w:sz w:val="18"/>
          <w:szCs w:val="18"/>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14605</wp:posOffset>
            </wp:positionV>
            <wp:extent cx="3370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171" w:hanging="171"/>
        <w:spacing w:after="0"/>
        <w:tabs>
          <w:tab w:leader="none" w:pos="171" w:val="left"/>
        </w:tabs>
        <w:numPr>
          <w:ilvl w:val="0"/>
          <w:numId w:val="53"/>
        </w:numPr>
        <w:rPr>
          <w:rFonts w:ascii="Arial" w:cs="Arial" w:eastAsia="Arial" w:hAnsi="Arial"/>
          <w:sz w:val="22"/>
          <w:szCs w:val="22"/>
          <w:color w:val="auto"/>
        </w:rPr>
      </w:pPr>
      <w:r>
        <w:rPr>
          <w:rFonts w:ascii="Arial" w:cs="Arial" w:eastAsia="Arial" w:hAnsi="Arial"/>
          <w:sz w:val="16"/>
          <w:szCs w:val="16"/>
          <w:color w:val="auto"/>
        </w:rPr>
        <w:t>Encourage unreasonable risk taking</w:t>
      </w:r>
    </w:p>
    <w:p>
      <w:pPr>
        <w:spacing w:after="0" w:line="43" w:lineRule="exact"/>
        <w:rPr>
          <w:rFonts w:ascii="Arial" w:cs="Arial" w:eastAsia="Arial" w:hAnsi="Arial"/>
          <w:sz w:val="22"/>
          <w:szCs w:val="22"/>
          <w:color w:val="auto"/>
        </w:rPr>
      </w:pPr>
    </w:p>
    <w:p>
      <w:pPr>
        <w:ind w:left="171" w:hanging="171"/>
        <w:spacing w:after="0" w:line="188" w:lineRule="auto"/>
        <w:tabs>
          <w:tab w:leader="none" w:pos="171" w:val="left"/>
        </w:tabs>
        <w:numPr>
          <w:ilvl w:val="0"/>
          <w:numId w:val="53"/>
        </w:numPr>
        <w:rPr>
          <w:rFonts w:ascii="Arial" w:cs="Arial" w:eastAsia="Arial" w:hAnsi="Arial"/>
          <w:sz w:val="43"/>
          <w:szCs w:val="43"/>
          <w:color w:val="auto"/>
          <w:vertAlign w:val="subscript"/>
        </w:rPr>
      </w:pPr>
      <w:r>
        <w:rPr>
          <w:rFonts w:ascii="Arial" w:cs="Arial" w:eastAsia="Arial" w:hAnsi="Arial"/>
          <w:sz w:val="16"/>
          <w:szCs w:val="16"/>
          <w:color w:val="auto"/>
        </w:rPr>
        <w:t>No excessive change in control or severance payments</w:t>
      </w:r>
    </w:p>
    <w:p>
      <w:pPr>
        <w:spacing w:after="0" w:line="239" w:lineRule="exact"/>
        <w:rPr>
          <w:rFonts w:ascii="Arial" w:cs="Arial" w:eastAsia="Arial" w:hAnsi="Arial"/>
          <w:sz w:val="43"/>
          <w:szCs w:val="43"/>
          <w:color w:val="auto"/>
          <w:vertAlign w:val="subscript"/>
        </w:rPr>
      </w:pPr>
    </w:p>
    <w:p>
      <w:pPr>
        <w:ind w:left="171" w:right="840" w:hanging="171"/>
        <w:spacing w:after="0" w:line="186" w:lineRule="auto"/>
        <w:tabs>
          <w:tab w:leader="none" w:pos="171" w:val="left"/>
        </w:tabs>
        <w:numPr>
          <w:ilvl w:val="0"/>
          <w:numId w:val="53"/>
        </w:numPr>
        <w:rPr>
          <w:rFonts w:ascii="Arial" w:cs="Arial" w:eastAsia="Arial" w:hAnsi="Arial"/>
          <w:sz w:val="30"/>
          <w:szCs w:val="30"/>
          <w:color w:val="auto"/>
          <w:vertAlign w:val="subscript"/>
        </w:rPr>
      </w:pPr>
      <w:r>
        <w:rPr>
          <w:rFonts w:ascii="Arial" w:cs="Arial" w:eastAsia="Arial" w:hAnsi="Arial"/>
          <w:sz w:val="13"/>
          <w:szCs w:val="13"/>
          <w:color w:val="auto"/>
        </w:rPr>
        <w:t>No repricing underwater stock options or grants without seeking shareholder approval</w:t>
      </w:r>
    </w:p>
    <w:p>
      <w:pPr>
        <w:ind w:left="171" w:hanging="171"/>
        <w:spacing w:after="0" w:line="209" w:lineRule="auto"/>
        <w:tabs>
          <w:tab w:leader="none" w:pos="171" w:val="left"/>
        </w:tabs>
        <w:numPr>
          <w:ilvl w:val="0"/>
          <w:numId w:val="53"/>
        </w:numPr>
        <w:rPr>
          <w:rFonts w:ascii="Arial" w:cs="Arial" w:eastAsia="Arial" w:hAnsi="Arial"/>
          <w:sz w:val="43"/>
          <w:szCs w:val="43"/>
          <w:color w:val="auto"/>
          <w:vertAlign w:val="subscript"/>
        </w:rPr>
      </w:pPr>
      <w:r>
        <w:rPr>
          <w:rFonts w:ascii="Arial" w:cs="Arial" w:eastAsia="Arial" w:hAnsi="Arial"/>
          <w:sz w:val="16"/>
          <w:szCs w:val="16"/>
          <w:color w:val="auto"/>
        </w:rPr>
        <w:t>No excise tax gross-ups upon change in control termination benefits</w:t>
      </w:r>
    </w:p>
    <w:p>
      <w:pPr>
        <w:spacing w:after="0" w:line="239" w:lineRule="exact"/>
        <w:rPr>
          <w:rFonts w:ascii="Arial" w:cs="Arial" w:eastAsia="Arial" w:hAnsi="Arial"/>
          <w:sz w:val="43"/>
          <w:szCs w:val="43"/>
          <w:color w:val="auto"/>
          <w:vertAlign w:val="subscript"/>
        </w:rPr>
      </w:pPr>
    </w:p>
    <w:p>
      <w:pPr>
        <w:ind w:left="171" w:right="1040" w:hanging="171"/>
        <w:spacing w:after="0" w:line="186" w:lineRule="auto"/>
        <w:tabs>
          <w:tab w:leader="none" w:pos="171" w:val="left"/>
        </w:tabs>
        <w:numPr>
          <w:ilvl w:val="0"/>
          <w:numId w:val="53"/>
        </w:numPr>
        <w:rPr>
          <w:rFonts w:ascii="Arial" w:cs="Arial" w:eastAsia="Arial" w:hAnsi="Arial"/>
          <w:sz w:val="30"/>
          <w:szCs w:val="30"/>
          <w:color w:val="auto"/>
          <w:vertAlign w:val="subscript"/>
        </w:rPr>
      </w:pPr>
      <w:r>
        <w:rPr>
          <w:rFonts w:ascii="Arial" w:cs="Arial" w:eastAsia="Arial" w:hAnsi="Arial"/>
          <w:sz w:val="13"/>
          <w:szCs w:val="13"/>
          <w:color w:val="auto"/>
        </w:rPr>
        <w:t>No defined benefit retirement plans, or non-qualified deferred compensation plans for our executive officers</w:t>
      </w:r>
    </w:p>
    <w:p>
      <w:pPr>
        <w:ind w:left="171" w:hanging="171"/>
        <w:spacing w:after="0" w:line="181" w:lineRule="auto"/>
        <w:tabs>
          <w:tab w:leader="none" w:pos="171" w:val="left"/>
        </w:tabs>
        <w:numPr>
          <w:ilvl w:val="0"/>
          <w:numId w:val="53"/>
        </w:numPr>
        <w:rPr>
          <w:rFonts w:ascii="Arial" w:cs="Arial" w:eastAsia="Arial" w:hAnsi="Arial"/>
          <w:sz w:val="28"/>
          <w:szCs w:val="28"/>
          <w:color w:val="auto"/>
          <w:vertAlign w:val="subscript"/>
        </w:rPr>
      </w:pPr>
      <w:r>
        <w:rPr>
          <w:rFonts w:ascii="Arial" w:cs="Arial" w:eastAsia="Arial" w:hAnsi="Arial"/>
          <w:sz w:val="13"/>
          <w:szCs w:val="13"/>
          <w:color w:val="auto"/>
        </w:rPr>
        <w:t>No perquisites or other personal benefits</w:t>
      </w:r>
    </w:p>
    <w:p>
      <w:pPr>
        <w:spacing w:after="0" w:line="200" w:lineRule="exact"/>
        <w:rPr>
          <w:sz w:val="20"/>
          <w:szCs w:val="20"/>
          <w:color w:val="auto"/>
        </w:rPr>
      </w:pPr>
    </w:p>
    <w:p>
      <w:pPr>
        <w:sectPr>
          <w:pgSz w:w="11900" w:h="16838" w:orient="portrait"/>
          <w:cols w:equalWidth="0" w:num="2">
            <w:col w:w="5440" w:space="389"/>
            <w:col w:w="5571"/>
          </w:cols>
          <w:pgMar w:left="240" w:top="125" w:right="25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Section 2 - Establishing and Evaluating Executive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&amp; Objectives</w:t>
      </w:r>
    </w:p>
    <w:p>
      <w:pPr>
        <w:spacing w:after="0" w:line="16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philosophy with regard to the compensation of our executive officers, including our named executive officers, is to attract and retain high performers, and motivate them to pursue our corporate and business objectives that are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intended to create long-term value for our stockholders. We strive to provide compensation packages that are competitive, reward achievement of our business objectives, and align executive and stockholder interests through equity ownership.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is designed to:</w:t>
      </w:r>
    </w:p>
    <w:p>
      <w:pPr>
        <w:spacing w:after="0" w:line="225"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attract, motivate and retain high-performing executives;</w:t>
      </w:r>
    </w:p>
    <w:p>
      <w:pPr>
        <w:spacing w:after="0" w:line="184" w:lineRule="exact"/>
        <w:rPr>
          <w:rFonts w:ascii="Arial" w:cs="Arial" w:eastAsia="Arial" w:hAnsi="Arial"/>
          <w:sz w:val="18"/>
          <w:szCs w:val="18"/>
          <w:color w:val="auto"/>
        </w:rPr>
      </w:pPr>
    </w:p>
    <w:p>
      <w:pPr>
        <w:ind w:left="980" w:right="200" w:hanging="324"/>
        <w:spacing w:after="0" w:line="262"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compensation that is competitive with the market and tailored to account for the specific needs and responsibilities of the particular position, as well as the performance and unique qualifications of the individual executive;</w:t>
      </w:r>
    </w:p>
    <w:p>
      <w:pPr>
        <w:spacing w:after="0" w:line="15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ensure actual payouts are aligned with financial performance and strategic business goals that enhance stockholder value;</w:t>
      </w:r>
    </w:p>
    <w:p>
      <w:pPr>
        <w:spacing w:after="0" w:line="184" w:lineRule="exact"/>
        <w:rPr>
          <w:rFonts w:ascii="Arial" w:cs="Arial" w:eastAsia="Arial" w:hAnsi="Arial"/>
          <w:sz w:val="18"/>
          <w:szCs w:val="18"/>
          <w:color w:val="auto"/>
        </w:rPr>
      </w:pPr>
    </w:p>
    <w:p>
      <w:pPr>
        <w:ind w:left="980" w:right="580" w:hanging="324"/>
        <w:spacing w:after="0" w:line="262"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ensure a substantial portion of each executive’s total compensation is “at-risk” and varies based on Company and individual performance; and</w:t>
      </w:r>
    </w:p>
    <w:p>
      <w:pPr>
        <w:spacing w:after="0" w:line="15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align the executive compensation program with both short-term and long-term stockholder interests.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our needs evolve, we will reevaluate our philosophy and compensation programs from time to time as circumstances require.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Since 2015, we have conducted an annual advisory vote to approve the compensation of our named executive officers. While this vote is not binding on us, the Board, or the Compensation Committee, we believe that it is important for our stockholders to have an opportunity to vote on this proposal on an annual basis as a means to express their views regarding our executive compensation philosophy, our compensation policies and programs, and our decisions regarding executive compensation, all as disclosed in this proxy statement. To the extent there is any significant vote against the compensation of our named executive officers, we will consider our stockholders’ concerns and the Compensation Committee will evaluate what actions may be necessary to address those concerns.</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our 2018 Annual Meeting, approximately 99.1% of the votes cast by stockholders on the advisory vote on executive compensation were in favor of the compensation of our named executive officers. The Board and Compensation Committee reviewed these final vote results together with the other factors and data discussed in this Compensation Discussion and Analysis and determined that, given the significant level of support of our approach to compensation by our stockholders, no significant changes to our executive compensation policies and decisions with respect to our 2018 compensation programs and policies were necessary. However, we regularly review our executive compensation to ensure compliance with our pay-for-performance philosophy.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our Compensation</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Compensation Committee is responsible for overseeing all aspects of our executive compensation programs, including executive salaries, payouts under our Short-Term Incentive Plan, the size and structure of equity awards and any severance or change in control benefits. In carrying out its responsibilities, the Compensation Committee reviews, evaluates and approves the compensation arrangements, plans, policies, and practices for our executive officers.</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performing the function of setting executive compensation for executive officers other than our Chief Executive Officer, the Compensation Committee considers input from our Chief Executive Officer regarding such executive officers’ responsibilities, performance and compensation and with respect to our Chief Accounting Officer, considers input from our Co-Chief Operating Officer and Chief Financial Officer. Specifically, our Chief Executive Officer or Co-Chief Operating Officer and Chief Financial Officer, as applicable, in consultation with our Chief Human Resources Officer, recommends base salary increases, payouts under our Short-Term Incentive Plan and equity award levels that are used throughout our compensation plans, and advises the Compensation Committee regarding the compensation program’s ability to attract, retain and motivate executive talent. These recommendations reflect compensation levels that our Chief Executive Officer or Co-Chief Operating Officer and</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Chief Financial Officer, as applicable, believes are qualitatively commensurate with an executive officer’s individual performance and individual qualifications, experience, responsibility level, functional role, knowledge, and skills, as well as the Company’s performance. The Chief Executive Officer, in consultation with the Chief Human Resources Officer, also reviews comparative data derived from market research and publicly available information for each of the executive officers. Our Compensation Committee considers our Chief Executive Officer’s or Co-Chief Operating Officer and Chief Financial Officer’s, as applicable, recommendations, but may adjust up or down as it determines in its discretion, and approves the specific compensation for all the executive officers.</w:t>
      </w:r>
    </w:p>
    <w:p>
      <w:pPr>
        <w:spacing w:after="0" w:line="20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Compensation Committee determines and approves changes in the Chief Executive Officer’s compensation based on its review of his performance. Our Chief Executive Officer does not participate in our Compensation Committee’s deliberations or decisions with regard to his own compensation.</w:t>
      </w:r>
    </w:p>
    <w:p>
      <w:pPr>
        <w:spacing w:after="0" w:line="20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Potential adjustments to our executive officers’ compensation (including salary and annual incentive opportunities) are considered by the Compensation Committee annually and upon significant role changes. Any adjustments are typically set at a Compensation Committee meeting early in the calendar year after the Board has reviewed the Company’s performance for the past year and prospects for the year ahead, although individual executive performance is evaluated on an ongoing basis and accordingly compensation decisions may be made throughout the year.</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determining compensation, our Compensation Committee has, in the past, retained the services of Aon Hewitt, as its independent compensation consultant to provide advice and recommendations on the amount and form of executive compensation. Aon Hewitt was selected by and reports to the Compensation Committee and does not provide any other services to the Company. Our Compensation Committee periodically seeks input from Aon Hewitt on a range of external market factors, including evolving compensation trends, appropriate peer companies and market survey data. Aon Hewitt also provides general observations on the Company’s compensation programs, including the compensation of our Chief Executive Officer, as described below.</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Compensation Committee considered and assessed all factors relevant to Aon Hewitt’s independence, including factors specified in NYSE listing standards and Rule 10C-1(b) of the Exchange Act, as well as certain other factors that could give rise to a potential conflict of interest with respect to the work of Aon Hewitt. Based on this assessment, our Compensation Committee confirmed that no conflicts of interest were raised by the work performed by Aon Hewitt.</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Compensation Committee also administers our cash-based and equity-based compensation plans and reviews our executive compensation program from time to time, including such compensation plans, to determine whether they are appropriate, properly coordinated, and achieving their intended purposes, and to make any modifications to existing plans and arrangements or to adopt new plans or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Comparative Market Data</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aim to compensate our executive officers at levels that are commensurate with competitive levels of compensation for executives in similar positions at peer companies, with whom we compete to hire and retain executive talent, although we do not attempt to link any single element of compensation to specific peer company percentiles or ratios. Market data is just one of a variety of factors considered by the Chief Executive Officer or Co-Chief Operating Officer and Chief Financial Officer, as applicable, when recommending, and the Compensation Committee, when determining base salary, bonus targets, long-term equity awards and total compensation levels. Management and the Compensation Committee believe that over-reliance on benchmarking can result in compensation that is unrelated to the value delivered by the executive officers because compensation benchmarking does not take the specific performance of the executive officers, or the performance of the Company, into account.</w:t>
      </w:r>
    </w:p>
    <w:p>
      <w:pPr>
        <w:spacing w:after="0" w:line="206"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Compensation Committee, with the recommendation from Aon Hewitt, approved a peer group of 23 companies in August 2015 in connection with setting the compensation for Steven Berns to become our Chief Financial Officer and for use in assessing compensation elements and making compensation decisions for our executive officers. The evaluation of the peer group generally occurs in December of each year. The peer group used by the Compensation Committee in connection with assessing compensation elements and making compensation decisions for our executive officers for 2018 was not changed from the peer group approved in 2015.</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companies in the peer group in respect of 2018 compensation matters consist of technology and software services companies that are similar to us in industry code, revenue, market capitalization and sales growth and include the following:</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Endurance International Group</w:t>
            </w:r>
          </w:p>
        </w:tc>
        <w:tc>
          <w:tcPr>
            <w:tcW w:w="26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17"/>
        </w:trPr>
        <w:tc>
          <w:tcPr>
            <w:tcW w:w="2780" w:type="dxa"/>
            <w:vAlign w:val="bottom"/>
          </w:tcPr>
          <w:p>
            <w:pPr>
              <w:spacing w:after="0"/>
              <w:rPr>
                <w:sz w:val="20"/>
                <w:szCs w:val="20"/>
                <w:color w:val="auto"/>
              </w:rPr>
            </w:pPr>
            <w:r>
              <w:rPr>
                <w:rFonts w:ascii="Arial" w:cs="Arial" w:eastAsia="Arial" w:hAnsi="Arial"/>
                <w:sz w:val="18"/>
                <w:szCs w:val="18"/>
                <w:color w:val="auto"/>
              </w:rPr>
              <w:t>Bottomline Technologies</w:t>
            </w:r>
          </w:p>
        </w:tc>
        <w:tc>
          <w:tcPr>
            <w:tcW w:w="2960" w:type="dxa"/>
            <w:vAlign w:val="bottom"/>
          </w:tcPr>
          <w:p>
            <w:pPr>
              <w:ind w:left="420"/>
              <w:spacing w:after="0"/>
              <w:rPr>
                <w:sz w:val="20"/>
                <w:szCs w:val="20"/>
                <w:color w:val="auto"/>
              </w:rPr>
            </w:pPr>
            <w:r>
              <w:rPr>
                <w:rFonts w:ascii="Arial" w:cs="Arial" w:eastAsia="Arial" w:hAnsi="Arial"/>
                <w:sz w:val="18"/>
                <w:szCs w:val="18"/>
                <w:color w:val="auto"/>
              </w:rPr>
              <w:t>Holdings, Inc.</w:t>
            </w:r>
          </w:p>
        </w:tc>
        <w:tc>
          <w:tcPr>
            <w:tcW w:w="2600" w:type="dxa"/>
            <w:vAlign w:val="bottom"/>
          </w:tcPr>
          <w:p>
            <w:pPr>
              <w:ind w:left="80"/>
              <w:spacing w:after="0"/>
              <w:rPr>
                <w:sz w:val="20"/>
                <w:szCs w:val="20"/>
                <w:color w:val="auto"/>
              </w:rPr>
            </w:pPr>
            <w:r>
              <w:rPr>
                <w:rFonts w:ascii="Arial" w:cs="Arial" w:eastAsia="Arial" w:hAnsi="Arial"/>
                <w:sz w:val="18"/>
                <w:szCs w:val="18"/>
                <w:color w:val="auto"/>
              </w:rPr>
              <w:t>J2 Global, Inc.</w:t>
            </w:r>
          </w:p>
        </w:tc>
        <w:tc>
          <w:tcPr>
            <w:tcW w:w="2220" w:type="dxa"/>
            <w:vAlign w:val="bottom"/>
          </w:tcPr>
          <w:p>
            <w:pPr>
              <w:ind w:left="340"/>
              <w:spacing w:after="0"/>
              <w:rPr>
                <w:sz w:val="20"/>
                <w:szCs w:val="20"/>
                <w:color w:val="auto"/>
              </w:rPr>
            </w:pPr>
            <w:r>
              <w:rPr>
                <w:rFonts w:ascii="Arial" w:cs="Arial" w:eastAsia="Arial" w:hAnsi="Arial"/>
                <w:sz w:val="18"/>
                <w:szCs w:val="18"/>
                <w:color w:val="auto"/>
              </w:rPr>
              <w:t>Zillow, Inc.</w:t>
            </w:r>
          </w:p>
        </w:tc>
      </w:tr>
      <w:tr>
        <w:trPr>
          <w:trHeight w:val="242"/>
        </w:trPr>
        <w:tc>
          <w:tcPr>
            <w:tcW w:w="27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220" w:type="dxa"/>
            <w:vAlign w:val="bottom"/>
          </w:tcPr>
          <w:p>
            <w:pPr>
              <w:ind w:left="340"/>
              <w:spacing w:after="0"/>
              <w:rPr>
                <w:sz w:val="20"/>
                <w:szCs w:val="20"/>
                <w:color w:val="auto"/>
              </w:rPr>
            </w:pPr>
            <w:r>
              <w:rPr>
                <w:rFonts w:ascii="Arial" w:cs="Arial" w:eastAsia="Arial" w:hAnsi="Arial"/>
                <w:sz w:val="18"/>
                <w:szCs w:val="18"/>
                <w:color w:val="auto"/>
              </w:rPr>
              <w:t>The Ultimate Software</w:t>
            </w:r>
          </w:p>
        </w:tc>
      </w:tr>
      <w:tr>
        <w:trPr>
          <w:trHeight w:val="217"/>
        </w:trPr>
        <w:tc>
          <w:tcPr>
            <w:tcW w:w="2780" w:type="dxa"/>
            <w:vAlign w:val="bottom"/>
          </w:tcPr>
          <w:p>
            <w:pPr>
              <w:spacing w:after="0"/>
              <w:rPr>
                <w:sz w:val="20"/>
                <w:szCs w:val="20"/>
                <w:color w:val="auto"/>
              </w:rPr>
            </w:pPr>
            <w:r>
              <w:rPr>
                <w:rFonts w:ascii="Arial" w:cs="Arial" w:eastAsia="Arial" w:hAnsi="Arial"/>
                <w:sz w:val="18"/>
                <w:szCs w:val="18"/>
                <w:color w:val="auto"/>
              </w:rPr>
              <w:t>Box, Inc.</w:t>
            </w:r>
          </w:p>
        </w:tc>
        <w:tc>
          <w:tcPr>
            <w:tcW w:w="2960" w:type="dxa"/>
            <w:vAlign w:val="bottom"/>
          </w:tcPr>
          <w:p>
            <w:pPr>
              <w:ind w:left="420"/>
              <w:spacing w:after="0"/>
              <w:rPr>
                <w:sz w:val="20"/>
                <w:szCs w:val="20"/>
                <w:color w:val="auto"/>
              </w:rPr>
            </w:pPr>
            <w:r>
              <w:rPr>
                <w:rFonts w:ascii="Arial" w:cs="Arial" w:eastAsia="Arial" w:hAnsi="Arial"/>
                <w:sz w:val="18"/>
                <w:szCs w:val="18"/>
                <w:color w:val="auto"/>
              </w:rPr>
              <w:t>Envestnet, Inc.</w:t>
            </w:r>
          </w:p>
        </w:tc>
        <w:tc>
          <w:tcPr>
            <w:tcW w:w="2600" w:type="dxa"/>
            <w:vAlign w:val="bottom"/>
          </w:tcPr>
          <w:p>
            <w:pPr>
              <w:ind w:left="80"/>
              <w:spacing w:after="0"/>
              <w:rPr>
                <w:sz w:val="20"/>
                <w:szCs w:val="20"/>
                <w:color w:val="auto"/>
              </w:rPr>
            </w:pPr>
            <w:r>
              <w:rPr>
                <w:rFonts w:ascii="Arial" w:cs="Arial" w:eastAsia="Arial" w:hAnsi="Arial"/>
                <w:sz w:val="18"/>
                <w:szCs w:val="18"/>
                <w:color w:val="auto"/>
              </w:rPr>
              <w:t>LogMeIn, Inc.</w:t>
            </w:r>
          </w:p>
        </w:tc>
        <w:tc>
          <w:tcPr>
            <w:tcW w:w="2220" w:type="dxa"/>
            <w:vAlign w:val="bottom"/>
          </w:tcPr>
          <w:p>
            <w:pPr>
              <w:ind w:left="340"/>
              <w:spacing w:after="0"/>
              <w:rPr>
                <w:sz w:val="20"/>
                <w:szCs w:val="20"/>
                <w:color w:val="auto"/>
              </w:rPr>
            </w:pPr>
            <w:r>
              <w:rPr>
                <w:rFonts w:ascii="Arial" w:cs="Arial" w:eastAsia="Arial" w:hAnsi="Arial"/>
                <w:sz w:val="18"/>
                <w:szCs w:val="18"/>
                <w:color w:val="auto"/>
              </w:rPr>
              <w:t>Group, Inc.</w:t>
            </w:r>
          </w:p>
        </w:tc>
      </w:tr>
      <w:tr>
        <w:trPr>
          <w:trHeight w:val="257"/>
        </w:trPr>
        <w:tc>
          <w:tcPr>
            <w:tcW w:w="2780" w:type="dxa"/>
            <w:vAlign w:val="bottom"/>
          </w:tcPr>
          <w:p>
            <w:pPr>
              <w:spacing w:after="0"/>
              <w:rPr>
                <w:sz w:val="20"/>
                <w:szCs w:val="20"/>
                <w:color w:val="auto"/>
              </w:rPr>
            </w:pPr>
            <w:r>
              <w:rPr>
                <w:rFonts w:ascii="Arial" w:cs="Arial" w:eastAsia="Arial" w:hAnsi="Arial"/>
                <w:sz w:val="18"/>
                <w:szCs w:val="18"/>
                <w:color w:val="auto"/>
              </w:rPr>
              <w:t>Cornerstone OnDemand, Inc.</w:t>
            </w:r>
          </w:p>
        </w:tc>
        <w:tc>
          <w:tcPr>
            <w:tcW w:w="2960" w:type="dxa"/>
            <w:vAlign w:val="bottom"/>
          </w:tcPr>
          <w:p>
            <w:pPr>
              <w:ind w:left="420"/>
              <w:spacing w:after="0"/>
              <w:rPr>
                <w:sz w:val="20"/>
                <w:szCs w:val="20"/>
                <w:color w:val="auto"/>
              </w:rPr>
            </w:pPr>
            <w:r>
              <w:rPr>
                <w:rFonts w:ascii="Arial" w:cs="Arial" w:eastAsia="Arial" w:hAnsi="Arial"/>
                <w:sz w:val="18"/>
                <w:szCs w:val="18"/>
                <w:color w:val="auto"/>
              </w:rPr>
              <w:t>Gogo Inc.</w:t>
            </w:r>
          </w:p>
        </w:tc>
        <w:tc>
          <w:tcPr>
            <w:tcW w:w="2600" w:type="dxa"/>
            <w:vAlign w:val="bottom"/>
          </w:tcPr>
          <w:p>
            <w:pPr>
              <w:ind w:left="80"/>
              <w:spacing w:after="0"/>
              <w:rPr>
                <w:sz w:val="20"/>
                <w:szCs w:val="20"/>
                <w:color w:val="auto"/>
              </w:rPr>
            </w:pPr>
            <w:r>
              <w:rPr>
                <w:rFonts w:ascii="Arial" w:cs="Arial" w:eastAsia="Arial" w:hAnsi="Arial"/>
                <w:sz w:val="18"/>
                <w:szCs w:val="18"/>
                <w:color w:val="auto"/>
              </w:rPr>
              <w:t>Manhattan Associates, Inc.</w:t>
            </w:r>
          </w:p>
        </w:tc>
        <w:tc>
          <w:tcPr>
            <w:tcW w:w="2220" w:type="dxa"/>
            <w:vAlign w:val="bottom"/>
          </w:tcPr>
          <w:p>
            <w:pPr>
              <w:ind w:left="340"/>
              <w:spacing w:after="0"/>
              <w:rPr>
                <w:sz w:val="20"/>
                <w:szCs w:val="20"/>
                <w:color w:val="auto"/>
              </w:rPr>
            </w:pPr>
            <w:r>
              <w:rPr>
                <w:rFonts w:ascii="Arial" w:cs="Arial" w:eastAsia="Arial" w:hAnsi="Arial"/>
                <w:sz w:val="18"/>
                <w:szCs w:val="18"/>
                <w:color w:val="auto"/>
              </w:rPr>
              <w:t>TrueCar, Inc.</w:t>
            </w:r>
          </w:p>
        </w:tc>
      </w:tr>
      <w:tr>
        <w:trPr>
          <w:trHeight w:val="257"/>
        </w:trPr>
        <w:tc>
          <w:tcPr>
            <w:tcW w:w="2780" w:type="dxa"/>
            <w:vAlign w:val="bottom"/>
          </w:tcPr>
          <w:p>
            <w:pPr>
              <w:spacing w:after="0"/>
              <w:rPr>
                <w:sz w:val="20"/>
                <w:szCs w:val="20"/>
                <w:color w:val="auto"/>
              </w:rPr>
            </w:pPr>
            <w:r>
              <w:rPr>
                <w:rFonts w:ascii="Arial" w:cs="Arial" w:eastAsia="Arial" w:hAnsi="Arial"/>
                <w:sz w:val="18"/>
                <w:szCs w:val="18"/>
                <w:color w:val="auto"/>
              </w:rPr>
              <w:t>CoStar Group Inc.</w:t>
            </w:r>
          </w:p>
        </w:tc>
        <w:tc>
          <w:tcPr>
            <w:tcW w:w="2960" w:type="dxa"/>
            <w:vAlign w:val="bottom"/>
          </w:tcPr>
          <w:p>
            <w:pPr>
              <w:ind w:left="420"/>
              <w:spacing w:after="0"/>
              <w:rPr>
                <w:sz w:val="20"/>
                <w:szCs w:val="20"/>
                <w:color w:val="auto"/>
              </w:rPr>
            </w:pPr>
            <w:r>
              <w:rPr>
                <w:rFonts w:ascii="Arial" w:cs="Arial" w:eastAsia="Arial" w:hAnsi="Arial"/>
                <w:sz w:val="18"/>
                <w:szCs w:val="18"/>
                <w:color w:val="auto"/>
              </w:rPr>
              <w:t>GrubHub Inc.</w:t>
            </w:r>
          </w:p>
        </w:tc>
        <w:tc>
          <w:tcPr>
            <w:tcW w:w="2600" w:type="dxa"/>
            <w:vAlign w:val="bottom"/>
          </w:tcPr>
          <w:p>
            <w:pPr>
              <w:ind w:left="80"/>
              <w:spacing w:after="0"/>
              <w:rPr>
                <w:sz w:val="20"/>
                <w:szCs w:val="20"/>
                <w:color w:val="auto"/>
              </w:rPr>
            </w:pPr>
            <w:r>
              <w:rPr>
                <w:rFonts w:ascii="Arial" w:cs="Arial" w:eastAsia="Arial" w:hAnsi="Arial"/>
                <w:sz w:val="18"/>
                <w:szCs w:val="18"/>
                <w:color w:val="auto"/>
              </w:rPr>
              <w:t>Mercadolibre, Inc.</w:t>
            </w:r>
          </w:p>
        </w:tc>
        <w:tc>
          <w:tcPr>
            <w:tcW w:w="2220" w:type="dxa"/>
            <w:vAlign w:val="bottom"/>
          </w:tcPr>
          <w:p>
            <w:pPr>
              <w:ind w:left="340"/>
              <w:spacing w:after="0"/>
              <w:rPr>
                <w:sz w:val="20"/>
                <w:szCs w:val="20"/>
                <w:color w:val="auto"/>
              </w:rPr>
            </w:pPr>
            <w:r>
              <w:rPr>
                <w:rFonts w:ascii="Arial" w:cs="Arial" w:eastAsia="Arial" w:hAnsi="Arial"/>
                <w:sz w:val="18"/>
                <w:szCs w:val="18"/>
                <w:color w:val="auto"/>
                <w:w w:val="97"/>
              </w:rPr>
              <w:t>Tyler Technologies, Inc.</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Coupons.com Incorporated</w:t>
            </w:r>
          </w:p>
        </w:tc>
        <w:tc>
          <w:tcPr>
            <w:tcW w:w="2960" w:type="dxa"/>
            <w:vAlign w:val="bottom"/>
          </w:tcPr>
          <w:p>
            <w:pPr>
              <w:ind w:left="420"/>
              <w:spacing w:after="0"/>
              <w:rPr>
                <w:sz w:val="20"/>
                <w:szCs w:val="20"/>
                <w:color w:val="auto"/>
              </w:rPr>
            </w:pPr>
            <w:r>
              <w:rPr>
                <w:rFonts w:ascii="Arial" w:cs="Arial" w:eastAsia="Arial" w:hAnsi="Arial"/>
                <w:sz w:val="18"/>
                <w:szCs w:val="18"/>
                <w:color w:val="auto"/>
              </w:rPr>
              <w:t>Guidewire Software, Inc.</w:t>
            </w:r>
          </w:p>
        </w:tc>
        <w:tc>
          <w:tcPr>
            <w:tcW w:w="2600" w:type="dxa"/>
            <w:vAlign w:val="bottom"/>
          </w:tcPr>
          <w:p>
            <w:pPr>
              <w:spacing w:after="0"/>
              <w:rPr>
                <w:sz w:val="23"/>
                <w:szCs w:val="23"/>
                <w:color w:val="auto"/>
              </w:rPr>
            </w:pPr>
          </w:p>
        </w:tc>
        <w:tc>
          <w:tcPr>
            <w:tcW w:w="2220" w:type="dxa"/>
            <w:vAlign w:val="bottom"/>
          </w:tcPr>
          <w:p>
            <w:pPr>
              <w:ind w:left="340"/>
              <w:spacing w:after="0"/>
              <w:rPr>
                <w:sz w:val="20"/>
                <w:szCs w:val="20"/>
                <w:color w:val="auto"/>
              </w:rPr>
            </w:pPr>
            <w:r>
              <w:rPr>
                <w:rFonts w:ascii="Arial" w:cs="Arial" w:eastAsia="Arial" w:hAnsi="Arial"/>
                <w:sz w:val="18"/>
                <w:szCs w:val="18"/>
                <w:color w:val="auto"/>
              </w:rPr>
              <w:t>Yelp Inc.</w:t>
            </w:r>
          </w:p>
        </w:tc>
      </w:tr>
    </w:tbl>
    <w:p>
      <w:pPr>
        <w:spacing w:after="0" w:line="22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February 2019, the Compensation Committee, with recommendation from Aon Hewitt, approved a revised peer group of 19 companies in connection with developing recommendations for Mr. Oringer’s 2019 compensation. The companies in the peer group in respect of 2019 compensation matters consist of technology and software services companies that are similar to us in industry code, revenue, market capitalization and sales growth and include the following:</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720" w:type="dxa"/>
            <w:vAlign w:val="bottom"/>
          </w:tcPr>
          <w:p>
            <w:pPr>
              <w:spacing w:after="0"/>
              <w:rPr>
                <w:sz w:val="20"/>
                <w:szCs w:val="20"/>
                <w:color w:val="auto"/>
              </w:rPr>
            </w:pPr>
            <w:r>
              <w:rPr>
                <w:rFonts w:ascii="Arial" w:cs="Arial" w:eastAsia="Arial" w:hAnsi="Arial"/>
                <w:sz w:val="18"/>
                <w:szCs w:val="18"/>
                <w:color w:val="auto"/>
              </w:rPr>
              <w:t>1-800-FLOWERS.COM, Inc.</w:t>
            </w:r>
          </w:p>
        </w:tc>
        <w:tc>
          <w:tcPr>
            <w:tcW w:w="2960" w:type="dxa"/>
            <w:vAlign w:val="bottom"/>
          </w:tcPr>
          <w:p>
            <w:pPr>
              <w:ind w:left="360"/>
              <w:spacing w:after="0"/>
              <w:rPr>
                <w:sz w:val="20"/>
                <w:szCs w:val="20"/>
                <w:color w:val="auto"/>
              </w:rPr>
            </w:pPr>
            <w:r>
              <w:rPr>
                <w:rFonts w:ascii="Arial" w:cs="Arial" w:eastAsia="Arial" w:hAnsi="Arial"/>
                <w:sz w:val="18"/>
                <w:szCs w:val="18"/>
                <w:color w:val="auto"/>
              </w:rPr>
              <w:t>Cornerstone OnDemand, Inc.</w:t>
            </w:r>
          </w:p>
        </w:tc>
        <w:tc>
          <w:tcPr>
            <w:tcW w:w="2880" w:type="dxa"/>
            <w:vAlign w:val="bottom"/>
          </w:tcPr>
          <w:p>
            <w:pPr>
              <w:ind w:left="140"/>
              <w:spacing w:after="0"/>
              <w:rPr>
                <w:sz w:val="20"/>
                <w:szCs w:val="20"/>
                <w:color w:val="auto"/>
              </w:rPr>
            </w:pPr>
            <w:r>
              <w:rPr>
                <w:rFonts w:ascii="Arial" w:cs="Arial" w:eastAsia="Arial" w:hAnsi="Arial"/>
                <w:sz w:val="18"/>
                <w:szCs w:val="18"/>
                <w:color w:val="auto"/>
              </w:rPr>
              <w:t>MicroStrategy Incorporated</w:t>
            </w:r>
          </w:p>
        </w:tc>
        <w:tc>
          <w:tcPr>
            <w:tcW w:w="1980" w:type="dxa"/>
            <w:vAlign w:val="bottom"/>
          </w:tcPr>
          <w:p>
            <w:pPr>
              <w:ind w:left="120"/>
              <w:spacing w:after="0"/>
              <w:rPr>
                <w:sz w:val="20"/>
                <w:szCs w:val="20"/>
                <w:color w:val="auto"/>
              </w:rPr>
            </w:pPr>
            <w:r>
              <w:rPr>
                <w:rFonts w:ascii="Arial" w:cs="Arial" w:eastAsia="Arial" w:hAnsi="Arial"/>
                <w:sz w:val="18"/>
                <w:szCs w:val="18"/>
                <w:color w:val="auto"/>
              </w:rPr>
              <w:t>Redfin Corporation</w:t>
            </w: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Bottomline Technologies, Inc.</w:t>
            </w:r>
          </w:p>
        </w:tc>
        <w:tc>
          <w:tcPr>
            <w:tcW w:w="2960" w:type="dxa"/>
            <w:vAlign w:val="bottom"/>
          </w:tcPr>
          <w:p>
            <w:pPr>
              <w:ind w:left="360"/>
              <w:spacing w:after="0"/>
              <w:rPr>
                <w:sz w:val="20"/>
                <w:szCs w:val="20"/>
                <w:color w:val="auto"/>
              </w:rPr>
            </w:pPr>
            <w:r>
              <w:rPr>
                <w:rFonts w:ascii="Arial" w:cs="Arial" w:eastAsia="Arial" w:hAnsi="Arial"/>
                <w:sz w:val="18"/>
                <w:szCs w:val="18"/>
                <w:color w:val="auto"/>
              </w:rPr>
              <w:t>Ellie Mae, Inc.</w:t>
            </w:r>
          </w:p>
        </w:tc>
        <w:tc>
          <w:tcPr>
            <w:tcW w:w="2880" w:type="dxa"/>
            <w:vAlign w:val="bottom"/>
          </w:tcPr>
          <w:p>
            <w:pPr>
              <w:ind w:left="140"/>
              <w:spacing w:after="0"/>
              <w:rPr>
                <w:sz w:val="20"/>
                <w:szCs w:val="20"/>
                <w:color w:val="auto"/>
              </w:rPr>
            </w:pPr>
            <w:r>
              <w:rPr>
                <w:rFonts w:ascii="Arial" w:cs="Arial" w:eastAsia="Arial" w:hAnsi="Arial"/>
                <w:sz w:val="18"/>
                <w:szCs w:val="18"/>
                <w:color w:val="auto"/>
              </w:rPr>
              <w:t>Monotype Imaging Holdings, Inc.</w:t>
            </w:r>
          </w:p>
        </w:tc>
        <w:tc>
          <w:tcPr>
            <w:tcW w:w="1980" w:type="dxa"/>
            <w:vAlign w:val="bottom"/>
          </w:tcPr>
          <w:p>
            <w:pPr>
              <w:ind w:left="120"/>
              <w:spacing w:after="0"/>
              <w:rPr>
                <w:sz w:val="20"/>
                <w:szCs w:val="20"/>
                <w:color w:val="auto"/>
              </w:rPr>
            </w:pPr>
            <w:r>
              <w:rPr>
                <w:rFonts w:ascii="Arial" w:cs="Arial" w:eastAsia="Arial" w:hAnsi="Arial"/>
                <w:sz w:val="18"/>
                <w:szCs w:val="18"/>
                <w:color w:val="auto"/>
              </w:rPr>
              <w:t>Shutterfly, Inc.</w:t>
            </w:r>
          </w:p>
        </w:tc>
      </w:tr>
      <w:tr>
        <w:trPr>
          <w:trHeight w:val="242"/>
        </w:trPr>
        <w:tc>
          <w:tcPr>
            <w:tcW w:w="2720" w:type="dxa"/>
            <w:vAlign w:val="bottom"/>
          </w:tcPr>
          <w:p>
            <w:pPr>
              <w:spacing w:after="0"/>
              <w:rPr>
                <w:sz w:val="20"/>
                <w:szCs w:val="20"/>
                <w:color w:val="auto"/>
              </w:rPr>
            </w:pPr>
            <w:r>
              <w:rPr>
                <w:rFonts w:ascii="Arial" w:cs="Arial" w:eastAsia="Arial" w:hAnsi="Arial"/>
                <w:sz w:val="18"/>
                <w:szCs w:val="18"/>
                <w:color w:val="auto"/>
              </w:rPr>
              <w:t>Box, Inc.</w:t>
            </w:r>
          </w:p>
        </w:tc>
        <w:tc>
          <w:tcPr>
            <w:tcW w:w="2960" w:type="dxa"/>
            <w:vAlign w:val="bottom"/>
          </w:tcPr>
          <w:p>
            <w:pPr>
              <w:ind w:left="360"/>
              <w:spacing w:after="0"/>
              <w:rPr>
                <w:sz w:val="20"/>
                <w:szCs w:val="20"/>
                <w:color w:val="auto"/>
              </w:rPr>
            </w:pPr>
            <w:r>
              <w:rPr>
                <w:rFonts w:ascii="Arial" w:cs="Arial" w:eastAsia="Arial" w:hAnsi="Arial"/>
                <w:sz w:val="18"/>
                <w:szCs w:val="18"/>
                <w:color w:val="auto"/>
              </w:rPr>
              <w:t>Endurance International Group</w:t>
            </w:r>
          </w:p>
        </w:tc>
        <w:tc>
          <w:tcPr>
            <w:tcW w:w="2880" w:type="dxa"/>
            <w:vAlign w:val="bottom"/>
          </w:tcPr>
          <w:p>
            <w:pPr>
              <w:ind w:left="140"/>
              <w:spacing w:after="0"/>
              <w:rPr>
                <w:sz w:val="20"/>
                <w:szCs w:val="20"/>
                <w:color w:val="auto"/>
              </w:rPr>
            </w:pPr>
            <w:r>
              <w:rPr>
                <w:rFonts w:ascii="Arial" w:cs="Arial" w:eastAsia="Arial" w:hAnsi="Arial"/>
                <w:sz w:val="18"/>
                <w:szCs w:val="18"/>
                <w:color w:val="auto"/>
              </w:rPr>
              <w:t>Nutrisystem, Inc.</w:t>
            </w:r>
          </w:p>
        </w:tc>
        <w:tc>
          <w:tcPr>
            <w:tcW w:w="1980" w:type="dxa"/>
            <w:vAlign w:val="bottom"/>
          </w:tcPr>
          <w:p>
            <w:pPr>
              <w:ind w:left="120"/>
              <w:spacing w:after="0"/>
              <w:rPr>
                <w:sz w:val="20"/>
                <w:szCs w:val="20"/>
                <w:color w:val="auto"/>
              </w:rPr>
            </w:pPr>
            <w:r>
              <w:rPr>
                <w:rFonts w:ascii="Arial" w:cs="Arial" w:eastAsia="Arial" w:hAnsi="Arial"/>
                <w:sz w:val="18"/>
                <w:szCs w:val="18"/>
                <w:color w:val="auto"/>
              </w:rPr>
              <w:t>Stitch Fix, Inc.</w:t>
            </w:r>
          </w:p>
        </w:tc>
      </w:tr>
      <w:tr>
        <w:trPr>
          <w:trHeight w:val="217"/>
        </w:trPr>
        <w:tc>
          <w:tcPr>
            <w:tcW w:w="2720" w:type="dxa"/>
            <w:vAlign w:val="bottom"/>
          </w:tcPr>
          <w:p>
            <w:pPr>
              <w:spacing w:after="0"/>
              <w:rPr>
                <w:sz w:val="18"/>
                <w:szCs w:val="18"/>
                <w:color w:val="auto"/>
              </w:rPr>
            </w:pPr>
          </w:p>
        </w:tc>
        <w:tc>
          <w:tcPr>
            <w:tcW w:w="2960" w:type="dxa"/>
            <w:vAlign w:val="bottom"/>
          </w:tcPr>
          <w:p>
            <w:pPr>
              <w:ind w:left="360"/>
              <w:spacing w:after="0"/>
              <w:rPr>
                <w:sz w:val="20"/>
                <w:szCs w:val="20"/>
                <w:color w:val="auto"/>
              </w:rPr>
            </w:pPr>
            <w:r>
              <w:rPr>
                <w:rFonts w:ascii="Arial" w:cs="Arial" w:eastAsia="Arial" w:hAnsi="Arial"/>
                <w:sz w:val="18"/>
                <w:szCs w:val="18"/>
                <w:color w:val="auto"/>
              </w:rPr>
              <w:t>Holdings, Inc.</w:t>
            </w:r>
          </w:p>
        </w:tc>
        <w:tc>
          <w:tcPr>
            <w:tcW w:w="28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Carbonite, Inc.</w:t>
            </w:r>
          </w:p>
        </w:tc>
        <w:tc>
          <w:tcPr>
            <w:tcW w:w="2960" w:type="dxa"/>
            <w:vAlign w:val="bottom"/>
          </w:tcPr>
          <w:p>
            <w:pPr>
              <w:ind w:left="360"/>
              <w:spacing w:after="0"/>
              <w:rPr>
                <w:sz w:val="20"/>
                <w:szCs w:val="20"/>
                <w:color w:val="auto"/>
              </w:rPr>
            </w:pPr>
            <w:r>
              <w:rPr>
                <w:rFonts w:ascii="Arial" w:cs="Arial" w:eastAsia="Arial" w:hAnsi="Arial"/>
                <w:sz w:val="18"/>
                <w:szCs w:val="18"/>
                <w:color w:val="auto"/>
              </w:rPr>
              <w:t>Envestnet, Inc.</w:t>
            </w:r>
          </w:p>
        </w:tc>
        <w:tc>
          <w:tcPr>
            <w:tcW w:w="2880" w:type="dxa"/>
            <w:vAlign w:val="bottom"/>
          </w:tcPr>
          <w:p>
            <w:pPr>
              <w:ind w:left="140"/>
              <w:spacing w:after="0"/>
              <w:rPr>
                <w:sz w:val="20"/>
                <w:szCs w:val="20"/>
                <w:color w:val="auto"/>
              </w:rPr>
            </w:pPr>
            <w:r>
              <w:rPr>
                <w:rFonts w:ascii="Arial" w:cs="Arial" w:eastAsia="Arial" w:hAnsi="Arial"/>
                <w:sz w:val="18"/>
                <w:szCs w:val="18"/>
                <w:color w:val="auto"/>
              </w:rPr>
              <w:t>QuinStreet, Inc.</w:t>
            </w:r>
          </w:p>
        </w:tc>
        <w:tc>
          <w:tcPr>
            <w:tcW w:w="1980" w:type="dxa"/>
            <w:vAlign w:val="bottom"/>
          </w:tcPr>
          <w:p>
            <w:pPr>
              <w:ind w:left="120"/>
              <w:spacing w:after="0"/>
              <w:rPr>
                <w:sz w:val="20"/>
                <w:szCs w:val="20"/>
                <w:color w:val="auto"/>
              </w:rPr>
            </w:pPr>
            <w:r>
              <w:rPr>
                <w:rFonts w:ascii="Arial" w:cs="Arial" w:eastAsia="Arial" w:hAnsi="Arial"/>
                <w:sz w:val="18"/>
                <w:szCs w:val="18"/>
                <w:color w:val="auto"/>
              </w:rPr>
              <w:t>TrueCar, Inc.</w:t>
            </w: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Cloudera, Inc.</w:t>
            </w:r>
          </w:p>
        </w:tc>
        <w:tc>
          <w:tcPr>
            <w:tcW w:w="2960" w:type="dxa"/>
            <w:vAlign w:val="bottom"/>
          </w:tcPr>
          <w:p>
            <w:pPr>
              <w:spacing w:after="0"/>
              <w:rPr>
                <w:sz w:val="22"/>
                <w:szCs w:val="22"/>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Quotient Technology, Inc.</w:t>
            </w:r>
          </w:p>
        </w:tc>
        <w:tc>
          <w:tcPr>
            <w:tcW w:w="1980" w:type="dxa"/>
            <w:vAlign w:val="bottom"/>
          </w:tcPr>
          <w:p>
            <w:pPr>
              <w:ind w:left="120"/>
              <w:spacing w:after="0"/>
              <w:rPr>
                <w:sz w:val="20"/>
                <w:szCs w:val="20"/>
                <w:color w:val="auto"/>
              </w:rPr>
            </w:pPr>
            <w:r>
              <w:rPr>
                <w:rFonts w:ascii="Arial" w:cs="Arial" w:eastAsia="Arial" w:hAnsi="Arial"/>
                <w:sz w:val="18"/>
                <w:szCs w:val="18"/>
                <w:color w:val="auto"/>
                <w:w w:val="98"/>
              </w:rPr>
              <w:t>Vonage Holdings Corp.</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16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 developing compensation recommendations for Mr. Oringer, our Compensation Committee, in its business judgment, has sought to appropriately reward Mr. Oringer’s previous and current contributions, his critical contributions to the Company’s ongoing success and the success of our brand and to create incentives for Mr. Oringer to continue to contribute significantly to successful results in the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62"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Since April 2014, Mr. Oringer’s annual base salary has been $ 1.00 (one dollar) and Mr. Oringer has remained ineligible to participate in our Short-Term Incentive Plan and receive an annual cash bonus. In providing for a $1.00 (one dollar) salary, the Compensation Committee intended to align Mr. Oringer’s compensation to the Company’s long-term business objectives and long-term stock price performance.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6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From our initial public offering in October 2012 through April 2014, Mr. Oringer did not receive any equity compensation for his services as our Founder and Chief Executive Officer.</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April 2014, in connection with aligning Mr. Oringer’s compensation with the long-term business objectives and long-term stock price performance, the Compensation Committee reviewed Mr. Oringer’s total compensation package and, along with reducing Mr. Oringer’s base salary to $1.00 (one dollar), the Compensation Committee approved a grant to Mr. Oringer of options to purchase 500,000 shares of our Common Stock, with an exercise price of $80.94, which vested on the five-year anniversary of the date of grant but is only exercisable if the average closing price for our Common Stock equals or exceeds $161.88 during any 90 consecutive calendar day period occurring between the five year anniversary of the date of grant and the earlier of Mr. Oringer’s termination of service with the Company or April 23, 2024 (the expiration date of the stock option). The $80.94 exercise price was set at a premium to the $74.09 closing price of our Common Stock on the date of grant, specifically equal to the</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average closing price of our Common Stock over the 90 calendar days preceding the date of grant. The $161.88 stock price threshold represents twice the exercise price, or twice the average closing price of our Common Stock over the 90 calendar days preceding the date of grant. The Compensation Committee believed that using a 90-day average was important to minimize the impact of day to day market fluctuations on the material terms of this award.</w:t>
      </w:r>
    </w:p>
    <w:p>
      <w:pPr>
        <w:spacing w:after="0" w:line="123"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 April 2014, the Compensation Committee also granted Mr. Oringer a performance-based RSU for 100,000 shares of our Common Stock, which vests if the average closing price for our Common Stock equals or exceeds $161.88 during any 90 consecutive calendar day period occurring between the five year anniversary of the date of grant and the earlier of Mr. Oringer’s termination of service with the Company or April 23, 2024, as long as Mr. Oringer provides continued service through the five-year anniversary of the date of grant.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is unable to meet the stock price targets during years six through ten of the term of the grant, the grants will be forfeited by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Oringer.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Mr. Oringer was not granted any equity compensation in 2015.</w:t>
      </w:r>
    </w:p>
    <w:p>
      <w:pPr>
        <w:spacing w:after="0" w:line="14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In February 2016, the Compensation Committee, in consultation with the then current Chief People Officer, reviewed Mr. Oringer’s overall compensation, specifically with respect to Mr. Oringer’s total realizable compensation and, recognizing Mr. Oringer’s contributions to the Company’s long term growth and a desire to motivate his success and retain his services, determined that it was in the best interest of the Company and its stockholders to grant Mr. Oringer a stock option to purchase 250,000 shares of our Common Stock, with an exercise price equal to the fair market value as of the date of grant. This option vests in four equal annual installments beginning on March 1,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Mr. Oringer was not granted any additional equity compensation in 2017 and 2018.</w:t>
      </w:r>
    </w:p>
    <w:p>
      <w:pPr>
        <w:spacing w:after="0" w:line="14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April 2019, recognizing that one of the Company’s key compensation philosophies is that long-term stock-based incentive compensation strengthens the alignment of the interests of our executive officers with our stockholders, and in consultation with Aon Hewitt, its independent compensation consultant, the Compensation Committee believed it was in the best interest of the Company and its stockholders to grant Mr. Oringer a performance stock unit (“PSU”) valued at $4,500,000. The number of PSUs subject to the grant was determined by dividing (x) the cash value of the award by (y) the average of the Company’s closing price for a share of Common Stock on each trading day during the thirty (30) trading days period ending on the date immediately prior to the grant date, rounded down to the nearest whole number of shares.</w:t>
      </w:r>
    </w:p>
    <w:p>
      <w:pPr>
        <w:spacing w:after="0" w:line="12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PSUs have a maximum three-year vesting period, contingent on continued service and the achievement of the specified performance goals in the specific years. For the PSUs granted to Mr. Oringer in 2019, the Compensation Committee selected Adjusted EBITDA as the financial metric. Annual targets over a three-year period were set by the Compensation Committee based on the Company’s strategic objectives and goals. The Company’s strategic objectives and goals are confidential and disclosure of those targets could provide information that could lead to competitive harm, and for this reason the annual Adjusted EBITDA targets over the three-year period are not disclosed; however, the Compensation Committee seeks to make target goals ambitious, requiring meaningful growth over the performance period, while threshold goals are expected to be achievable. The Company intends to disclose the Adjusted EBITDA payout results as a percentage of target as well as the resulting payout for the applicable fiscal year PSUs as a percentage of target after the end of the applicable performance period.</w:t>
      </w:r>
    </w:p>
    <w:p>
      <w:pPr>
        <w:spacing w:after="0" w:line="285"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Percentage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28575</wp:posOffset>
            </wp:positionV>
            <wp:extent cx="2590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65" w:lineRule="exact"/>
        <w:rPr>
          <w:sz w:val="20"/>
          <w:szCs w:val="20"/>
          <w:color w:val="auto"/>
        </w:rPr>
      </w:pPr>
    </w:p>
    <w:p>
      <w:pPr>
        <w:ind w:left="4280"/>
        <w:spacing w:after="0"/>
        <w:tabs>
          <w:tab w:leader="none" w:pos="6260" w:val="left"/>
        </w:tabs>
        <w:rPr>
          <w:sz w:val="20"/>
          <w:szCs w:val="20"/>
          <w:color w:val="auto"/>
        </w:rPr>
      </w:pPr>
      <w:r>
        <w:rPr>
          <w:rFonts w:ascii="Arial" w:cs="Arial" w:eastAsia="Arial" w:hAnsi="Arial"/>
          <w:sz w:val="18"/>
          <w:szCs w:val="18"/>
          <w:color w:val="auto"/>
        </w:rPr>
        <w:t>Outstanding</w:t>
      </w:r>
      <w:r>
        <w:rPr>
          <w:sz w:val="20"/>
          <w:szCs w:val="20"/>
          <w:color w:val="auto"/>
        </w:rPr>
        <w:tab/>
      </w:r>
      <w:r>
        <w:rPr>
          <w:rFonts w:ascii="Arial" w:cs="Arial" w:eastAsia="Arial" w:hAnsi="Arial"/>
          <w:sz w:val="18"/>
          <w:szCs w:val="18"/>
          <w:color w:val="auto"/>
        </w:rPr>
        <w:t>150%</w:t>
      </w:r>
    </w:p>
    <w:p>
      <w:pPr>
        <w:spacing w:after="0" w:line="50" w:lineRule="exact"/>
        <w:rPr>
          <w:sz w:val="20"/>
          <w:szCs w:val="20"/>
          <w:color w:val="auto"/>
        </w:rPr>
      </w:pPr>
    </w:p>
    <w:p>
      <w:pPr>
        <w:ind w:left="4740"/>
        <w:spacing w:after="0"/>
        <w:tabs>
          <w:tab w:leader="none" w:pos="6260" w:val="left"/>
        </w:tabs>
        <w:rPr>
          <w:sz w:val="20"/>
          <w:szCs w:val="20"/>
          <w:color w:val="auto"/>
        </w:rPr>
      </w:pPr>
      <w:r>
        <w:rPr>
          <w:rFonts w:ascii="Arial" w:cs="Arial" w:eastAsia="Arial" w:hAnsi="Arial"/>
          <w:sz w:val="18"/>
          <w:szCs w:val="18"/>
          <w:color w:val="auto"/>
        </w:rPr>
        <w:t>Target</w:t>
      </w:r>
      <w:r>
        <w:rPr>
          <w:sz w:val="20"/>
          <w:szCs w:val="20"/>
          <w:color w:val="auto"/>
        </w:rPr>
        <w:tab/>
      </w:r>
      <w:r>
        <w:rPr>
          <w:rFonts w:ascii="Arial" w:cs="Arial" w:eastAsia="Arial" w:hAnsi="Arial"/>
          <w:sz w:val="18"/>
          <w:szCs w:val="18"/>
          <w:color w:val="auto"/>
        </w:rPr>
        <w:t>100%</w:t>
      </w:r>
    </w:p>
    <w:p>
      <w:pPr>
        <w:spacing w:after="0" w:line="50" w:lineRule="exact"/>
        <w:rPr>
          <w:sz w:val="20"/>
          <w:szCs w:val="20"/>
          <w:color w:val="auto"/>
        </w:rPr>
      </w:pPr>
    </w:p>
    <w:p>
      <w:pPr>
        <w:ind w:left="4440"/>
        <w:spacing w:after="0"/>
        <w:tabs>
          <w:tab w:leader="none" w:pos="6320" w:val="left"/>
        </w:tabs>
        <w:rPr>
          <w:sz w:val="20"/>
          <w:szCs w:val="20"/>
          <w:color w:val="auto"/>
        </w:rPr>
      </w:pPr>
      <w:r>
        <w:rPr>
          <w:rFonts w:ascii="Arial" w:cs="Arial" w:eastAsia="Arial" w:hAnsi="Arial"/>
          <w:sz w:val="18"/>
          <w:szCs w:val="18"/>
          <w:color w:val="auto"/>
        </w:rPr>
        <w:t>Threshold</w:t>
      </w:r>
      <w:r>
        <w:rPr>
          <w:sz w:val="20"/>
          <w:szCs w:val="20"/>
          <w:color w:val="auto"/>
        </w:rPr>
        <w:tab/>
      </w: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14605</wp:posOffset>
            </wp:positionV>
            <wp:extent cx="25901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each tranche of the PSU award that is eligible to vest on a vesting date, vesting is contingent on the Company achieving at least a threshold adjusted EBITDA goal for the fiscal year prior to the fiscal year in which the vesting date occurs. The PSU payout opportunity ranges from 0 to 150% of target, based on performance and subject to continued employment. At the threshold performance level, 75% of target PSUs would pay out, and at or above the outstanding performance level, 150% of target PSUs would pay out. If the threshold goal is not achieved in an applicable performance year, vesting of that tranche is delayed to the next scheduled vesting date for which the Adjusted EBITDA goal is achieved. Unvested awards from prior years may vest cumulatively on the scheduled</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vesting date for a future year within the three-year vesting period if the Adjusted EBITDA threshold for that year is achieved. For example, if Adjusted EBITDA performance for the first vesting date is below threshold, then vesting will be delayed. If the Adjusted EBITDA threshold is achieved prior to the second vesting opportunity, then the first tranche of the award will vest on the second vesting date along with any vesting for the second tranche based on achievement of the performance goals for the second year. If the Adjusted EBITDA threshold levels have not been met in any of the performance years by the end of the three-year period, any unvested PSUs will be forfeited.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Compensation</w:t>
      </w:r>
    </w:p>
    <w:p>
      <w:pPr>
        <w:spacing w:after="0" w:line="16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For purposes of the “Summary Compensation Table” following this Compensation Discussion and Analysis, we are required to report pursuant to applicable SEC rules any equity awards to Mr. Oringer at values determined as of the respective grant dates and which are driven by certain assumptions prescribed by Financial Accounting Board Accounting Standards Codification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Topic 718”). As a result, there may be a significant difference between what is reported as compensation for a given year in such table and the value actually realized as compensation in that year or over a period of time. Moreover, the vast majority of reported compensation in respect of such stock option grants is an incentive for future performance and is realizable only if the awards vest and Company’s stock price appreciates to the stock price target.</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 supplement the reported compensation disclosed in the “Summary Compensation Table,” we have included the following table, which shows the total realized compensation of Mr. Oringer for the periods presented in the “Summary Compensation Table.” Realized compensation is not a substitute for reported compensation in evaluating our compensation structure, but we believe that realized compensation is an important factor in understanding the impact of the Company’s stock price performance for the vesting of Mr. Oringer’s performance RSUs and option awards granted on the value of compensation that Mr. Oringer ultimately realizes.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39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 Compensation Reported in Summary</w:t>
            </w:r>
          </w:p>
        </w:tc>
        <w:tc>
          <w:tcPr>
            <w:tcW w:w="3660" w:type="dxa"/>
            <w:vAlign w:val="bottom"/>
          </w:tcPr>
          <w:p>
            <w:pPr>
              <w:spacing w:after="0"/>
              <w:rPr>
                <w:sz w:val="17"/>
                <w:szCs w:val="17"/>
                <w:color w:val="auto"/>
              </w:rPr>
            </w:pPr>
          </w:p>
        </w:tc>
      </w:tr>
      <w:tr>
        <w:trPr>
          <w:trHeight w:val="252"/>
        </w:trPr>
        <w:tc>
          <w:tcPr>
            <w:tcW w:w="3800" w:type="dxa"/>
            <w:vAlign w:val="bottom"/>
            <w:tcBorders>
              <w:bottom w:val="single" w:sz="8" w:color="auto"/>
            </w:tcBorders>
          </w:tcPr>
          <w:p>
            <w:pPr>
              <w:jc w:val="right"/>
              <w:ind w:right="3290"/>
              <w:spacing w:after="0"/>
              <w:rPr>
                <w:sz w:val="20"/>
                <w:szCs w:val="20"/>
                <w:color w:val="auto"/>
              </w:rPr>
            </w:pPr>
            <w:r>
              <w:rPr>
                <w:rFonts w:ascii="Arial" w:cs="Arial" w:eastAsia="Arial" w:hAnsi="Arial"/>
                <w:sz w:val="18"/>
                <w:szCs w:val="18"/>
                <w:b w:val="1"/>
                <w:bCs w:val="1"/>
                <w:color w:val="auto"/>
              </w:rPr>
              <w:t>Year</w:t>
            </w:r>
          </w:p>
        </w:tc>
        <w:tc>
          <w:tcPr>
            <w:tcW w:w="39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Compensation Table ($)</w:t>
            </w:r>
          </w:p>
        </w:tc>
        <w:tc>
          <w:tcPr>
            <w:tcW w:w="3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 Realized Compensation ($)</w:t>
            </w:r>
            <w:r>
              <w:rPr>
                <w:rFonts w:ascii="Arial" w:cs="Arial" w:eastAsia="Arial" w:hAnsi="Arial"/>
                <w:sz w:val="21"/>
                <w:szCs w:val="21"/>
                <w:b w:val="1"/>
                <w:bCs w:val="1"/>
                <w:color w:val="auto"/>
                <w:vertAlign w:val="superscript"/>
              </w:rPr>
              <w:t>(1)</w:t>
            </w:r>
          </w:p>
        </w:tc>
      </w:tr>
      <w:tr>
        <w:trPr>
          <w:trHeight w:val="237"/>
        </w:trPr>
        <w:tc>
          <w:tcPr>
            <w:tcW w:w="3800" w:type="dxa"/>
            <w:vAlign w:val="bottom"/>
          </w:tcPr>
          <w:p>
            <w:pPr>
              <w:jc w:val="right"/>
              <w:spacing w:after="0"/>
              <w:rPr>
                <w:sz w:val="20"/>
                <w:szCs w:val="20"/>
                <w:color w:val="auto"/>
              </w:rPr>
            </w:pPr>
            <w:r>
              <w:rPr>
                <w:rFonts w:ascii="Arial" w:cs="Arial" w:eastAsia="Arial" w:hAnsi="Arial"/>
                <w:sz w:val="18"/>
                <w:szCs w:val="18"/>
                <w:color w:val="auto"/>
              </w:rPr>
              <w:t>2018</w:t>
            </w:r>
          </w:p>
        </w:tc>
        <w:tc>
          <w:tcPr>
            <w:tcW w:w="3960" w:type="dxa"/>
            <w:vAlign w:val="bottom"/>
          </w:tcPr>
          <w:p>
            <w:pPr>
              <w:jc w:val="right"/>
              <w:ind w:right="230"/>
              <w:spacing w:after="0"/>
              <w:rPr>
                <w:sz w:val="20"/>
                <w:szCs w:val="20"/>
                <w:color w:val="auto"/>
              </w:rPr>
            </w:pPr>
            <w:r>
              <w:rPr>
                <w:rFonts w:ascii="Arial" w:cs="Arial" w:eastAsia="Arial" w:hAnsi="Arial"/>
                <w:sz w:val="18"/>
                <w:szCs w:val="18"/>
                <w:color w:val="auto"/>
              </w:rPr>
              <w:t>661</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661</w:t>
            </w:r>
          </w:p>
        </w:tc>
      </w:tr>
      <w:tr>
        <w:trPr>
          <w:trHeight w:val="257"/>
        </w:trPr>
        <w:tc>
          <w:tcPr>
            <w:tcW w:w="3800" w:type="dxa"/>
            <w:vAlign w:val="bottom"/>
          </w:tcPr>
          <w:p>
            <w:pPr>
              <w:jc w:val="right"/>
              <w:spacing w:after="0"/>
              <w:rPr>
                <w:sz w:val="20"/>
                <w:szCs w:val="20"/>
                <w:color w:val="auto"/>
              </w:rPr>
            </w:pPr>
            <w:r>
              <w:rPr>
                <w:rFonts w:ascii="Arial" w:cs="Arial" w:eastAsia="Arial" w:hAnsi="Arial"/>
                <w:sz w:val="18"/>
                <w:szCs w:val="18"/>
                <w:color w:val="auto"/>
              </w:rPr>
              <w:t>2017</w:t>
            </w:r>
          </w:p>
        </w:tc>
        <w:tc>
          <w:tcPr>
            <w:tcW w:w="3960" w:type="dxa"/>
            <w:vAlign w:val="bottom"/>
          </w:tcPr>
          <w:p>
            <w:pPr>
              <w:jc w:val="right"/>
              <w:ind w:right="230"/>
              <w:spacing w:after="0"/>
              <w:rPr>
                <w:sz w:val="20"/>
                <w:szCs w:val="20"/>
                <w:color w:val="auto"/>
              </w:rPr>
            </w:pPr>
            <w:r>
              <w:rPr>
                <w:rFonts w:ascii="Arial" w:cs="Arial" w:eastAsia="Arial" w:hAnsi="Arial"/>
                <w:sz w:val="18"/>
                <w:szCs w:val="18"/>
                <w:color w:val="auto"/>
              </w:rPr>
              <w:t>636</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636</w:t>
            </w:r>
          </w:p>
        </w:tc>
      </w:tr>
      <w:tr>
        <w:trPr>
          <w:trHeight w:val="257"/>
        </w:trPr>
        <w:tc>
          <w:tcPr>
            <w:tcW w:w="3800" w:type="dxa"/>
            <w:vAlign w:val="bottom"/>
          </w:tcPr>
          <w:p>
            <w:pPr>
              <w:jc w:val="right"/>
              <w:spacing w:after="0"/>
              <w:rPr>
                <w:sz w:val="20"/>
                <w:szCs w:val="20"/>
                <w:color w:val="auto"/>
              </w:rPr>
            </w:pPr>
            <w:r>
              <w:rPr>
                <w:rFonts w:ascii="Arial" w:cs="Arial" w:eastAsia="Arial" w:hAnsi="Arial"/>
                <w:sz w:val="18"/>
                <w:szCs w:val="18"/>
                <w:color w:val="auto"/>
              </w:rPr>
              <w:t>2016</w:t>
            </w:r>
          </w:p>
        </w:tc>
        <w:tc>
          <w:tcPr>
            <w:tcW w:w="3960" w:type="dxa"/>
            <w:vAlign w:val="bottom"/>
          </w:tcPr>
          <w:p>
            <w:pPr>
              <w:jc w:val="right"/>
              <w:ind w:right="230"/>
              <w:spacing w:after="0"/>
              <w:rPr>
                <w:sz w:val="20"/>
                <w:szCs w:val="20"/>
                <w:color w:val="auto"/>
              </w:rPr>
            </w:pPr>
            <w:r>
              <w:rPr>
                <w:rFonts w:ascii="Arial" w:cs="Arial" w:eastAsia="Arial" w:hAnsi="Arial"/>
                <w:sz w:val="18"/>
                <w:szCs w:val="18"/>
                <w:color w:val="auto"/>
              </w:rPr>
              <w:t>4,468,009</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509</w:t>
            </w:r>
          </w:p>
        </w:tc>
      </w:tr>
    </w:tbl>
    <w:p>
      <w:pPr>
        <w:spacing w:after="0" w:line="253" w:lineRule="exact"/>
        <w:rPr>
          <w:sz w:val="20"/>
          <w:szCs w:val="20"/>
          <w:color w:val="auto"/>
        </w:rPr>
      </w:pPr>
    </w:p>
    <w:p>
      <w:pPr>
        <w:ind w:left="660" w:right="60" w:hanging="328"/>
        <w:spacing w:after="0" w:line="249" w:lineRule="auto"/>
        <w:tabs>
          <w:tab w:leader="none" w:pos="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Total realized compensation for a given year is defined as salary, cash bonuses, non-equity incentive plan compensation and all other compensation as reported in the “Summary Compensation Table” below, plus, with respect to any stock options exercised in such year, if any, the difference between the market price of our Common Stock at the time of exercise on the exercise date and the exercise price of the option, plus, with respect to any restricted stock unit vested in such year, if any, the market price of our Common Stock at the time of vesting.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EE2724"/>
        </w:rPr>
        <w:t>Section 3 - Elements of 2018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elements of our executive compensation program are set forth in the following table and described in more detail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EE2724"/>
              </w:rPr>
              <w:t>Compensation Element</w:t>
            </w:r>
          </w:p>
        </w:tc>
        <w:tc>
          <w:tcPr>
            <w:tcW w:w="34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EE2724"/>
              </w:rPr>
              <w:t>Characteristics</w:t>
            </w:r>
          </w:p>
        </w:tc>
        <w:tc>
          <w:tcPr>
            <w:tcW w:w="55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EE2724"/>
              </w:rPr>
              <w:t>Objectives</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b w:val="1"/>
                <w:bCs w:val="1"/>
                <w:color w:val="EE2724"/>
              </w:rPr>
              <w:t>Base Salary</w:t>
            </w:r>
          </w:p>
        </w:tc>
        <w:tc>
          <w:tcPr>
            <w:tcW w:w="3420" w:type="dxa"/>
            <w:vAlign w:val="bottom"/>
          </w:tcPr>
          <w:p>
            <w:pPr>
              <w:ind w:left="380"/>
              <w:spacing w:after="0"/>
              <w:rPr>
                <w:sz w:val="20"/>
                <w:szCs w:val="20"/>
                <w:color w:val="auto"/>
              </w:rPr>
            </w:pPr>
            <w:r>
              <w:rPr>
                <w:rFonts w:ascii="Arial" w:cs="Arial" w:eastAsia="Arial" w:hAnsi="Arial"/>
                <w:sz w:val="18"/>
                <w:szCs w:val="18"/>
                <w:color w:val="auto"/>
              </w:rPr>
              <w:t>Annual fixed cash compensation</w:t>
            </w:r>
          </w:p>
        </w:tc>
        <w:tc>
          <w:tcPr>
            <w:tcW w:w="5580" w:type="dxa"/>
            <w:vAlign w:val="bottom"/>
          </w:tcPr>
          <w:p>
            <w:pPr>
              <w:ind w:left="480"/>
              <w:spacing w:after="0"/>
              <w:rPr>
                <w:sz w:val="20"/>
                <w:szCs w:val="20"/>
                <w:color w:val="auto"/>
              </w:rPr>
            </w:pPr>
            <w:r>
              <w:rPr>
                <w:rFonts w:ascii="Arial" w:cs="Arial" w:eastAsia="Arial" w:hAnsi="Arial"/>
                <w:sz w:val="18"/>
                <w:szCs w:val="18"/>
                <w:color w:val="auto"/>
              </w:rPr>
              <w:t>Provide a fixed level of cash compensation to attract, retain and</w:t>
            </w:r>
          </w:p>
        </w:tc>
      </w:tr>
      <w:tr>
        <w:trPr>
          <w:trHeight w:val="203"/>
        </w:trPr>
        <w:tc>
          <w:tcPr>
            <w:tcW w:w="24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580" w:type="dxa"/>
            <w:vAlign w:val="bottom"/>
          </w:tcPr>
          <w:p>
            <w:pPr>
              <w:ind w:left="480"/>
              <w:spacing w:after="0" w:line="202" w:lineRule="exact"/>
              <w:rPr>
                <w:sz w:val="20"/>
                <w:szCs w:val="20"/>
                <w:color w:val="auto"/>
              </w:rPr>
            </w:pPr>
            <w:r>
              <w:rPr>
                <w:rFonts w:ascii="Arial" w:cs="Arial" w:eastAsia="Arial" w:hAnsi="Arial"/>
                <w:sz w:val="18"/>
                <w:szCs w:val="18"/>
                <w:color w:val="auto"/>
              </w:rPr>
              <w:t>reward talented and skilled executive talent that is competitive</w:t>
            </w:r>
          </w:p>
        </w:tc>
      </w:tr>
      <w:tr>
        <w:trPr>
          <w:trHeight w:val="217"/>
        </w:trPr>
        <w:tc>
          <w:tcPr>
            <w:tcW w:w="24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for executive talent specific to our industry.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4" w:lineRule="exact"/>
        <w:rPr>
          <w:sz w:val="20"/>
          <w:szCs w:val="20"/>
          <w:color w:val="auto"/>
        </w:rPr>
      </w:pPr>
    </w:p>
    <w:p>
      <w:pPr>
        <w:ind w:left="40"/>
        <w:spacing w:after="0"/>
        <w:tabs>
          <w:tab w:leader="none" w:pos="2780" w:val="left"/>
        </w:tabs>
        <w:rPr>
          <w:sz w:val="20"/>
          <w:szCs w:val="20"/>
          <w:color w:val="auto"/>
        </w:rPr>
      </w:pPr>
      <w:r>
        <w:rPr>
          <w:rFonts w:ascii="Arial" w:cs="Arial" w:eastAsia="Arial" w:hAnsi="Arial"/>
          <w:sz w:val="18"/>
          <w:szCs w:val="18"/>
          <w:b w:val="1"/>
          <w:bCs w:val="1"/>
          <w:color w:val="EE2724"/>
        </w:rPr>
        <w:t>Annual Bonuses</w:t>
      </w:r>
      <w:r>
        <w:rPr>
          <w:sz w:val="20"/>
          <w:szCs w:val="20"/>
          <w:color w:val="auto"/>
        </w:rPr>
        <w:tab/>
      </w:r>
      <w:r>
        <w:rPr>
          <w:rFonts w:ascii="Arial" w:cs="Arial" w:eastAsia="Arial" w:hAnsi="Arial"/>
          <w:sz w:val="17"/>
          <w:szCs w:val="17"/>
          <w:color w:val="auto"/>
        </w:rPr>
        <w:t>Annual variable, performance-based cash</w:t>
      </w:r>
    </w:p>
    <w:p>
      <w:pPr>
        <w:spacing w:after="0" w:line="18" w:lineRule="exact"/>
        <w:rPr>
          <w:sz w:val="20"/>
          <w:szCs w:val="20"/>
          <w:color w:val="auto"/>
        </w:rPr>
      </w:pPr>
    </w:p>
    <w:p>
      <w:pPr>
        <w:ind w:left="2800"/>
        <w:spacing w:after="0" w:line="261" w:lineRule="auto"/>
        <w:rPr>
          <w:sz w:val="20"/>
          <w:szCs w:val="20"/>
          <w:color w:val="auto"/>
        </w:rPr>
      </w:pPr>
      <w:r>
        <w:rPr>
          <w:rFonts w:ascii="Arial" w:cs="Arial" w:eastAsia="Arial" w:hAnsi="Arial"/>
          <w:sz w:val="17"/>
          <w:szCs w:val="17"/>
          <w:color w:val="auto"/>
        </w:rPr>
        <w:t>compensation determined by achievement of pre-established annual corporate goals and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Motivate and reward the achievement of annual financial and other operating objectives and individual performance to drive stockholder value over time.</w:t>
      </w:r>
    </w:p>
    <w:p>
      <w:pPr>
        <w:spacing w:after="0" w:line="419" w:lineRule="exact"/>
        <w:rPr>
          <w:sz w:val="20"/>
          <w:szCs w:val="20"/>
          <w:color w:val="auto"/>
        </w:rPr>
      </w:pPr>
    </w:p>
    <w:p>
      <w:pPr>
        <w:sectPr>
          <w:pgSz w:w="11900" w:h="16838" w:orient="portrait"/>
          <w:cols w:equalWidth="0" w:num="2">
            <w:col w:w="6180" w:space="140"/>
            <w:col w:w="5100"/>
          </w:cols>
          <w:pgMar w:left="240" w:top="125" w:right="239" w:bottom="1440" w:gutter="0" w:footer="0" w:header="0"/>
          <w:type w:val="continuous"/>
        </w:sectPr>
      </w:pPr>
    </w:p>
    <w:p>
      <w:pPr>
        <w:spacing w:after="0" w:line="18" w:lineRule="exact"/>
        <w:rPr>
          <w:sz w:val="20"/>
          <w:szCs w:val="20"/>
          <w:color w:val="auto"/>
        </w:rPr>
      </w:pPr>
    </w:p>
    <w:p>
      <w:pPr>
        <w:ind w:left="40"/>
        <w:spacing w:after="0"/>
        <w:tabs>
          <w:tab w:leader="none" w:pos="2780" w:val="left"/>
        </w:tabs>
        <w:rPr>
          <w:sz w:val="20"/>
          <w:szCs w:val="20"/>
          <w:color w:val="auto"/>
        </w:rPr>
      </w:pPr>
      <w:r>
        <w:rPr>
          <w:rFonts w:ascii="Arial" w:cs="Arial" w:eastAsia="Arial" w:hAnsi="Arial"/>
          <w:sz w:val="18"/>
          <w:szCs w:val="18"/>
          <w:b w:val="1"/>
          <w:bCs w:val="1"/>
          <w:color w:val="EE2724"/>
        </w:rPr>
        <w:t>Long-Term Incentive</w:t>
      </w:r>
      <w:r>
        <w:rPr>
          <w:sz w:val="20"/>
          <w:szCs w:val="20"/>
          <w:color w:val="auto"/>
        </w:rPr>
        <w:tab/>
      </w:r>
      <w:r>
        <w:rPr>
          <w:rFonts w:ascii="Arial" w:cs="Arial" w:eastAsia="Arial" w:hAnsi="Arial"/>
          <w:sz w:val="17"/>
          <w:szCs w:val="17"/>
          <w:color w:val="auto"/>
        </w:rPr>
        <w:t>Variable equity compensation in the form of</w:t>
      </w:r>
    </w:p>
    <w:p>
      <w:pPr>
        <w:spacing w:after="0" w:line="13" w:lineRule="exact"/>
        <w:rPr>
          <w:sz w:val="20"/>
          <w:szCs w:val="20"/>
          <w:color w:val="auto"/>
        </w:rPr>
      </w:pPr>
    </w:p>
    <w:p>
      <w:pPr>
        <w:ind w:left="40"/>
        <w:spacing w:after="0"/>
        <w:tabs>
          <w:tab w:leader="none" w:pos="2780" w:val="left"/>
        </w:tabs>
        <w:rPr>
          <w:sz w:val="20"/>
          <w:szCs w:val="20"/>
          <w:color w:val="auto"/>
        </w:rPr>
      </w:pPr>
      <w:r>
        <w:rPr>
          <w:rFonts w:ascii="Arial" w:cs="Arial" w:eastAsia="Arial" w:hAnsi="Arial"/>
          <w:sz w:val="18"/>
          <w:szCs w:val="18"/>
          <w:b w:val="1"/>
          <w:bCs w:val="1"/>
          <w:color w:val="EE2724"/>
        </w:rPr>
        <w:t>Compensation</w:t>
      </w:r>
      <w:r>
        <w:rPr>
          <w:sz w:val="20"/>
          <w:szCs w:val="20"/>
          <w:color w:val="auto"/>
        </w:rPr>
        <w:tab/>
      </w:r>
      <w:r>
        <w:rPr>
          <w:rFonts w:ascii="Arial" w:cs="Arial" w:eastAsia="Arial" w:hAnsi="Arial"/>
          <w:sz w:val="18"/>
          <w:szCs w:val="18"/>
          <w:color w:val="auto"/>
        </w:rPr>
        <w:t>stock options and/or restricted stock units,</w:t>
      </w:r>
    </w:p>
    <w:p>
      <w:pPr>
        <w:ind w:left="2800"/>
        <w:spacing w:after="0" w:line="234" w:lineRule="auto"/>
        <w:rPr>
          <w:sz w:val="20"/>
          <w:szCs w:val="20"/>
          <w:color w:val="auto"/>
        </w:rPr>
      </w:pPr>
      <w:r>
        <w:rPr>
          <w:rFonts w:ascii="Arial" w:cs="Arial" w:eastAsia="Arial" w:hAnsi="Arial"/>
          <w:sz w:val="18"/>
          <w:szCs w:val="18"/>
          <w:color w:val="auto"/>
        </w:rPr>
        <w:t>which vest in annual installments over a</w:t>
      </w:r>
    </w:p>
    <w:p>
      <w:pPr>
        <w:ind w:left="2800"/>
        <w:spacing w:after="0" w:line="235" w:lineRule="auto"/>
        <w:rPr>
          <w:sz w:val="20"/>
          <w:szCs w:val="20"/>
          <w:color w:val="auto"/>
        </w:rPr>
      </w:pPr>
      <w:r>
        <w:rPr>
          <w:rFonts w:ascii="Arial" w:cs="Arial" w:eastAsia="Arial" w:hAnsi="Arial"/>
          <w:sz w:val="18"/>
          <w:szCs w:val="18"/>
          <w:color w:val="auto"/>
        </w:rPr>
        <w:t>period of years. Awards granted in 2018</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vest over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Align an executive’s interest with that of stockholders and motivate and reward profitable growth and increases in stock price over time. Aid in attraction and retention of executive talent.</w:t>
      </w:r>
    </w:p>
    <w:p>
      <w:pPr>
        <w:spacing w:after="0" w:line="392" w:lineRule="exact"/>
        <w:rPr>
          <w:sz w:val="20"/>
          <w:szCs w:val="20"/>
          <w:color w:val="auto"/>
        </w:rPr>
      </w:pPr>
    </w:p>
    <w:p>
      <w:pPr>
        <w:sectPr>
          <w:pgSz w:w="11900" w:h="16838" w:orient="portrait"/>
          <w:cols w:equalWidth="0" w:num="2">
            <w:col w:w="6240" w:space="80"/>
            <w:col w:w="5100"/>
          </w:cols>
          <w:pgMar w:left="240" w:top="125" w:right="239" w:bottom="1440" w:gutter="0" w:footer="0" w:header="0"/>
          <w:type w:val="continuous"/>
        </w:sectPr>
      </w:pPr>
    </w:p>
    <w:p>
      <w:pPr>
        <w:spacing w:after="0" w:line="44" w:lineRule="exact"/>
        <w:rPr>
          <w:sz w:val="20"/>
          <w:szCs w:val="20"/>
          <w:color w:val="auto"/>
        </w:rPr>
      </w:pPr>
    </w:p>
    <w:p>
      <w:pPr>
        <w:ind w:left="40"/>
        <w:spacing w:after="0"/>
        <w:tabs>
          <w:tab w:leader="none" w:pos="2780" w:val="left"/>
        </w:tabs>
        <w:rPr>
          <w:sz w:val="20"/>
          <w:szCs w:val="20"/>
          <w:color w:val="auto"/>
        </w:rPr>
      </w:pPr>
      <w:r>
        <w:rPr>
          <w:rFonts w:ascii="Arial" w:cs="Arial" w:eastAsia="Arial" w:hAnsi="Arial"/>
          <w:sz w:val="18"/>
          <w:szCs w:val="18"/>
          <w:b w:val="1"/>
          <w:bCs w:val="1"/>
          <w:color w:val="EE2724"/>
        </w:rPr>
        <w:t>Other Compensation</w:t>
      </w:r>
      <w:r>
        <w:rPr>
          <w:sz w:val="20"/>
          <w:szCs w:val="20"/>
          <w:color w:val="auto"/>
        </w:rPr>
        <w:tab/>
      </w:r>
      <w:r>
        <w:rPr>
          <w:rFonts w:ascii="Arial" w:cs="Arial" w:eastAsia="Arial" w:hAnsi="Arial"/>
          <w:sz w:val="17"/>
          <w:szCs w:val="17"/>
          <w:color w:val="auto"/>
        </w:rPr>
        <w:t>Indirect compensation elements consisting</w:t>
      </w:r>
    </w:p>
    <w:p>
      <w:pPr>
        <w:spacing w:after="0" w:line="18" w:lineRule="exact"/>
        <w:rPr>
          <w:sz w:val="20"/>
          <w:szCs w:val="20"/>
          <w:color w:val="auto"/>
        </w:rPr>
      </w:pPr>
    </w:p>
    <w:p>
      <w:pPr>
        <w:ind w:left="2800" w:right="140"/>
        <w:spacing w:after="0" w:line="255" w:lineRule="auto"/>
        <w:rPr>
          <w:sz w:val="20"/>
          <w:szCs w:val="20"/>
          <w:color w:val="auto"/>
        </w:rPr>
      </w:pPr>
      <w:r>
        <w:rPr>
          <w:rFonts w:ascii="Arial" w:cs="Arial" w:eastAsia="Arial" w:hAnsi="Arial"/>
          <w:sz w:val="17"/>
          <w:szCs w:val="17"/>
          <w:color w:val="auto"/>
        </w:rPr>
        <w:t>of programs such as medical, dental and vision insurance, a 401(k) plan, life and disability insurance, flexible spending accounts and other plans and programs made available to eligible employees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Provide benefits that promote employee health and welfare, wellness and retirement income and learning and development opportunities, which assists in attracting and retaining our executive officers.</w:t>
      </w:r>
    </w:p>
    <w:p>
      <w:pPr>
        <w:spacing w:after="0" w:line="616" w:lineRule="exact"/>
        <w:rPr>
          <w:sz w:val="20"/>
          <w:szCs w:val="20"/>
          <w:color w:val="auto"/>
        </w:rPr>
      </w:pPr>
    </w:p>
    <w:p>
      <w:pPr>
        <w:sectPr>
          <w:pgSz w:w="11900" w:h="16838" w:orient="portrait"/>
          <w:cols w:equalWidth="0" w:num="2">
            <w:col w:w="6180" w:space="140"/>
            <w:col w:w="5100"/>
          </w:cols>
          <w:pgMar w:left="240" w:top="125" w:right="239" w:bottom="1440" w:gutter="0" w:footer="0" w:header="0"/>
          <w:type w:val="continuous"/>
        </w:sectPr>
      </w:pPr>
    </w:p>
    <w:p>
      <w:pPr>
        <w:spacing w:after="0" w:line="15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arrive at total compensation levels by determining appropriate levels for each element. The relative weight of each element is determined by the Compensation Committee based on its assessment of the effectiveness of each element in supporting our short-term and long-term strategic objectives.</w:t>
      </w:r>
    </w:p>
    <w:p>
      <w:pPr>
        <w:spacing w:after="0" w:line="12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determining compensation for our NEOs, our Compensation Committee, with recommendations from our Chief Executive Officer, considers many variables, including each executive’s respective experience. While not formulaic or exhaustive, the variables considered in the past include:</w:t>
      </w:r>
    </w:p>
    <w:p>
      <w:pPr>
        <w:spacing w:after="0" w:line="148" w:lineRule="exact"/>
        <w:rPr>
          <w:sz w:val="20"/>
          <w:szCs w:val="20"/>
          <w:color w:val="auto"/>
        </w:rPr>
      </w:pPr>
    </w:p>
    <w:p>
      <w:pPr>
        <w:ind w:left="720" w:hanging="71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experience, knowledge, and performance of the executive officer in question;</w:t>
      </w:r>
    </w:p>
    <w:p>
      <w:pPr>
        <w:spacing w:after="0" w:line="184" w:lineRule="exact"/>
        <w:rPr>
          <w:rFonts w:ascii="Arial" w:cs="Arial" w:eastAsia="Arial" w:hAnsi="Arial"/>
          <w:sz w:val="18"/>
          <w:szCs w:val="18"/>
          <w:color w:val="auto"/>
        </w:rPr>
      </w:pPr>
    </w:p>
    <w:p>
      <w:pPr>
        <w:ind w:left="720" w:hanging="71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competitive market for similar executive talent;</w:t>
      </w:r>
    </w:p>
    <w:p>
      <w:pPr>
        <w:spacing w:after="0" w:line="184" w:lineRule="exact"/>
        <w:rPr>
          <w:rFonts w:ascii="Arial" w:cs="Arial" w:eastAsia="Arial" w:hAnsi="Arial"/>
          <w:sz w:val="18"/>
          <w:szCs w:val="18"/>
          <w:color w:val="auto"/>
        </w:rPr>
      </w:pPr>
    </w:p>
    <w:p>
      <w:pPr>
        <w:ind w:left="720" w:hanging="71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how critical the retention of any particular executive is to achieving the Company’s strategic goals;</w:t>
      </w:r>
    </w:p>
    <w:p>
      <w:pPr>
        <w:spacing w:after="0" w:line="184" w:lineRule="exact"/>
        <w:rPr>
          <w:rFonts w:ascii="Arial" w:cs="Arial" w:eastAsia="Arial" w:hAnsi="Arial"/>
          <w:sz w:val="18"/>
          <w:szCs w:val="18"/>
          <w:color w:val="auto"/>
        </w:rPr>
      </w:pPr>
    </w:p>
    <w:p>
      <w:pPr>
        <w:ind w:left="720" w:hanging="71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performance of the Company against internal performance targets;</w:t>
      </w:r>
    </w:p>
    <w:p>
      <w:pPr>
        <w:spacing w:after="0" w:line="184" w:lineRule="exact"/>
        <w:rPr>
          <w:rFonts w:ascii="Arial" w:cs="Arial" w:eastAsia="Arial" w:hAnsi="Arial"/>
          <w:sz w:val="18"/>
          <w:szCs w:val="18"/>
          <w:color w:val="auto"/>
        </w:rPr>
      </w:pPr>
    </w:p>
    <w:p>
      <w:pPr>
        <w:ind w:left="720" w:hanging="71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how well an executive works across business teams to promote overall corporate goals;</w:t>
      </w:r>
    </w:p>
    <w:p>
      <w:pPr>
        <w:spacing w:after="0" w:line="184" w:lineRule="exact"/>
        <w:rPr>
          <w:rFonts w:ascii="Arial" w:cs="Arial" w:eastAsia="Arial" w:hAnsi="Arial"/>
          <w:sz w:val="18"/>
          <w:szCs w:val="18"/>
          <w:color w:val="auto"/>
        </w:rPr>
      </w:pPr>
    </w:p>
    <w:p>
      <w:pPr>
        <w:ind w:left="720" w:hanging="71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future potential contributions of the executive;</w:t>
      </w:r>
    </w:p>
    <w:p>
      <w:pPr>
        <w:spacing w:after="0" w:line="184" w:lineRule="exact"/>
        <w:rPr>
          <w:rFonts w:ascii="Arial" w:cs="Arial" w:eastAsia="Arial" w:hAnsi="Arial"/>
          <w:sz w:val="18"/>
          <w:szCs w:val="18"/>
          <w:color w:val="auto"/>
        </w:rPr>
      </w:pPr>
    </w:p>
    <w:p>
      <w:pPr>
        <w:ind w:left="720" w:hanging="71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pre-existing employment agreements between the Company and an executive officer; and</w:t>
      </w:r>
    </w:p>
    <w:p>
      <w:pPr>
        <w:spacing w:after="0" w:line="184" w:lineRule="exact"/>
        <w:rPr>
          <w:rFonts w:ascii="Arial" w:cs="Arial" w:eastAsia="Arial" w:hAnsi="Arial"/>
          <w:sz w:val="18"/>
          <w:szCs w:val="18"/>
          <w:color w:val="auto"/>
        </w:rPr>
      </w:pPr>
    </w:p>
    <w:p>
      <w:pPr>
        <w:ind w:left="720" w:hanging="71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compensation at former employers, in the case of new hires.</w:t>
      </w:r>
    </w:p>
    <w:p>
      <w:pPr>
        <w:spacing w:after="0" w:line="15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Based on this analysis the Compensation Committee makes determinations as to each element of the compensation package, weighing each component in its discretion based on the facts and circumstances surrounding each NEO’s employment agreement or annual review.</w:t>
      </w:r>
    </w:p>
    <w:p>
      <w:pPr>
        <w:spacing w:after="0" w:line="1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believe that our compensation mix supports our objective of focusing on at-risk compensation having significant financial upside based on company and individual performance. We expect to continue to emphasize equity awards because of the direct link that equity compensation provides between stockholder interests and the interests of our executive officers, thereby motivating our executive officers to focus on increasing our value over the long-term.</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provide a base salary to our NEOs, other than Mr. Oringer, to compensate them in cash at a fixed amount for services rendered on a day-to-day basis during the year. We strive to set base salaries at levels that are competitive based on our review of market data. The base salaries of all NEOs are reviewed annually and adjusted from time to time to reflect individual roles and performance as well as market conditions.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February 2018, the Compensation Committee reviewed Mr. Berns and Ms. Nadler’s base salary, and decided to maintain each such officer’s base salary at their then-current base salary levels. The Compensation Committee also reviewed Mr. Brodbeck’s base salary and given that Mr. Brodbeck had taken on additional responsibilities in the organization, specifically product and information technology, the Compensation Committee determined to increase Mr. Brodbeck’s base salary by 25% to $500,000. Mr. Weiss joined the Company in February 2018 and therefore his 2018 salary was approved by the Compensation Committee, in consultation with the Chief Executive Officer and Chief Human Resource Officer, and was the result of arm’s-length negotiations during the hiring process, as well as taking into account his scope of responsibility and leadership within the Company, the competitive landscape in New York City for hiring and retaining technology company executives, and subjective judgments as to the Mr. Weiss’s qualifications, experience, job responsibilities, prior salary and internal pay equity comparisons.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base salaries for our named executive officers other than Mr. Oringer at the end of 2018.</w:t>
      </w:r>
    </w:p>
    <w:p>
      <w:pPr>
        <w:spacing w:after="0" w:line="159" w:lineRule="exact"/>
        <w:rPr>
          <w:sz w:val="20"/>
          <w:szCs w:val="20"/>
          <w:color w:val="auto"/>
        </w:rPr>
      </w:pPr>
    </w:p>
    <w:tbl>
      <w:tblPr>
        <w:tblLayout w:type="fixed"/>
        <w:tblInd w:w="2940" w:type="dxa"/>
        <w:tblCellMar>
          <w:top w:w="0" w:type="dxa"/>
          <w:left w:w="0" w:type="dxa"/>
          <w:bottom w:w="0" w:type="dxa"/>
          <w:right w:w="0" w:type="dxa"/>
        </w:tblCellMar>
      </w:tblPr>
      <w:tr>
        <w:trPr>
          <w:trHeight w:val="176"/>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Base Salary at</w:t>
            </w:r>
          </w:p>
        </w:tc>
      </w:tr>
      <w:tr>
        <w:trPr>
          <w:trHeight w:val="21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End of 2018</w:t>
            </w:r>
          </w:p>
        </w:tc>
      </w:tr>
      <w:tr>
        <w:trPr>
          <w:trHeight w:val="24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Steven Berns</w:t>
            </w:r>
          </w:p>
        </w:tc>
        <w:tc>
          <w:tcPr>
            <w:tcW w:w="1320" w:type="dxa"/>
            <w:vAlign w:val="bottom"/>
          </w:tcPr>
          <w:p>
            <w:pPr>
              <w:jc w:val="center"/>
              <w:spacing w:after="0"/>
              <w:rPr>
                <w:sz w:val="20"/>
                <w:szCs w:val="20"/>
                <w:color w:val="auto"/>
              </w:rPr>
            </w:pPr>
            <w:r>
              <w:rPr>
                <w:rFonts w:ascii="Arial" w:cs="Arial" w:eastAsia="Arial" w:hAnsi="Arial"/>
                <w:sz w:val="18"/>
                <w:szCs w:val="18"/>
                <w:color w:val="auto"/>
                <w:w w:val="98"/>
              </w:rPr>
              <w:t>$600,000</w:t>
            </w:r>
          </w:p>
        </w:tc>
      </w:tr>
      <w:tr>
        <w:trPr>
          <w:trHeight w:val="27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Martin Brodbeck</w:t>
            </w:r>
          </w:p>
        </w:tc>
        <w:tc>
          <w:tcPr>
            <w:tcW w:w="1320" w:type="dxa"/>
            <w:vAlign w:val="bottom"/>
          </w:tcPr>
          <w:p>
            <w:pPr>
              <w:jc w:val="center"/>
              <w:spacing w:after="0"/>
              <w:rPr>
                <w:sz w:val="20"/>
                <w:szCs w:val="20"/>
                <w:color w:val="auto"/>
              </w:rPr>
            </w:pPr>
            <w:r>
              <w:rPr>
                <w:rFonts w:ascii="Arial" w:cs="Arial" w:eastAsia="Arial" w:hAnsi="Arial"/>
                <w:sz w:val="18"/>
                <w:szCs w:val="18"/>
                <w:color w:val="auto"/>
                <w:w w:val="98"/>
              </w:rPr>
              <w:t>$500,000</w:t>
            </w:r>
          </w:p>
        </w:tc>
      </w:tr>
      <w:tr>
        <w:trPr>
          <w:trHeight w:val="27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Lisa Nadler</w:t>
            </w:r>
          </w:p>
        </w:tc>
        <w:tc>
          <w:tcPr>
            <w:tcW w:w="1320" w:type="dxa"/>
            <w:vAlign w:val="bottom"/>
          </w:tcPr>
          <w:p>
            <w:pPr>
              <w:jc w:val="center"/>
              <w:spacing w:after="0"/>
              <w:rPr>
                <w:sz w:val="20"/>
                <w:szCs w:val="20"/>
                <w:color w:val="auto"/>
              </w:rPr>
            </w:pPr>
            <w:r>
              <w:rPr>
                <w:rFonts w:ascii="Arial" w:cs="Arial" w:eastAsia="Arial" w:hAnsi="Arial"/>
                <w:sz w:val="18"/>
                <w:szCs w:val="18"/>
                <w:color w:val="auto"/>
                <w:w w:val="98"/>
              </w:rPr>
              <w:t>$500,000</w:t>
            </w:r>
          </w:p>
        </w:tc>
      </w:tr>
      <w:tr>
        <w:trPr>
          <w:trHeight w:val="27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Lou Weiss</w:t>
            </w:r>
          </w:p>
        </w:tc>
        <w:tc>
          <w:tcPr>
            <w:tcW w:w="1320" w:type="dxa"/>
            <w:vAlign w:val="bottom"/>
          </w:tcPr>
          <w:p>
            <w:pPr>
              <w:jc w:val="center"/>
              <w:spacing w:after="0"/>
              <w:rPr>
                <w:sz w:val="20"/>
                <w:szCs w:val="20"/>
                <w:color w:val="auto"/>
              </w:rPr>
            </w:pPr>
            <w:r>
              <w:rPr>
                <w:rFonts w:ascii="Arial" w:cs="Arial" w:eastAsia="Arial" w:hAnsi="Arial"/>
                <w:sz w:val="18"/>
                <w:szCs w:val="18"/>
                <w:color w:val="auto"/>
                <w:w w:val="98"/>
              </w:rPr>
              <w:t>$450,000</w:t>
            </w:r>
          </w:p>
        </w:tc>
      </w:tr>
    </w:tbl>
    <w:p>
      <w:pPr>
        <w:spacing w:after="0"/>
        <w:rPr>
          <w:sz w:val="20"/>
          <w:szCs w:val="20"/>
          <w:color w:val="auto"/>
        </w:rPr>
      </w:pPr>
      <w:r>
        <w:rPr>
          <w:rFonts w:ascii="Arial" w:cs="Arial" w:eastAsia="Arial" w:hAnsi="Arial"/>
          <w:sz w:val="18"/>
          <w:szCs w:val="18"/>
          <w:b w:val="1"/>
          <w:bCs w:val="1"/>
          <w:color w:val="auto"/>
        </w:rPr>
        <w:t>Cash Incentives</w:t>
      </w:r>
    </w:p>
    <w:p>
      <w:pPr>
        <w:spacing w:after="0" w:line="23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general, annual cash bonuses for our NEOs, other than Mr. Oringer, and other executive officers are determined under our Short-Term Incentive Plan. The Short-Term Incentive Plan is an “at risk” bonus compensation program designed to foster a performance-oriented culture, where individual performance is aligned with the Company’s financial and business objectives. Our Short-Term Incentive Plan provides guidelines for the calculation of annual non-equity, incentive based compensation that is subject to the Compensation Committee’s oversight and modification.</w:t>
      </w:r>
    </w:p>
    <w:p>
      <w:pPr>
        <w:spacing w:after="0" w:line="20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Each of our NEOs has an employment agreement that provides for discretionary annual incentive compensation payable in cash upon the satisfaction of Company financial and business objectives approved by the Compensation Committee upon recommendation of (i) the Chief Executive Officer with respect to Company business objectives and (ii) the Co-Chief Operating Officer and Chief Financial Officer with respect to Company financial performance goals, as well as taking into consideration individual performance.</w:t>
      </w:r>
    </w:p>
    <w:p>
      <w:pPr>
        <w:spacing w:after="0" w:line="20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target incentive compensation for fiscal 2018 for each of our NEOs, other than Mr. Oringer, as a percentage of the NEO’s base salary at the end of 2018 is set forth below:</w:t>
      </w:r>
    </w:p>
    <w:p>
      <w:pPr>
        <w:spacing w:after="0" w:line="346"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Target Incentive</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Percentage of Base Salary</w:t>
            </w:r>
          </w:p>
        </w:tc>
      </w:tr>
      <w:tr>
        <w:trPr>
          <w:trHeight w:val="21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at End of 2018</w:t>
            </w:r>
          </w:p>
        </w:tc>
      </w:tr>
      <w:tr>
        <w:trPr>
          <w:trHeight w:val="24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Steven Berns</w:t>
            </w:r>
          </w:p>
        </w:tc>
        <w:tc>
          <w:tcPr>
            <w:tcW w:w="1840" w:type="dxa"/>
            <w:vAlign w:val="bottom"/>
          </w:tcPr>
          <w:p>
            <w:pPr>
              <w:jc w:val="center"/>
              <w:spacing w:after="0"/>
              <w:rPr>
                <w:sz w:val="20"/>
                <w:szCs w:val="20"/>
                <w:color w:val="auto"/>
              </w:rPr>
            </w:pPr>
            <w:r>
              <w:rPr>
                <w:rFonts w:ascii="Arial" w:cs="Arial" w:eastAsia="Arial" w:hAnsi="Arial"/>
                <w:sz w:val="18"/>
                <w:szCs w:val="18"/>
                <w:color w:val="auto"/>
              </w:rPr>
              <w:t>$480,000</w:t>
            </w:r>
          </w:p>
        </w:tc>
        <w:tc>
          <w:tcPr>
            <w:tcW w:w="16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80%</w:t>
            </w:r>
          </w:p>
        </w:tc>
      </w:tr>
      <w:tr>
        <w:trPr>
          <w:trHeight w:val="27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Martin Brodbeck</w:t>
            </w:r>
          </w:p>
        </w:tc>
        <w:tc>
          <w:tcPr>
            <w:tcW w:w="1840" w:type="dxa"/>
            <w:vAlign w:val="bottom"/>
          </w:tcPr>
          <w:p>
            <w:pPr>
              <w:jc w:val="center"/>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50%</w:t>
            </w:r>
          </w:p>
        </w:tc>
      </w:tr>
      <w:tr>
        <w:trPr>
          <w:trHeight w:val="27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Lisa Nadler</w:t>
            </w:r>
          </w:p>
        </w:tc>
        <w:tc>
          <w:tcPr>
            <w:tcW w:w="1840" w:type="dxa"/>
            <w:vAlign w:val="bottom"/>
          </w:tcPr>
          <w:p>
            <w:pPr>
              <w:jc w:val="center"/>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50%</w:t>
            </w:r>
          </w:p>
        </w:tc>
      </w:tr>
      <w:tr>
        <w:trPr>
          <w:trHeight w:val="27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Lou Weiss</w:t>
            </w:r>
          </w:p>
        </w:tc>
        <w:tc>
          <w:tcPr>
            <w:tcW w:w="1840" w:type="dxa"/>
            <w:vAlign w:val="bottom"/>
          </w:tcPr>
          <w:p>
            <w:pPr>
              <w:jc w:val="center"/>
              <w:spacing w:after="0"/>
              <w:rPr>
                <w:sz w:val="20"/>
                <w:szCs w:val="20"/>
                <w:color w:val="auto"/>
              </w:rPr>
            </w:pPr>
            <w:r>
              <w:rPr>
                <w:rFonts w:ascii="Arial" w:cs="Arial" w:eastAsia="Arial" w:hAnsi="Arial"/>
                <w:sz w:val="18"/>
                <w:szCs w:val="18"/>
                <w:color w:val="auto"/>
              </w:rPr>
              <w:t>$225,000</w:t>
            </w:r>
          </w:p>
        </w:tc>
        <w:tc>
          <w:tcPr>
            <w:tcW w:w="16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50%</w:t>
            </w:r>
          </w:p>
        </w:tc>
      </w:tr>
    </w:tbl>
    <w:p>
      <w:pPr>
        <w:spacing w:after="0" w:line="229"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Mr. Weiss joined the Company in February 2018. Pursuant to the terms of his employment agreement, Mr. Weiss’s 2018 cash incentive awards, if any, was subject to proration for his partial year of service.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Goals</w:t>
      </w:r>
    </w:p>
    <w:p>
      <w:pPr>
        <w:spacing w:after="0" w:line="24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Short-Term Incentive Plan was designed to reward our executive officers based on achievement of pre-established Company performance goals and the individual contribution of each executive to that performance. Specifically, in 2018, the Company performance metrics were based on achievement of (i) revenue; (ii) adjusted EBITDA; and (iii) certain strategic and operational business objectives, with a relative weighting of 37.5%, 37.5% and 25%, respectively. In addition, the Compensation Committee has discretion to increase or decrease the bonuses that otherwise would be paid under the Short-Term Incentive Plan based on an individual executive officer’s actual performance versus the specified goals. Consistent with our incentive compensation philosophy, our Compensation Committee established the Company performance targets in 2018 to be challenging but reachable with exemplary corporate performance.</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2018, our specific financial targets were $665.0 million in revenue and $129.0 million in adjusted EBITDA. Our strategic and operational business objectives, which we established in the context of, and viewed as critical to, achieving and furthering our short- and long-term financial goals, included (i) making our content, tools and platform available anytime and anywhere, as well as improving the performance and stability of our platform; (ii) improving the further personalization and localization of our customer and contributor experiences through a data driven and test-oriented culture; and (iii) attracting great people and cultivating a culture of high performance. These strategic and operational objectives defined desired outcomes and results for each of our executive officers in 2018.</w:t>
      </w:r>
    </w:p>
    <w:p>
      <w:pPr>
        <w:spacing w:after="0" w:line="20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Payout percentages resulting from achievement of revenue and adjusted EBITDA targets relative to the established targets are set out in the table below.</w:t>
      </w:r>
    </w:p>
    <w:p>
      <w:pPr>
        <w:spacing w:after="0" w:line="332"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1920" w:type="dxa"/>
            <w:vAlign w:val="bottom"/>
            <w:shd w:val="clear" w:color="auto" w:fill="EE2724"/>
          </w:tcPr>
          <w:p>
            <w:pPr>
              <w:jc w:val="center"/>
              <w:spacing w:after="0"/>
              <w:rPr>
                <w:sz w:val="20"/>
                <w:szCs w:val="20"/>
                <w:color w:val="auto"/>
              </w:rPr>
            </w:pPr>
            <w:r>
              <w:rPr>
                <w:rFonts w:ascii="Arial" w:cs="Arial" w:eastAsia="Arial" w:hAnsi="Arial"/>
                <w:sz w:val="18"/>
                <w:szCs w:val="18"/>
                <w:b w:val="1"/>
                <w:bCs w:val="1"/>
                <w:color w:val="FFFFFF"/>
                <w:w w:val="99"/>
              </w:rPr>
              <w:t>Percentage of Target</w:t>
            </w:r>
          </w:p>
        </w:tc>
        <w:tc>
          <w:tcPr>
            <w:tcW w:w="1220" w:type="dxa"/>
            <w:vAlign w:val="bottom"/>
            <w:shd w:val="clear" w:color="auto" w:fill="EE2724"/>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3700" w:type="dxa"/>
            <w:vAlign w:val="bottom"/>
            <w:shd w:val="clear" w:color="auto" w:fill="EE2724"/>
          </w:tcPr>
          <w:p>
            <w:pPr>
              <w:spacing w:after="0"/>
              <w:rPr>
                <w:sz w:val="17"/>
                <w:szCs w:val="17"/>
                <w:color w:val="auto"/>
              </w:rPr>
            </w:pPr>
          </w:p>
        </w:tc>
      </w:tr>
      <w:tr>
        <w:trPr>
          <w:trHeight w:val="246"/>
        </w:trPr>
        <w:tc>
          <w:tcPr>
            <w:tcW w:w="1920" w:type="dxa"/>
            <w:vAlign w:val="bottom"/>
            <w:tcBorders>
              <w:bottom w:val="single" w:sz="8" w:color="auto"/>
            </w:tcBorders>
            <w:shd w:val="clear" w:color="auto" w:fill="EE2724"/>
          </w:tcPr>
          <w:p>
            <w:pPr>
              <w:jc w:val="center"/>
              <w:spacing w:after="0"/>
              <w:rPr>
                <w:sz w:val="20"/>
                <w:szCs w:val="20"/>
                <w:color w:val="auto"/>
              </w:rPr>
            </w:pPr>
            <w:r>
              <w:rPr>
                <w:rFonts w:ascii="Arial" w:cs="Arial" w:eastAsia="Arial" w:hAnsi="Arial"/>
                <w:sz w:val="18"/>
                <w:szCs w:val="18"/>
                <w:b w:val="1"/>
                <w:bCs w:val="1"/>
                <w:color w:val="FFFFFF"/>
                <w:w w:val="99"/>
              </w:rPr>
              <w:t>Achieved</w:t>
            </w:r>
          </w:p>
        </w:tc>
        <w:tc>
          <w:tcPr>
            <w:tcW w:w="1220" w:type="dxa"/>
            <w:vAlign w:val="bottom"/>
            <w:tcBorders>
              <w:bottom w:val="single" w:sz="8" w:color="auto"/>
            </w:tcBorders>
            <w:shd w:val="clear" w:color="auto" w:fill="EE2724"/>
          </w:tcPr>
          <w:p>
            <w:pPr>
              <w:jc w:val="center"/>
              <w:spacing w:after="0"/>
              <w:rPr>
                <w:sz w:val="20"/>
                <w:szCs w:val="20"/>
                <w:color w:val="auto"/>
              </w:rPr>
            </w:pPr>
            <w:r>
              <w:rPr>
                <w:rFonts w:ascii="Arial" w:cs="Arial" w:eastAsia="Arial" w:hAnsi="Arial"/>
                <w:sz w:val="18"/>
                <w:szCs w:val="18"/>
                <w:b w:val="1"/>
                <w:bCs w:val="1"/>
                <w:color w:val="FFFFFF"/>
                <w:w w:val="98"/>
              </w:rPr>
              <w:t>Percentage</w:t>
            </w:r>
          </w:p>
        </w:tc>
        <w:tc>
          <w:tcPr>
            <w:tcW w:w="3700" w:type="dxa"/>
            <w:vAlign w:val="bottom"/>
            <w:tcBorders>
              <w:bottom w:val="single" w:sz="8" w:color="auto"/>
            </w:tcBorders>
            <w:shd w:val="clear" w:color="auto" w:fill="EE2724"/>
          </w:tcPr>
          <w:p>
            <w:pPr>
              <w:jc w:val="center"/>
              <w:spacing w:after="0"/>
              <w:rPr>
                <w:sz w:val="20"/>
                <w:szCs w:val="20"/>
                <w:color w:val="auto"/>
              </w:rPr>
            </w:pPr>
            <w:r>
              <w:rPr>
                <w:rFonts w:ascii="Arial" w:cs="Arial" w:eastAsia="Arial" w:hAnsi="Arial"/>
                <w:sz w:val="18"/>
                <w:szCs w:val="18"/>
                <w:b w:val="1"/>
                <w:bCs w:val="1"/>
                <w:color w:val="FFFFFF"/>
                <w:w w:val="99"/>
              </w:rPr>
              <w:t>Increase in Payout Percentage</w:t>
            </w:r>
          </w:p>
        </w:tc>
      </w:tr>
      <w:tr>
        <w:trPr>
          <w:trHeight w:val="243"/>
        </w:trPr>
        <w:tc>
          <w:tcPr>
            <w:tcW w:w="1920" w:type="dxa"/>
            <w:vAlign w:val="bottom"/>
          </w:tcPr>
          <w:p>
            <w:pPr>
              <w:jc w:val="center"/>
              <w:spacing w:after="0"/>
              <w:rPr>
                <w:sz w:val="20"/>
                <w:szCs w:val="20"/>
                <w:color w:val="auto"/>
              </w:rPr>
            </w:pPr>
            <w:r>
              <w:rPr>
                <w:rFonts w:ascii="Arial" w:cs="Arial" w:eastAsia="Arial" w:hAnsi="Arial"/>
                <w:sz w:val="18"/>
                <w:szCs w:val="18"/>
                <w:color w:val="auto"/>
                <w:w w:val="99"/>
              </w:rPr>
              <w:t>Below 80%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700" w:type="dxa"/>
            <w:vAlign w:val="bottom"/>
          </w:tcPr>
          <w:p>
            <w:pPr>
              <w:spacing w:after="0"/>
              <w:rPr>
                <w:sz w:val="21"/>
                <w:szCs w:val="21"/>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44"/>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30%</w:t>
            </w: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Every additional 1% increases payout 5%</w:t>
            </w:r>
          </w:p>
        </w:tc>
      </w:tr>
      <w:tr>
        <w:trPr>
          <w:trHeight w:val="250"/>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85%</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55%</w:t>
            </w: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Every additional 1% increases payout 4%</w:t>
            </w:r>
          </w:p>
        </w:tc>
      </w:tr>
      <w:tr>
        <w:trPr>
          <w:trHeight w:val="250"/>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90%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75%</w:t>
            </w: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Every additional 1% increases payout 3%</w:t>
            </w:r>
          </w:p>
        </w:tc>
      </w:tr>
      <w:tr>
        <w:trPr>
          <w:trHeight w:val="250"/>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95%</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90%</w:t>
            </w: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Every additional 1% increases payout 2%</w:t>
            </w:r>
          </w:p>
        </w:tc>
      </w:tr>
      <w:tr>
        <w:trPr>
          <w:trHeight w:val="275"/>
        </w:trPr>
        <w:tc>
          <w:tcPr>
            <w:tcW w:w="192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9"/>
              </w:rPr>
              <w:t>100%</w:t>
            </w:r>
          </w:p>
        </w:tc>
        <w:tc>
          <w:tcPr>
            <w:tcW w:w="122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9"/>
              </w:rPr>
              <w:t>100%</w:t>
            </w:r>
          </w:p>
        </w:tc>
        <w:tc>
          <w:tcPr>
            <w:tcW w:w="3700" w:type="dxa"/>
            <w:vAlign w:val="bottom"/>
            <w:tcBorders>
              <w:bottom w:val="single" w:sz="8" w:color="ACACAC"/>
            </w:tcBorders>
            <w:shd w:val="clear" w:color="auto" w:fill="ACACAC"/>
          </w:tcPr>
          <w:p>
            <w:pPr>
              <w:spacing w:after="0"/>
              <w:rPr>
                <w:sz w:val="23"/>
                <w:szCs w:val="23"/>
                <w:color w:val="auto"/>
              </w:rPr>
            </w:pPr>
          </w:p>
        </w:tc>
      </w:tr>
      <w:tr>
        <w:trPr>
          <w:trHeight w:val="244"/>
        </w:trPr>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105%</w:t>
            </w: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110%</w:t>
            </w:r>
          </w:p>
        </w:tc>
        <w:tc>
          <w:tcPr>
            <w:tcW w:w="3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Every additional 1% increases payout 2%</w:t>
            </w:r>
          </w:p>
        </w:tc>
      </w:tr>
      <w:tr>
        <w:trPr>
          <w:trHeight w:val="250"/>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110%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125%</w:t>
            </w: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Every additional 1% increases payout 3%</w:t>
            </w:r>
          </w:p>
        </w:tc>
      </w:tr>
      <w:tr>
        <w:trPr>
          <w:trHeight w:val="250"/>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115%</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145%</w:t>
            </w: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Every additional 1% increases payout 4%</w:t>
            </w:r>
          </w:p>
        </w:tc>
      </w:tr>
      <w:tr>
        <w:trPr>
          <w:trHeight w:val="250"/>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120%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170%</w:t>
            </w: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Every additional 1% increases payout 5%</w:t>
            </w:r>
          </w:p>
        </w:tc>
      </w:tr>
    </w:tbl>
    <w:p>
      <w:pPr>
        <w:spacing w:after="0" w:line="2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2018, the Compensation Committee assessed the Company’s performance in 2018 and its achievement of the 2018 strategic and operational business objectives. The Compensation Committee determined that although the Company had solid performance in 2018, the Company did not achieve all of the operational milestones and strategic objectives that had been established in February 2018, and, in certain instances, the Company’s execution on its strategic goals and objectives did not yield all of the desired outcomes. Recognizing that the Company made substantial progress on achieving its strategic goals and outcomes, as well as had some critical accomplishments, the Compensation Committee, considering the recommendation of management, determined that the Company achieved 50% of its strategic and operational business objectives.</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February 2019, the Compensation Committee reviewed actual results for 2018 with respect to revenue and adjusted EBITDA and determined that for purposes of calculating the 2018 bonus, the 2018 revenue target would be adjusted to $645.8 million and the 2018 adjusted EBITDA target would be adjusted to $124.1 million to reflect the impact of the Company’s sale of its digital asset management business, Webdam, and the associated revenue from Webdam. Based on these adjusted targets, the Compensation Committee determined that the Company achieved the following financial results and payout percentages: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2920" w:type="dxa"/>
        <w:tblCellMar>
          <w:top w:w="0" w:type="dxa"/>
          <w:left w:w="0" w:type="dxa"/>
          <w:bottom w:w="0" w:type="dxa"/>
          <w:right w:w="0" w:type="dxa"/>
        </w:tblCellMar>
      </w:tblPr>
      <w:tr>
        <w:trPr>
          <w:trHeight w:val="224"/>
        </w:trPr>
        <w:tc>
          <w:tcPr>
            <w:tcW w:w="258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Revenue</w:t>
            </w:r>
          </w:p>
        </w:tc>
        <w:tc>
          <w:tcPr>
            <w:tcW w:w="1860" w:type="dxa"/>
            <w:vAlign w:val="bottom"/>
          </w:tcPr>
          <w:p>
            <w:pPr>
              <w:ind w:left="240"/>
              <w:spacing w:after="0"/>
              <w:rPr>
                <w:sz w:val="20"/>
                <w:szCs w:val="20"/>
                <w:color w:val="auto"/>
              </w:rPr>
            </w:pPr>
            <w:r>
              <w:rPr>
                <w:rFonts w:ascii="Arial" w:cs="Arial" w:eastAsia="Arial" w:hAnsi="Arial"/>
                <w:sz w:val="18"/>
                <w:szCs w:val="18"/>
                <w:color w:val="auto"/>
              </w:rPr>
              <w:t>Adjusted EBITDA</w:t>
            </w:r>
          </w:p>
        </w:tc>
      </w:tr>
      <w:tr>
        <w:trPr>
          <w:trHeight w:val="243"/>
        </w:trPr>
        <w:tc>
          <w:tcPr>
            <w:tcW w:w="2580" w:type="dxa"/>
            <w:vAlign w:val="bottom"/>
          </w:tcPr>
          <w:p>
            <w:pPr>
              <w:spacing w:after="0"/>
              <w:rPr>
                <w:sz w:val="20"/>
                <w:szCs w:val="20"/>
                <w:color w:val="auto"/>
              </w:rPr>
            </w:pPr>
            <w:r>
              <w:rPr>
                <w:rFonts w:ascii="Arial" w:cs="Arial" w:eastAsia="Arial" w:hAnsi="Arial"/>
                <w:sz w:val="18"/>
                <w:szCs w:val="18"/>
                <w:color w:val="auto"/>
              </w:rPr>
              <w:t>Adjusted Target (millions)</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21"/>
                <w:szCs w:val="21"/>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124.1</w:t>
            </w: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2018 Results (millions)</w:t>
            </w:r>
          </w:p>
        </w:tc>
        <w:tc>
          <w:tcPr>
            <w:tcW w:w="1080" w:type="dxa"/>
            <w:vAlign w:val="bottom"/>
          </w:tcPr>
          <w:p>
            <w:pPr>
              <w:jc w:val="center"/>
              <w:spacing w:after="0"/>
              <w:rPr>
                <w:sz w:val="20"/>
                <w:szCs w:val="20"/>
                <w:color w:val="auto"/>
              </w:rPr>
            </w:pPr>
            <w:r>
              <w:rPr>
                <w:rFonts w:ascii="Arial" w:cs="Arial" w:eastAsia="Arial" w:hAnsi="Arial"/>
                <w:sz w:val="18"/>
                <w:szCs w:val="18"/>
                <w:color w:val="auto"/>
              </w:rPr>
              <w:t>623.3</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105.1</w:t>
            </w: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Target Achieved</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97%</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85%</w:t>
            </w:r>
          </w:p>
        </w:tc>
      </w:tr>
      <w:tr>
        <w:trPr>
          <w:trHeight w:val="270"/>
        </w:trPr>
        <w:tc>
          <w:tcPr>
            <w:tcW w:w="2580" w:type="dxa"/>
            <w:vAlign w:val="bottom"/>
          </w:tcPr>
          <w:p>
            <w:pPr>
              <w:spacing w:after="0"/>
              <w:rPr>
                <w:sz w:val="20"/>
                <w:szCs w:val="20"/>
                <w:color w:val="auto"/>
              </w:rPr>
            </w:pPr>
            <w:r>
              <w:rPr>
                <w:rFonts w:ascii="Arial" w:cs="Arial" w:eastAsia="Arial" w:hAnsi="Arial"/>
                <w:sz w:val="18"/>
                <w:szCs w:val="18"/>
                <w:b w:val="1"/>
                <w:bCs w:val="1"/>
                <w:color w:val="auto"/>
              </w:rPr>
              <w:t>Payout Percentage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94%</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55%</w:t>
            </w:r>
          </w:p>
        </w:tc>
      </w:tr>
    </w:tbl>
    <w:p>
      <w:pPr>
        <w:spacing w:after="0" w:line="229"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Based on these results and the Company achievement of 50% of the strategic and operational business objectives, the Compensation Committee determined to fund the bonus pool at 68.4%, or $8.137 million, as set forth in the table below.</w:t>
      </w:r>
    </w:p>
    <w:p>
      <w:pPr>
        <w:spacing w:after="0" w:line="372" w:lineRule="exact"/>
        <w:rPr>
          <w:sz w:val="20"/>
          <w:szCs w:val="20"/>
          <w:color w:val="auto"/>
        </w:rPr>
      </w:pPr>
    </w:p>
    <w:tbl>
      <w:tblPr>
        <w:tblLayout w:type="fixed"/>
        <w:tblInd w:w="640" w:type="dxa"/>
        <w:tblCellMar>
          <w:top w:w="0" w:type="dxa"/>
          <w:left w:w="0" w:type="dxa"/>
          <w:bottom w:w="0" w:type="dxa"/>
          <w:right w:w="0" w:type="dxa"/>
        </w:tblCellMar>
      </w:tblPr>
      <w:tr>
        <w:trPr>
          <w:trHeight w:val="224"/>
        </w:trPr>
        <w:tc>
          <w:tcPr>
            <w:tcW w:w="2520" w:type="dxa"/>
            <w:vAlign w:val="bottom"/>
          </w:tcPr>
          <w:p>
            <w:pPr>
              <w:spacing w:after="0"/>
              <w:rPr>
                <w:sz w:val="19"/>
                <w:szCs w:val="19"/>
                <w:color w:val="auto"/>
              </w:rPr>
            </w:pPr>
          </w:p>
        </w:tc>
        <w:tc>
          <w:tcPr>
            <w:tcW w:w="2040" w:type="dxa"/>
            <w:vAlign w:val="bottom"/>
            <w:gridSpan w:val="2"/>
          </w:tcPr>
          <w:p>
            <w:pPr>
              <w:ind w:left="600"/>
              <w:spacing w:after="0"/>
              <w:rPr>
                <w:sz w:val="20"/>
                <w:szCs w:val="20"/>
                <w:color w:val="auto"/>
              </w:rPr>
            </w:pPr>
            <w:r>
              <w:rPr>
                <w:rFonts w:ascii="Arial" w:cs="Arial" w:eastAsia="Arial" w:hAnsi="Arial"/>
                <w:sz w:val="18"/>
                <w:szCs w:val="18"/>
                <w:color w:val="auto"/>
              </w:rPr>
              <w:t>Revenue</w:t>
            </w:r>
          </w:p>
        </w:tc>
        <w:tc>
          <w:tcPr>
            <w:tcW w:w="2040" w:type="dxa"/>
            <w:vAlign w:val="bottom"/>
            <w:gridSpan w:val="2"/>
          </w:tcPr>
          <w:p>
            <w:pPr>
              <w:ind w:left="260"/>
              <w:spacing w:after="0"/>
              <w:rPr>
                <w:sz w:val="20"/>
                <w:szCs w:val="20"/>
                <w:color w:val="auto"/>
              </w:rPr>
            </w:pPr>
            <w:r>
              <w:rPr>
                <w:rFonts w:ascii="Arial" w:cs="Arial" w:eastAsia="Arial" w:hAnsi="Arial"/>
                <w:sz w:val="18"/>
                <w:szCs w:val="18"/>
                <w:color w:val="auto"/>
              </w:rPr>
              <w:t>Adjusted EBITDA</w:t>
            </w:r>
          </w:p>
        </w:tc>
        <w:tc>
          <w:tcPr>
            <w:tcW w:w="1840" w:type="dxa"/>
            <w:vAlign w:val="bottom"/>
          </w:tcPr>
          <w:p>
            <w:pPr>
              <w:ind w:left="220"/>
              <w:spacing w:after="0"/>
              <w:rPr>
                <w:sz w:val="20"/>
                <w:szCs w:val="20"/>
                <w:color w:val="auto"/>
              </w:rPr>
            </w:pPr>
            <w:r>
              <w:rPr>
                <w:rFonts w:ascii="Arial" w:cs="Arial" w:eastAsia="Arial" w:hAnsi="Arial"/>
                <w:sz w:val="18"/>
                <w:szCs w:val="18"/>
                <w:color w:val="auto"/>
              </w:rPr>
              <w:t>Company Goals</w:t>
            </w: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Total Funding</w:t>
            </w:r>
          </w:p>
        </w:tc>
      </w:tr>
      <w:tr>
        <w:trPr>
          <w:trHeight w:val="257"/>
        </w:trPr>
        <w:tc>
          <w:tcPr>
            <w:tcW w:w="2520" w:type="dxa"/>
            <w:vAlign w:val="bottom"/>
          </w:tcPr>
          <w:p>
            <w:pPr>
              <w:spacing w:after="0"/>
              <w:rPr>
                <w:sz w:val="20"/>
                <w:szCs w:val="20"/>
                <w:color w:val="auto"/>
              </w:rPr>
            </w:pPr>
            <w:r>
              <w:rPr>
                <w:rFonts w:ascii="Arial" w:cs="Arial" w:eastAsia="Arial" w:hAnsi="Arial"/>
                <w:sz w:val="18"/>
                <w:szCs w:val="18"/>
                <w:color w:val="auto"/>
              </w:rPr>
              <w:t>Weighting</w:t>
            </w: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37.5%</w:t>
            </w:r>
          </w:p>
        </w:tc>
        <w:tc>
          <w:tcPr>
            <w:tcW w:w="100" w:type="dxa"/>
            <w:vAlign w:val="bottom"/>
          </w:tcPr>
          <w:p>
            <w:pPr>
              <w:spacing w:after="0"/>
              <w:rPr>
                <w:sz w:val="22"/>
                <w:szCs w:val="22"/>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37.5%</w:t>
            </w:r>
          </w:p>
        </w:tc>
        <w:tc>
          <w:tcPr>
            <w:tcW w:w="100" w:type="dxa"/>
            <w:vAlign w:val="bottom"/>
          </w:tcPr>
          <w:p>
            <w:pPr>
              <w:spacing w:after="0"/>
              <w:rPr>
                <w:sz w:val="22"/>
                <w:szCs w:val="22"/>
                <w:color w:val="auto"/>
              </w:rPr>
            </w:pPr>
          </w:p>
        </w:tc>
        <w:tc>
          <w:tcPr>
            <w:tcW w:w="18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9"/>
              </w:rPr>
              <w:t>25%</w:t>
            </w:r>
          </w:p>
        </w:tc>
        <w:tc>
          <w:tcPr>
            <w:tcW w:w="1740" w:type="dxa"/>
            <w:vAlign w:val="bottom"/>
            <w:tcBorders>
              <w:top w:val="single" w:sz="8" w:color="auto"/>
            </w:tcBorders>
          </w:tcPr>
          <w:p>
            <w:pPr>
              <w:spacing w:after="0"/>
              <w:rPr>
                <w:sz w:val="22"/>
                <w:szCs w:val="22"/>
                <w:color w:val="auto"/>
              </w:rPr>
            </w:pP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Payout Percentage</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94%</w:t>
            </w:r>
          </w:p>
        </w:tc>
        <w:tc>
          <w:tcPr>
            <w:tcW w:w="1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100" w:type="dxa"/>
            <w:vAlign w:val="bottom"/>
          </w:tcPr>
          <w:p>
            <w:pPr>
              <w:spacing w:after="0"/>
              <w:rPr>
                <w:sz w:val="23"/>
                <w:szCs w:val="23"/>
                <w:color w:val="auto"/>
              </w:rPr>
            </w:pPr>
          </w:p>
        </w:tc>
        <w:tc>
          <w:tcPr>
            <w:tcW w:w="1840" w:type="dxa"/>
            <w:vAlign w:val="bottom"/>
          </w:tcPr>
          <w:p>
            <w:pPr>
              <w:jc w:val="center"/>
              <w:ind w:right="30"/>
              <w:spacing w:after="0"/>
              <w:rPr>
                <w:sz w:val="20"/>
                <w:szCs w:val="20"/>
                <w:color w:val="auto"/>
              </w:rPr>
            </w:pPr>
            <w:r>
              <w:rPr>
                <w:rFonts w:ascii="Arial" w:cs="Arial" w:eastAsia="Arial" w:hAnsi="Arial"/>
                <w:sz w:val="18"/>
                <w:szCs w:val="18"/>
                <w:color w:val="auto"/>
                <w:w w:val="99"/>
              </w:rPr>
              <w:t>50%</w:t>
            </w:r>
          </w:p>
        </w:tc>
        <w:tc>
          <w:tcPr>
            <w:tcW w:w="1740" w:type="dxa"/>
            <w:vAlign w:val="bottom"/>
          </w:tcPr>
          <w:p>
            <w:pPr>
              <w:spacing w:after="0"/>
              <w:rPr>
                <w:sz w:val="23"/>
                <w:szCs w:val="23"/>
                <w:color w:val="auto"/>
              </w:rPr>
            </w:pP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Funding Percentage</w:t>
            </w: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35.3%</w:t>
            </w:r>
          </w:p>
        </w:tc>
        <w:tc>
          <w:tcPr>
            <w:tcW w:w="1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20.6%</w:t>
            </w:r>
          </w:p>
        </w:tc>
        <w:tc>
          <w:tcPr>
            <w:tcW w:w="100" w:type="dxa"/>
            <w:vAlign w:val="bottom"/>
          </w:tcPr>
          <w:p>
            <w:pPr>
              <w:spacing w:after="0"/>
              <w:rPr>
                <w:sz w:val="23"/>
                <w:szCs w:val="23"/>
                <w:color w:val="auto"/>
              </w:rPr>
            </w:pPr>
          </w:p>
        </w:tc>
        <w:tc>
          <w:tcPr>
            <w:tcW w:w="1840" w:type="dxa"/>
            <w:vAlign w:val="bottom"/>
          </w:tcPr>
          <w:p>
            <w:pPr>
              <w:jc w:val="center"/>
              <w:ind w:right="30"/>
              <w:spacing w:after="0"/>
              <w:rPr>
                <w:sz w:val="20"/>
                <w:szCs w:val="20"/>
                <w:color w:val="auto"/>
              </w:rPr>
            </w:pPr>
            <w:r>
              <w:rPr>
                <w:rFonts w:ascii="Arial" w:cs="Arial" w:eastAsia="Arial" w:hAnsi="Arial"/>
                <w:sz w:val="18"/>
                <w:szCs w:val="18"/>
                <w:color w:val="auto"/>
              </w:rPr>
              <w:t>12.5%</w:t>
            </w:r>
          </w:p>
        </w:tc>
        <w:tc>
          <w:tcPr>
            <w:tcW w:w="1740" w:type="dxa"/>
            <w:vAlign w:val="bottom"/>
          </w:tcPr>
          <w:p>
            <w:pPr>
              <w:jc w:val="right"/>
              <w:ind w:right="530"/>
              <w:spacing w:after="0"/>
              <w:rPr>
                <w:sz w:val="20"/>
                <w:szCs w:val="20"/>
                <w:color w:val="auto"/>
              </w:rPr>
            </w:pPr>
            <w:r>
              <w:rPr>
                <w:rFonts w:ascii="Arial" w:cs="Arial" w:eastAsia="Arial" w:hAnsi="Arial"/>
                <w:sz w:val="18"/>
                <w:szCs w:val="18"/>
                <w:b w:val="1"/>
                <w:bCs w:val="1"/>
                <w:color w:val="auto"/>
              </w:rPr>
              <w:t>68.4%</w:t>
            </w:r>
          </w:p>
        </w:tc>
      </w:tr>
    </w:tbl>
    <w:p>
      <w:pPr>
        <w:spacing w:after="0" w:line="22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Individual bonus payments are based on a formula determined by taking each person’s base annual compensation, multiplied by a target bonus percentage, multiplied by the Company achievement score expressed as a percentage. Bonus amounts paid to any employee or executive can then be increased or decreased, regardless of that person’s target bonus or specific corporate performance metrics, based on individual performance.</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Compensation Committee reviewed each NEO’s performance following the end of the fiscal year. Mr. Oringer also participated in the performance discussions other than the discussion regarding his own performance. The Compensation Committee placed significant weight on Mr. Oringer’s recommendations for the compensation of our NEOs and his evaluation of each such NEO’s performance for the past fiscal year because of his first-hand knowledge of each of their contributions. Based on the Compensation Committee’s review the performance of each of our NEOs based on the factors set forth above, our NEOs were paid the following cash bonus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4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 Increase/(Decrease) in</w:t>
            </w:r>
          </w:p>
        </w:tc>
        <w:tc>
          <w:tcPr>
            <w:tcW w:w="2240" w:type="dxa"/>
            <w:vAlign w:val="bottom"/>
          </w:tcPr>
          <w:p>
            <w:pPr>
              <w:spacing w:after="0"/>
              <w:rPr>
                <w:sz w:val="18"/>
                <w:szCs w:val="18"/>
                <w:color w:val="auto"/>
              </w:rPr>
            </w:pPr>
          </w:p>
        </w:tc>
      </w:tr>
      <w:tr>
        <w:trPr>
          <w:trHeight w:val="203"/>
        </w:trPr>
        <w:tc>
          <w:tcPr>
            <w:tcW w:w="2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Payout based on Company</w:t>
            </w:r>
          </w:p>
        </w:tc>
        <w:tc>
          <w:tcPr>
            <w:tcW w:w="284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Payout Based on Individual</w:t>
            </w:r>
          </w:p>
        </w:tc>
        <w:tc>
          <w:tcPr>
            <w:tcW w:w="2240" w:type="dxa"/>
            <w:vAlign w:val="bottom"/>
          </w:tcPr>
          <w:p>
            <w:pPr>
              <w:spacing w:after="0"/>
              <w:rPr>
                <w:sz w:val="17"/>
                <w:szCs w:val="17"/>
                <w:color w:val="auto"/>
              </w:rPr>
            </w:pPr>
          </w:p>
        </w:tc>
      </w:tr>
      <w:tr>
        <w:trPr>
          <w:trHeight w:val="252"/>
        </w:trPr>
        <w:tc>
          <w:tcPr>
            <w:tcW w:w="2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Named Executive Officer</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Target Payout</w:t>
            </w:r>
            <w:r>
              <w:rPr>
                <w:rFonts w:ascii="Arial" w:cs="Arial" w:eastAsia="Arial" w:hAnsi="Arial"/>
                <w:sz w:val="21"/>
                <w:szCs w:val="21"/>
                <w:b w:val="1"/>
                <w:bCs w:val="1"/>
                <w:color w:val="auto"/>
                <w:w w:val="96"/>
                <w:vertAlign w:val="superscript"/>
              </w:rPr>
              <w:t>(1)</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Achievement Score</w:t>
            </w:r>
          </w:p>
        </w:tc>
        <w:tc>
          <w:tcPr>
            <w:tcW w:w="28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Performance</w:t>
            </w:r>
          </w:p>
        </w:tc>
        <w:tc>
          <w:tcPr>
            <w:tcW w:w="2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Actual Payout</w:t>
            </w:r>
          </w:p>
        </w:tc>
      </w:tr>
      <w:tr>
        <w:trPr>
          <w:trHeight w:val="237"/>
        </w:trPr>
        <w:tc>
          <w:tcPr>
            <w:tcW w:w="2340" w:type="dxa"/>
            <w:vAlign w:val="bottom"/>
          </w:tcPr>
          <w:p>
            <w:pPr>
              <w:ind w:left="40"/>
              <w:spacing w:after="0"/>
              <w:rPr>
                <w:sz w:val="20"/>
                <w:szCs w:val="20"/>
                <w:color w:val="auto"/>
              </w:rPr>
            </w:pPr>
            <w:r>
              <w:rPr>
                <w:rFonts w:ascii="Arial" w:cs="Arial" w:eastAsia="Arial" w:hAnsi="Arial"/>
                <w:sz w:val="18"/>
                <w:szCs w:val="18"/>
                <w:color w:val="auto"/>
              </w:rPr>
              <w:t>Steven Berns</w:t>
            </w:r>
          </w:p>
        </w:tc>
        <w:tc>
          <w:tcPr>
            <w:tcW w:w="1520" w:type="dxa"/>
            <w:vAlign w:val="bottom"/>
          </w:tcPr>
          <w:p>
            <w:pPr>
              <w:jc w:val="center"/>
              <w:spacing w:after="0"/>
              <w:rPr>
                <w:sz w:val="20"/>
                <w:szCs w:val="20"/>
                <w:color w:val="auto"/>
              </w:rPr>
            </w:pPr>
            <w:r>
              <w:rPr>
                <w:rFonts w:ascii="Arial" w:cs="Arial" w:eastAsia="Arial" w:hAnsi="Arial"/>
                <w:sz w:val="18"/>
                <w:szCs w:val="18"/>
                <w:color w:val="auto"/>
                <w:w w:val="98"/>
              </w:rPr>
              <w:t>$480,000</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$328,320</w:t>
            </w:r>
          </w:p>
        </w:tc>
        <w:tc>
          <w:tcPr>
            <w:tcW w:w="2840" w:type="dxa"/>
            <w:vAlign w:val="bottom"/>
          </w:tcPr>
          <w:p>
            <w:pPr>
              <w:jc w:val="center"/>
              <w:ind w:right="21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ind w:right="170"/>
              <w:spacing w:after="0"/>
              <w:rPr>
                <w:sz w:val="20"/>
                <w:szCs w:val="20"/>
                <w:color w:val="auto"/>
              </w:rPr>
            </w:pPr>
            <w:r>
              <w:rPr>
                <w:rFonts w:ascii="Arial" w:cs="Arial" w:eastAsia="Arial" w:hAnsi="Arial"/>
                <w:sz w:val="18"/>
                <w:szCs w:val="18"/>
                <w:color w:val="auto"/>
                <w:w w:val="98"/>
              </w:rPr>
              <w:t>$328,320</w:t>
            </w:r>
          </w:p>
        </w:tc>
      </w:tr>
      <w:tr>
        <w:trPr>
          <w:trHeight w:val="257"/>
        </w:trPr>
        <w:tc>
          <w:tcPr>
            <w:tcW w:w="2340" w:type="dxa"/>
            <w:vAlign w:val="bottom"/>
          </w:tcPr>
          <w:p>
            <w:pPr>
              <w:ind w:left="40"/>
              <w:spacing w:after="0"/>
              <w:rPr>
                <w:sz w:val="20"/>
                <w:szCs w:val="20"/>
                <w:color w:val="auto"/>
              </w:rPr>
            </w:pPr>
            <w:r>
              <w:rPr>
                <w:rFonts w:ascii="Arial" w:cs="Arial" w:eastAsia="Arial" w:hAnsi="Arial"/>
                <w:sz w:val="18"/>
                <w:szCs w:val="18"/>
                <w:color w:val="auto"/>
              </w:rPr>
              <w:t>Martin Brodbeck</w:t>
            </w:r>
          </w:p>
        </w:tc>
        <w:tc>
          <w:tcPr>
            <w:tcW w:w="1520" w:type="dxa"/>
            <w:vAlign w:val="bottom"/>
          </w:tcPr>
          <w:p>
            <w:pPr>
              <w:jc w:val="center"/>
              <w:spacing w:after="0"/>
              <w:rPr>
                <w:sz w:val="20"/>
                <w:szCs w:val="20"/>
                <w:color w:val="auto"/>
              </w:rPr>
            </w:pPr>
            <w:r>
              <w:rPr>
                <w:rFonts w:ascii="Arial" w:cs="Arial" w:eastAsia="Arial" w:hAnsi="Arial"/>
                <w:sz w:val="18"/>
                <w:szCs w:val="18"/>
                <w:color w:val="auto"/>
                <w:w w:val="98"/>
              </w:rPr>
              <w:t>$250,000</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$171,000</w:t>
            </w:r>
          </w:p>
        </w:tc>
        <w:tc>
          <w:tcPr>
            <w:tcW w:w="2840" w:type="dxa"/>
            <w:vAlign w:val="bottom"/>
          </w:tcPr>
          <w:p>
            <w:pPr>
              <w:jc w:val="center"/>
              <w:ind w:right="190"/>
              <w:spacing w:after="0"/>
              <w:rPr>
                <w:sz w:val="20"/>
                <w:szCs w:val="20"/>
                <w:color w:val="auto"/>
              </w:rPr>
            </w:pPr>
            <w:r>
              <w:rPr>
                <w:rFonts w:ascii="Arial" w:cs="Arial" w:eastAsia="Arial" w:hAnsi="Arial"/>
                <w:sz w:val="18"/>
                <w:szCs w:val="18"/>
                <w:color w:val="auto"/>
                <w:w w:val="99"/>
              </w:rPr>
              <w:t>(27)%</w:t>
            </w:r>
          </w:p>
        </w:tc>
        <w:tc>
          <w:tcPr>
            <w:tcW w:w="2240" w:type="dxa"/>
            <w:vAlign w:val="bottom"/>
          </w:tcPr>
          <w:p>
            <w:pPr>
              <w:jc w:val="center"/>
              <w:ind w:right="170"/>
              <w:spacing w:after="0"/>
              <w:rPr>
                <w:sz w:val="20"/>
                <w:szCs w:val="20"/>
                <w:color w:val="auto"/>
              </w:rPr>
            </w:pPr>
            <w:r>
              <w:rPr>
                <w:rFonts w:ascii="Arial" w:cs="Arial" w:eastAsia="Arial" w:hAnsi="Arial"/>
                <w:sz w:val="18"/>
                <w:szCs w:val="18"/>
                <w:color w:val="auto"/>
                <w:w w:val="98"/>
              </w:rPr>
              <w:t>$125,000</w:t>
            </w:r>
          </w:p>
        </w:tc>
      </w:tr>
      <w:tr>
        <w:trPr>
          <w:trHeight w:val="257"/>
        </w:trPr>
        <w:tc>
          <w:tcPr>
            <w:tcW w:w="2340" w:type="dxa"/>
            <w:vAlign w:val="bottom"/>
          </w:tcPr>
          <w:p>
            <w:pPr>
              <w:ind w:left="40"/>
              <w:spacing w:after="0"/>
              <w:rPr>
                <w:sz w:val="20"/>
                <w:szCs w:val="20"/>
                <w:color w:val="auto"/>
              </w:rPr>
            </w:pPr>
            <w:r>
              <w:rPr>
                <w:rFonts w:ascii="Arial" w:cs="Arial" w:eastAsia="Arial" w:hAnsi="Arial"/>
                <w:sz w:val="18"/>
                <w:szCs w:val="18"/>
                <w:color w:val="auto"/>
              </w:rPr>
              <w:t>Lisa Nadler</w:t>
            </w:r>
          </w:p>
        </w:tc>
        <w:tc>
          <w:tcPr>
            <w:tcW w:w="1520" w:type="dxa"/>
            <w:vAlign w:val="bottom"/>
          </w:tcPr>
          <w:p>
            <w:pPr>
              <w:jc w:val="center"/>
              <w:spacing w:after="0"/>
              <w:rPr>
                <w:sz w:val="20"/>
                <w:szCs w:val="20"/>
                <w:color w:val="auto"/>
              </w:rPr>
            </w:pPr>
            <w:r>
              <w:rPr>
                <w:rFonts w:ascii="Arial" w:cs="Arial" w:eastAsia="Arial" w:hAnsi="Arial"/>
                <w:sz w:val="18"/>
                <w:szCs w:val="18"/>
                <w:color w:val="auto"/>
                <w:w w:val="98"/>
              </w:rPr>
              <w:t>$250,000</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$171,000</w:t>
            </w:r>
          </w:p>
        </w:tc>
        <w:tc>
          <w:tcPr>
            <w:tcW w:w="2840" w:type="dxa"/>
            <w:vAlign w:val="bottom"/>
          </w:tcPr>
          <w:p>
            <w:pPr>
              <w:jc w:val="center"/>
              <w:ind w:right="21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ind w:right="170"/>
              <w:spacing w:after="0"/>
              <w:rPr>
                <w:sz w:val="20"/>
                <w:szCs w:val="20"/>
                <w:color w:val="auto"/>
              </w:rPr>
            </w:pPr>
            <w:r>
              <w:rPr>
                <w:rFonts w:ascii="Arial" w:cs="Arial" w:eastAsia="Arial" w:hAnsi="Arial"/>
                <w:sz w:val="18"/>
                <w:szCs w:val="18"/>
                <w:color w:val="auto"/>
                <w:w w:val="98"/>
              </w:rPr>
              <w:t>$171,000</w:t>
            </w:r>
          </w:p>
        </w:tc>
      </w:tr>
      <w:tr>
        <w:trPr>
          <w:trHeight w:val="257"/>
        </w:trPr>
        <w:tc>
          <w:tcPr>
            <w:tcW w:w="2340" w:type="dxa"/>
            <w:vAlign w:val="bottom"/>
          </w:tcPr>
          <w:p>
            <w:pPr>
              <w:ind w:left="40"/>
              <w:spacing w:after="0"/>
              <w:rPr>
                <w:sz w:val="20"/>
                <w:szCs w:val="20"/>
                <w:color w:val="auto"/>
              </w:rPr>
            </w:pPr>
            <w:r>
              <w:rPr>
                <w:rFonts w:ascii="Arial" w:cs="Arial" w:eastAsia="Arial" w:hAnsi="Arial"/>
                <w:sz w:val="18"/>
                <w:szCs w:val="18"/>
                <w:color w:val="auto"/>
              </w:rPr>
              <w:t>Lou Weiss</w:t>
            </w:r>
          </w:p>
        </w:tc>
        <w:tc>
          <w:tcPr>
            <w:tcW w:w="1520" w:type="dxa"/>
            <w:vAlign w:val="bottom"/>
          </w:tcPr>
          <w:p>
            <w:pPr>
              <w:jc w:val="center"/>
              <w:spacing w:after="0"/>
              <w:rPr>
                <w:sz w:val="20"/>
                <w:szCs w:val="20"/>
                <w:color w:val="auto"/>
              </w:rPr>
            </w:pPr>
            <w:r>
              <w:rPr>
                <w:rFonts w:ascii="Arial" w:cs="Arial" w:eastAsia="Arial" w:hAnsi="Arial"/>
                <w:sz w:val="18"/>
                <w:szCs w:val="18"/>
                <w:color w:val="auto"/>
                <w:w w:val="98"/>
              </w:rPr>
              <w:t>$190,479</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$130,288</w:t>
            </w:r>
          </w:p>
        </w:tc>
        <w:tc>
          <w:tcPr>
            <w:tcW w:w="2840" w:type="dxa"/>
            <w:vAlign w:val="bottom"/>
          </w:tcPr>
          <w:p>
            <w:pPr>
              <w:jc w:val="center"/>
              <w:ind w:right="190"/>
              <w:spacing w:after="0"/>
              <w:rPr>
                <w:sz w:val="20"/>
                <w:szCs w:val="20"/>
                <w:color w:val="auto"/>
              </w:rPr>
            </w:pPr>
            <w:r>
              <w:rPr>
                <w:rFonts w:ascii="Arial" w:cs="Arial" w:eastAsia="Arial" w:hAnsi="Arial"/>
                <w:sz w:val="18"/>
                <w:szCs w:val="18"/>
                <w:color w:val="auto"/>
                <w:w w:val="99"/>
              </w:rPr>
              <w:t>17%</w:t>
            </w:r>
          </w:p>
        </w:tc>
        <w:tc>
          <w:tcPr>
            <w:tcW w:w="2240" w:type="dxa"/>
            <w:vAlign w:val="bottom"/>
          </w:tcPr>
          <w:p>
            <w:pPr>
              <w:jc w:val="center"/>
              <w:ind w:right="170"/>
              <w:spacing w:after="0"/>
              <w:rPr>
                <w:sz w:val="20"/>
                <w:szCs w:val="20"/>
                <w:color w:val="auto"/>
              </w:rPr>
            </w:pPr>
            <w:r>
              <w:rPr>
                <w:rFonts w:ascii="Arial" w:cs="Arial" w:eastAsia="Arial" w:hAnsi="Arial"/>
                <w:sz w:val="18"/>
                <w:szCs w:val="18"/>
                <w:color w:val="auto"/>
                <w:w w:val="98"/>
              </w:rPr>
              <w:t>$153,000</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 Target payouts reflect full-year amounts, other than for Mr. Weiss. Mr. Weiss joined the company in February 2018, and therefore, his payout was subject to proration.</w:t>
      </w:r>
    </w:p>
    <w:p>
      <w:pPr>
        <w:spacing w:after="0" w:line="15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With respect to Mr. Brodbeck, the Compensation Committee, upon recommendation from Mr. Oringer, determined to reduce Mr. Brodbeck’s 2018 bonus amount as compared to the Company score to reflect his individual performance, including difficulties in Mr. Brodbeck’s leadership in executing implementation of certain technology initiatives in 2018. With respect to Mr. Weiss, the Compensation Committee, upon recommendation from Mr. Oringer, determined to increase Mr. Weiss’s 2018 bonus amount to reflect his target bonus amount based on the Company score as if Mr. Weiss’s bonus was not pro-rated due to Mr. Weiss’s individual performance, including successful development and implementation of initiatives within his area of responsibility.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Long-term incentives represent the primary component of compensation at the Company and are designed to reward participants the way stockholders are rewarded: through growth in the value of our Common Stock. Our executive officers, including our NEOs, receive either stock options or RSUs or a combination of the two. Regardless of the form of award, the overarching purpose of our long-term incentive grants is to align executives’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interests with those of our stockholders, reward employees for enhancing stockholder value and attract and retain our executive officers.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determining the size of equity-based awards for existing executive officers, the Compensation Committee, upon recommendation of our Chief Executive Officer or Chief Operating Officer and Chief Financial Officer, as applicable, considers various subjective factors primarily relating to the responsibilities of the individual executive officer, past performance, and the executive officer’s expected future contributions and value to the Company. In making a recommendation to the Compensation Committee, our Chief Executive Officer or Chief Operating Officer and Chief Financial Officer, as applicable, in conjunction with our Chief Human Resources Officer, also considers the executive officer’s historic total compensation, including prior equity grants and exercise history, as well as the number and value of shares owned by the executive officer or which continue to be subject to vesting under outstanding equity grants previously made to such executive officer.</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determining the size of equity-based awards for new hires, the Compensation Committee and Chief Executive Officer consider a variety of factors, including past compensation from the executive officer’s former employer, the compensation of similarly situated executive officers at the Company, the executive officer’s expected level of responsibility and expected contributions to the Company’s future success, and the compensation of similarly situated executive officers at other technology companies. As the purpose of equity awards is to tie total compensation to long-term stockholder value, executive officers receive sizeable stock-based awards at the time of hire to align their interests to reward long-term performance.</w:t>
      </w:r>
    </w:p>
    <w:p>
      <w:pPr>
        <w:spacing w:after="0" w:line="20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Long-term incentive awards are typically granted annually or upon hire, but the Compensation Committee may award equity at other times during the year to further reward or to encourage retention of our executive officers, including our NEOs. For both new hire and periodic equity grants, the Chief Executive Officer and Chief Human Resources Officer develop grant recommendations for the Compensation Committee by subjectively evaluating the factors above, as applicable, to set a total compensation target for each executive officer and then designing equity awards to help meet those total compensation targets based on stock price appreciation assumptions, taking into account the executive officer’s cash compensation and the estimated value of pre-existing stock-based compensation vesting in subsequent years, if any. In this process, the Chief Executive Officer and Chief Human Resources Officer view projected total compensation for a given year as cash compensation expected to be earned in that year plus an assumed value of stock-based compensation vesting in that year. Because we focus on total compensation over time and take into account existing compensation, equity awards for a smaller number of shares do not necessarily reflect lower total compensation and equity awards for a larger number of shares do not necessarily reflect higher total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stock options granted to Mr. Oringer in 2014, which are more fully described above under “Executive Compensation Philosophy</w:t>
      </w:r>
    </w:p>
    <w:p>
      <w:pPr>
        <w:spacing w:after="0" w:line="9" w:lineRule="exact"/>
        <w:rPr>
          <w:sz w:val="20"/>
          <w:szCs w:val="20"/>
          <w:color w:val="auto"/>
        </w:rPr>
      </w:pPr>
    </w:p>
    <w:p>
      <w:pPr>
        <w:ind w:right="40" w:firstLine="8"/>
        <w:spacing w:after="0" w:line="254" w:lineRule="auto"/>
        <w:tabs>
          <w:tab w:leader="none" w:pos="1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Objectives - Chief Executive Officer Compensation,” stock options are granted under the Amended and Restated 2012 Plan at an exercise price equal to the closing price of our Common Stock on the grant date. The number of options granted to an executive is determined by dividing the fair market value of the option award by the Black-Scholes valuation on the grant date, rounded down to the nearest whole number of shares. We do not issue stock options with accelerated vesting features, except as specified in certain employment agreements.</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Although we are required to recognize a charge for the value of an option when granted that might be disproportionate to the value received by the recipient upon exercise, we believe the granting of options is performance-based and aligns the interests of recipients with those of stockholders because the recipient only realizes value if our Common Stock appreciates above the grant date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Under the Amended and Restated 2012 Plan, we grant RSUs, which are the right to receive shares of our Common Stock, that are subject to continued employment through the applicable vesting date. The number of RSUs granted to an executive is determined by dividing the fair market value of the RSU grant by the average of the Company’s closing price for a share of Common Stock on each trading day during the thirty (30) trading days period ending on the date immediately prior to the grant date. RSUs are granted to executive officers, including our NEOs, to serve primarily as a retention mechanism and to award individual performance.</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Stock option or RSU grants to our executive officers, including our NEOs, are structured to vest in equal installments over four years to balance the objective of retaining and incentivizing our executive officers, achieving key short-term deliverables with respect to our financial performance, and the long-term stability of the organization.</w:t>
      </w:r>
    </w:p>
    <w:p>
      <w:pPr>
        <w:spacing w:after="0" w:line="20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table below summarizes the long-term incentive grants made to our NEOs, other than Mr. Oringer, in 2018. Mr. Oringer’s did not receive any equity grants in 2018.</w:t>
      </w:r>
    </w:p>
    <w:p>
      <w:pPr>
        <w:spacing w:after="0" w:line="346" w:lineRule="exact"/>
        <w:rPr>
          <w:sz w:val="20"/>
          <w:szCs w:val="20"/>
          <w:color w:val="auto"/>
        </w:rPr>
      </w:pPr>
    </w:p>
    <w:tbl>
      <w:tblPr>
        <w:tblLayout w:type="fixed"/>
        <w:tblInd w:w="70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2018 RSU Grants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2018 RSU Grants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2018 Option Grants</w:t>
            </w:r>
          </w:p>
        </w:tc>
        <w:tc>
          <w:tcPr>
            <w:tcW w:w="1820" w:type="dxa"/>
            <w:vAlign w:val="bottom"/>
          </w:tcPr>
          <w:p>
            <w:pPr>
              <w:ind w:left="240"/>
              <w:spacing w:after="0"/>
              <w:rPr>
                <w:sz w:val="20"/>
                <w:szCs w:val="20"/>
                <w:color w:val="auto"/>
              </w:rPr>
            </w:pPr>
            <w:r>
              <w:rPr>
                <w:rFonts w:ascii="Arial" w:cs="Arial" w:eastAsia="Arial" w:hAnsi="Arial"/>
                <w:sz w:val="14"/>
                <w:szCs w:val="14"/>
                <w:b w:val="1"/>
                <w:bCs w:val="1"/>
                <w:color w:val="auto"/>
              </w:rPr>
              <w:t>2018 Option Grants</w:t>
            </w:r>
          </w:p>
        </w:tc>
      </w:tr>
      <w:tr>
        <w:trPr>
          <w:trHeight w:val="175"/>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 Value)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 Value)</w:t>
            </w:r>
          </w:p>
        </w:tc>
        <w:tc>
          <w:tcPr>
            <w:tcW w:w="1820" w:type="dxa"/>
            <w:vAlign w:val="bottom"/>
          </w:tcPr>
          <w:p>
            <w:pPr>
              <w:ind w:left="240"/>
              <w:spacing w:after="0"/>
              <w:rPr>
                <w:sz w:val="20"/>
                <w:szCs w:val="20"/>
                <w:color w:val="auto"/>
              </w:rPr>
            </w:pPr>
            <w:r>
              <w:rPr>
                <w:rFonts w:ascii="Arial" w:cs="Arial" w:eastAsia="Arial" w:hAnsi="Arial"/>
                <w:sz w:val="14"/>
                <w:szCs w:val="14"/>
                <w:b w:val="1"/>
                <w:bCs w:val="1"/>
                <w:color w:val="auto"/>
              </w:rPr>
              <w:t>(Number of Shares)</w:t>
            </w:r>
          </w:p>
        </w:tc>
      </w:tr>
      <w:tr>
        <w:trPr>
          <w:trHeight w:val="21"/>
        </w:trPr>
        <w:tc>
          <w:tcPr>
            <w:tcW w:w="170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50"/>
        </w:trPr>
        <w:tc>
          <w:tcPr>
            <w:tcW w:w="3100" w:type="dxa"/>
            <w:vAlign w:val="bottom"/>
            <w:gridSpan w:val="2"/>
          </w:tcPr>
          <w:p>
            <w:pPr>
              <w:spacing w:after="0"/>
              <w:rPr>
                <w:sz w:val="20"/>
                <w:szCs w:val="20"/>
                <w:color w:val="auto"/>
              </w:rPr>
            </w:pPr>
            <w:r>
              <w:rPr>
                <w:rFonts w:ascii="Arial" w:cs="Arial" w:eastAsia="Arial" w:hAnsi="Arial"/>
                <w:sz w:val="18"/>
                <w:szCs w:val="18"/>
                <w:color w:val="auto"/>
              </w:rPr>
              <w:t>Steven Berns</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$1,500,000</w:t>
            </w:r>
          </w:p>
        </w:tc>
        <w:tc>
          <w:tcPr>
            <w:tcW w:w="1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32,601</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23"/>
        </w:trPr>
        <w:tc>
          <w:tcPr>
            <w:tcW w:w="3100" w:type="dxa"/>
            <w:vAlign w:val="bottom"/>
            <w:gridSpan w:val="2"/>
          </w:tcPr>
          <w:p>
            <w:pPr>
              <w:spacing w:after="0"/>
              <w:rPr>
                <w:sz w:val="20"/>
                <w:szCs w:val="20"/>
                <w:color w:val="auto"/>
              </w:rPr>
            </w:pPr>
            <w:r>
              <w:rPr>
                <w:rFonts w:ascii="Arial" w:cs="Arial" w:eastAsia="Arial" w:hAnsi="Arial"/>
                <w:sz w:val="18"/>
                <w:szCs w:val="18"/>
                <w:color w:val="auto"/>
              </w:rPr>
              <w:t>Martin Brodbeck</w:t>
            </w:r>
            <w:r>
              <w:rPr>
                <w:rFonts w:ascii="Arial" w:cs="Arial" w:eastAsia="Arial" w:hAnsi="Arial"/>
                <w:sz w:val="21"/>
                <w:szCs w:val="21"/>
                <w:color w:val="auto"/>
                <w:vertAlign w:val="superscript"/>
              </w:rPr>
              <w:t>(1)</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$1,500,000</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32,601</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7"/>
        </w:trPr>
        <w:tc>
          <w:tcPr>
            <w:tcW w:w="3100" w:type="dxa"/>
            <w:vAlign w:val="bottom"/>
            <w:gridSpan w:val="2"/>
          </w:tcPr>
          <w:p>
            <w:pPr>
              <w:spacing w:after="0"/>
              <w:rPr>
                <w:sz w:val="20"/>
                <w:szCs w:val="20"/>
                <w:color w:val="auto"/>
              </w:rPr>
            </w:pPr>
            <w:r>
              <w:rPr>
                <w:rFonts w:ascii="Arial" w:cs="Arial" w:eastAsia="Arial" w:hAnsi="Arial"/>
                <w:sz w:val="18"/>
                <w:szCs w:val="18"/>
                <w:color w:val="auto"/>
              </w:rPr>
              <w:t>Lisa Nadler</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$1,200,000</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26,081</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Lou Weiss</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$1,000,000</w:t>
            </w:r>
          </w:p>
        </w:tc>
        <w:tc>
          <w:tcPr>
            <w:tcW w:w="10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20,137</w:t>
            </w:r>
          </w:p>
        </w:tc>
        <w:tc>
          <w:tcPr>
            <w:tcW w:w="1760" w:type="dxa"/>
            <w:vAlign w:val="bottom"/>
          </w:tcPr>
          <w:p>
            <w:pPr>
              <w:jc w:val="center"/>
              <w:spacing w:after="0"/>
              <w:rPr>
                <w:sz w:val="20"/>
                <w:szCs w:val="20"/>
                <w:color w:val="auto"/>
              </w:rPr>
            </w:pPr>
            <w:r>
              <w:rPr>
                <w:rFonts w:ascii="Arial" w:cs="Arial" w:eastAsia="Arial" w:hAnsi="Arial"/>
                <w:sz w:val="18"/>
                <w:szCs w:val="18"/>
                <w:color w:val="auto"/>
              </w:rPr>
              <w:t>$500,000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98"/>
              </w:rPr>
              <w:t>21,150</w:t>
            </w:r>
          </w:p>
        </w:tc>
      </w:tr>
    </w:tbl>
    <w:p>
      <w:pPr>
        <w:spacing w:after="0" w:line="1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(1) Mr. Brodbeck resigned from the Company in March 2019. Upon his resignation from the Company, Mr. Brodbeck forfeited all unvested equity.</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Mr. Weiss commenced employment with us in February 2018, and in connection with joining the Company, the Compensation Committee awarded Mr. Weiss an equity grant of options and RSUs. The purpose of these grants was largely to attract Mr. Weiss to leave his then-current employment and join the Company, as well as to align his interests with those of our stockholders.</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All equity awards granted in 2018 to our NEOs vest in equal annual installments over four years, subject to the NEO’s continued service with us. We believe that, at this stage in our growth, time-based equity awards align the interests of our named executive officers with the long-term interests of our stockholders and provide incentives to our named executive officers to continue to build and grow the Company, to enhance stockholder value and to attract and retain our executives.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00" w:lineRule="exact"/>
        <w:rPr>
          <w:sz w:val="20"/>
          <w:szCs w:val="20"/>
          <w:color w:val="auto"/>
        </w:rPr>
      </w:pPr>
    </w:p>
    <w:p>
      <w:pPr>
        <w:spacing w:after="0" w:line="25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April 2019, the Compensation Committee determined it was in the best interest of the Company to grant our executive officers PSUs, similar to the PSUs granted to Mr. Oringer, and as more fully described above under “Executive Compensation Philosophy &amp; Objectives - Chief Executive Officer Compensation.” The PSUs granted in 2019 are designed to focus our executive officers on achieving important long-term financial objectives over a three-year period. The plan payout is intended to reflect the same key metrics we use to manage our business and drive shareholder returns over time.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Dividend Adjustment</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August 1, 2018, the Company’s Board of Directors declared a special cash dividend of $3.00 per share (the “Special Dividend”), which was paid on August 29, 2018 to stockholders of record at the close of business on August 15, 2018. In connection with the Special Dividend, and in accordance with the terms of the Amended and Restated 2012 Plan, the Company adjusted outstanding equity awards in order to prevent dilution of such awards. Accordingly, the Company increased the number of outstanding unvested RSUs and outstanding stock options, and reduced the exercise price of such outstanding stock options, using a conversion ratio of 1.055, which was determined using a ratio of the opening and closing stock price of the Company’s Common Stock on and immediately prior to the ex-dividend date (the “Special Dividend Adjustment”). The RSU numbers in the table above reflect the pre-dividend grant amount, since the award was made prior to the Special Dividend Adjustment. However, the information in the Grants of Plan Based Awards Table, Outstanding Equity Awards at Fiscal Year End and other tables, reflects the number of shares the number of shares underlying each option and the applicable exercise prices, and the number of shares in respect of outstanding RSUs, each on a post-dividend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24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Our named executive officers are eligible to participate in the same group insurance and employee benefit plans generally available to our other salaried employees in the United States. We provide employee benefits to all</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eligible employees in the United States, including our named executive officers, which our Compensation Committee believes are reasonable and consistent with its overall compensation objective to better enable us to attract and retain employees. These benefits include medical, dental and vision insurance, a 401(k) plan with a corporate match of up to 50% of eligible payroll contributions including catch-up contributions, life and disability insurance, business travel insurance, flexible spending accounts, fitness reimbursements, learning and development opportunities and other plans and programs. At this time, we do not provide any other special plans or programs for our named executive officers. Employee benefits and perquisites are reviewed from time to time to ensure that benefit levels remain competitive for the Company as a whole, including for our named executive officers. We do not offer special or extraordinary perquisites to our 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Section 4 - Other Compensation Information</w:t>
      </w:r>
    </w:p>
    <w:p>
      <w:pPr>
        <w:spacing w:after="0" w:line="15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prior three sections of this CD&amp;A describe how we think about compensation and how that affects our pay practices. Other compensation related details that may be important to our investors are described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Compensation Committee assesses and considers potential risks when reviewing and approving our compensation policies and practices for our executive officers and our employees. We have designed our compensation programs, including our incentive compensation plans, with features to address potential risks while rewarding employees for achieving financial and strategic objectives through prudent business judgment and appropriate risk taking. Based upon its assessment, our Compensation Committee believes that any risks arising from our compensation programs do not create disproportionate incentives for employees, including our named executive officers to take risks that could have a material adverse effect on us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 Policy</w:t>
      </w:r>
    </w:p>
    <w:p>
      <w:pPr>
        <w:spacing w:after="0" w:line="24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Equity awards granted to our employees, including our named executive officers, are generally approved on a monthly basis by our Compensation Committee. In February 2018, our Compensation Committee delegated authority to the Chief Executive Officer, Chief Financial Officer, Chief Human Resources Officer and General Counsel of the Company to grant equity awards to employees of the Company, who are not executive officers. Grants under this delegation could not exceed 520,000 shares, net of forfeitures, in the aggregate and no grant under this delegation during any fiscal year to an individual employee can exceed $350,000 or be greater than 1.5x such person’s base salary. The delegation also provided that the restricted stock units subject to an award would be determined by dividing (x) the cash value of the award by</w:t>
      </w:r>
    </w:p>
    <w:p>
      <w:pPr>
        <w:spacing w:after="0" w:line="3" w:lineRule="exact"/>
        <w:rPr>
          <w:sz w:val="20"/>
          <w:szCs w:val="20"/>
          <w:color w:val="auto"/>
        </w:rPr>
      </w:pPr>
    </w:p>
    <w:p>
      <w:pPr>
        <w:jc w:val="both"/>
        <w:ind w:right="160" w:firstLine="8"/>
        <w:spacing w:after="0" w:line="254" w:lineRule="auto"/>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average of the Company’s closing price for a share of Common Stock on each trading day during the thirty (30) trading days period ending on the date immediately prior to the grant date, rounded down to the nearest whole number of shares. The number of stock options subject to an award would be determined by using a Black-Scholes calculation as of the grant date. Grants of equity under this delegation are generally effective on the first business day of the month following approval of the equity award.</w:t>
      </w:r>
    </w:p>
    <w:p>
      <w:pPr>
        <w:spacing w:after="0" w:line="20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For newly-hired executive officers, grants of equity awards are generally effective on the first business day of the month following the date on which the executive officer commenced employment with us. For existing executive officers, grants of equity awards are generally effective on the first business day of the month following the date on which the Compensation Committee determined to make the award.</w:t>
      </w:r>
    </w:p>
    <w:p>
      <w:pPr>
        <w:spacing w:after="0" w:line="202"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The purchase or equity exercise price of all equity awards is based on the closing price of our Common Stock on that first business day of the month, which is the date of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Arrangements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line with our objective to retain our executive officers and incentivize them to continue to focus and remain dedicated to their responsibilities and to maximize stockholder value, including in the event of a transaction that could result in a change in control of our Company, we have entered into employment agreements with our executive officers that provide for certain severance payments in connection with certain termination events, including a termination in connection with a change in control. Further, consistent with best practices, none of our NEOs are entitled to excise tax gross-up payments. For each of our NEOs, these separation arrangements are described below under “Employment Agreements and Compensatory Arrangements” and “Potential Payments Upon Termination or Change in Control.”</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Clawback Policy</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December 2016, our Compensation Committee recommended, and our Board approved, a Clawback Policy which requires the recovery of certain incentive-based compensation payments paid to an executive officer if the Company is required to prepare an accounting restatement of its financial statements as a result of material noncompliance with any financial reporting requirements under federal securities laws. The Clawback Policy became effective in April 2017.</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Clawback Policy provides that in the event the Company is required to prepare an accounting restatement of its financial statements as a result of material noncompliance with any financial reporting requirements, the Board, upon recommendation from the Compensation Committee, will make a reasonable attempt to recover any incentive-based compensation paid to an executive officer in excess of that which would have been paid under the restated financial statements. The Clawback Policy further provides that if a current or former employee who is not an executive officer committed an act or omission that contributed to the circumstances requiring the accounting restatement and which involved negligence, misconduct, wrongdoing or violations of Company rules or of any applicable legal or regulatory requirements, the Board, upon recommendation of the Compensation Committee, will make a reasonable attempt to recover any incentive-based compensation paid to such employee in excess of that which would have been paid under the restated financial statements.</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the Compensation Committee or the Board determines that an employee, including an executive officer, committed an act or omission that contributed to the circumstances requiring the accounting restatement and which involved willful, knowing or intentional misconduct or a willful, knowing or intentional violation of any of the Company’s rules or any applicable legal or regulatory requirements, fraud or other illegal conduct, the Company will make a reasonable attempt to recover 100% of such employee’s incentive-based compensation and not just the excess.</w:t>
      </w:r>
    </w:p>
    <w:p>
      <w:pPr>
        <w:spacing w:after="0" w:line="20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Additionally, our Amended and Restated 2012 Plan and related award agreements provide for the recoupment of performance-based annual incentives and long-term incentives consistent with applicable law and the Clawback policy.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Treatment of Compensation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Prior to its amendment by the Tax Cuts and Jobs Act of 2017 (“TCJA”), Section 162(m) of the U.S. Internal Revenue Code (“Section 162(m)”) prohibited the Company from taking a tax deduction for compensation paid in excess of $1,000,000 to a named executive officer (other than the principal financial officer), except in the case of compensation that was considered under the regulations to qualify as “performance-based compensation” or was exempt under transition period rules applicable to new public-reporting companies. Since its initial public offering in 2012, as well as in 2017, the first year in which the Company was no longer covered by the newly public company transition-period exemption, the Compensation Committee has awarded certain cash and equity based incentive compensation awards that it had intended to be exempt from the Section 162(m) deduction limitations, either in reliance on the transition rules for newly public companies, the “performance-based compensation” exception and/or the regulations generally regarding the group of executives covered by the Section 162(m) limitations. With the amendment to Section 162(m) under the TCJA, beginning in 2018, except for certain grandfathered arrangements in place prior to November 2, 2017 under the amendment’s transition rules, Section 162(m) no longer includes an exception to the deduction limitations for “performance-based compensation” and expands the group of executive officers covered by the limitation. To date, there is limited guidance on the application of the grandfathering rules and there are certain unresolved questions regarding the rules’ implementation, but the initial guidance indicates that those elements of the cash and equity-based incentive compensation granted to our executive officers prior to November 2, 2017 that were intended to be exempt from the Section 162(m) deduction should, pending any further guidance, continue to be treated as exempt from the limitations under the transition rules.</w:t>
      </w:r>
    </w:p>
    <w:p>
      <w:pPr>
        <w:spacing w:after="0" w:line="21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addition, while the Compensation Committee will consider the impact of Section 162(m) when making compensation design determinations going forward, the Compensation Committee reserves the right to use its judgment to approve and authorize compensatory grants and payments that will not be deductible in light of the limitations of Section 162(m), as amended, and it intends to do so when the Compensation Committee believes such grants and payments are appropriate and in the best interests of the Company and its stockholders.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Executive Compensation</w:t>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follow ASC Topic 718 for our stock-based awards. ASC Topic 718 requires companies to measure the compensation expense for all share-based payment awards made to employees and directors, including stock options and restricted stock unit awards, based on the grant date “fair value” of these awards. This calculation is performed for accounting purposes and reported in the compensation tables below, even though our named executive officers may never realize any value from their awards. ASC Topic 718 also requires companies to recognize the compensation cost of their stock-based compensation awards in their income statements over the period that a named executive officer is required to render service in exchange for the option or other award. Accounting rules also require us to record cash compensation as an expense at the time the obligation is incurred.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Compensation Committee Report</w:t>
      </w:r>
    </w:p>
    <w:p>
      <w:pPr>
        <w:spacing w:after="0" w:line="238"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and, based on its review and discussions with management, the Compensation Committee recommended to the Board that the Compensation Discussion and Analysis be included in this proxy statement.</w:t>
      </w:r>
    </w:p>
    <w:p>
      <w:pPr>
        <w:spacing w:after="0" w:line="36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Members of the Compensation Committee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Deirdre Bigley (</w:t>
      </w:r>
      <w:r>
        <w:rPr>
          <w:rFonts w:ascii="Arial" w:cs="Arial" w:eastAsia="Arial" w:hAnsi="Arial"/>
          <w:sz w:val="18"/>
          <w:szCs w:val="18"/>
          <w:i w:val="1"/>
          <w:iCs w:val="1"/>
          <w:color w:val="auto"/>
        </w:rPr>
        <w:t>Chairwoman</w:t>
      </w:r>
      <w:r>
        <w:rPr>
          <w:rFonts w:ascii="Arial" w:cs="Arial" w:eastAsia="Arial" w:hAnsi="Arial"/>
          <w:sz w:val="18"/>
          <w:szCs w:val="18"/>
          <w:color w:val="auto"/>
        </w:rPr>
        <w: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Paul J. Hennessy</w:t>
      </w:r>
    </w:p>
    <w:p>
      <w:pPr>
        <w:ind w:left="4360"/>
        <w:spacing w:after="0"/>
        <w:rPr>
          <w:sz w:val="20"/>
          <w:szCs w:val="20"/>
          <w:color w:val="auto"/>
        </w:rPr>
      </w:pPr>
      <w:r>
        <w:rPr>
          <w:rFonts w:ascii="Arial" w:cs="Arial" w:eastAsia="Arial" w:hAnsi="Arial"/>
          <w:sz w:val="18"/>
          <w:szCs w:val="18"/>
          <w:color w:val="auto"/>
        </w:rPr>
        <w:t>Thomas R. Evans</w:t>
      </w:r>
    </w:p>
    <w:p>
      <w:pPr>
        <w:spacing w:after="0" w:line="2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Compensation Committee Report above does not constitute “soliciting material” and will not be deemed “filed” or incorporated by reference into any of our filings under the Securities Act of 1933, as amended (the “Securities Act”) or the Exchange Act that might incorporate our SEC filings by reference, in whole or in part, notwithstanding anything to the contrary set forth in those filings.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Employment Agreements and Compensatory Arrangements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material terms of the employment agreements and compensatory arrangements with our NEOs are set forth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Jon Oringer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Mr. Oringer is employed as our Founder and Chief Executive Officer pursuant to an employment agreement, dated September 24, 2012.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Oringer’s employment agreement generally provides for the following key terms:</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at-will employment;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 salary of $250,000, which was reduced to $1 by the Compensation Committee effective as of April 24, 2014;</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ineligibility for participation in our Short-Term Incentive Plan;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ability to participate in employee benefit plans generally available to those of our other executive officers;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reimbursement for necessary and reasonable business expenses.</w:t>
      </w:r>
    </w:p>
    <w:p>
      <w:pPr>
        <w:spacing w:after="0" w:line="200" w:lineRule="exact"/>
        <w:rPr>
          <w:sz w:val="20"/>
          <w:szCs w:val="20"/>
          <w:color w:val="auto"/>
        </w:rPr>
      </w:pPr>
    </w:p>
    <w:p>
      <w:pPr>
        <w:spacing w:after="0" w:line="241"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Mr. Oringer also entered into a Severance and Change in Control Agreement, dated September 24, 2012. Pursuant to the Severance and Change in Control Agreement (the “Severance and CiC Agreement”), if we terminate Mr. Oringer’s employment with the Company without “cause” (as defined in the Severance and CiC Agreement) or due to Mr. Oringer’s death or “disability” (as defined in the Severance and CiC Agreement) at any time other than during the twenty-four month period immediately following a “change of control” (as defined in the Severance and CiC Agreement), subject to his execution of a satisfactory release and compliance with the covenants described below, Mr. Oringer will receive the following severance benefits from the Company:</w:t>
      </w:r>
    </w:p>
    <w:p>
      <w:pPr>
        <w:spacing w:after="0" w:line="200" w:lineRule="exact"/>
        <w:rPr>
          <w:sz w:val="20"/>
          <w:szCs w:val="20"/>
          <w:color w:val="auto"/>
        </w:rPr>
      </w:pPr>
    </w:p>
    <w:p>
      <w:pPr>
        <w:spacing w:after="0" w:line="225" w:lineRule="exact"/>
        <w:rPr>
          <w:sz w:val="20"/>
          <w:szCs w:val="20"/>
          <w:color w:val="auto"/>
        </w:rPr>
      </w:pPr>
    </w:p>
    <w:p>
      <w:pPr>
        <w:ind w:left="660" w:right="20" w:hanging="328"/>
        <w:spacing w:after="0" w:line="25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severance in an amount equal to 12 months of his then current base salary, which will be paid in three equal installments on each of the following dates: (x) his termination of employment, (y) the six-month anniversary of his termination and (z) the one-year anniversary of his termination of employment;</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lump sum payment of a pro rata bonus at 100% of the then current target for the year in which the termination of employment occurs based on the number of days worked relative to 365 days;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reimbursement for premiums paid for coverage pursuant to the Consolidated Omnibus Budget Reconciliation Act of 1985, as amended, or COBRA, for Mr. Oringer and his eligible dependents for up to 12 months;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accelerated vesting of the then-unvested portion of all of Mr. Oringer’s outstanding equity awards as if he had remained employed for 12 months following his termination of employment;</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post-termination exercise period for the outstanding vested options will be extended to 18 months following his termination of employment;</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outplacement benefits for six months following termination of employment, up to a maximum of $5,000;</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accrued but unpaid vacation, expense reimbursements, wages, and other benefits due to Mr. Oringer under any Company-provided plans, policies and arrangements;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other compensation or benefits as may be required by law.</w:t>
      </w:r>
    </w:p>
    <w:p>
      <w:pPr>
        <w:spacing w:after="0" w:line="200" w:lineRule="exact"/>
        <w:rPr>
          <w:sz w:val="20"/>
          <w:szCs w:val="20"/>
          <w:color w:val="auto"/>
        </w:rPr>
      </w:pPr>
    </w:p>
    <w:p>
      <w:pPr>
        <w:spacing w:after="0" w:line="24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Further, if we terminate Mr. Oringer’s employment with the Company without “cause,” due to Mr. Oringer’s death or “disability” or Mr. Oringer resigns for “good reason” (as defined in the Severance and CiC Agreement) at any time during the twenty-four month period immediately following a “change of control”, subject to his execution of a</w:t>
      </w:r>
    </w:p>
    <w:p>
      <w:pPr>
        <w:sectPr>
          <w:pgSz w:w="11900" w:h="16838" w:orient="portrait"/>
          <w:cols w:equalWidth="0" w:num="1">
            <w:col w:w="11420"/>
          </w:cols>
          <w:pgMar w:left="240" w:top="125" w:right="239" w:bottom="71"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25" w:right="239" w:bottom="71"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satisfactory release and compliance with the covenants described below, Mr. Oringer will receive severance benefits set forth above, except as follows:</w:t>
      </w: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single lump sum payment of severance in an amount equal to 12 months of his then current base salary;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960" w:hanging="328"/>
        <w:spacing w:after="0" w:line="262"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lump sum severance payment equal to 100% of his full target bonus for the fiscal year in effect at the date of termination of employment;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accelerated vesting of 100% of the then-unvested portion of all of Mr. Oringer’s outstanding equity awards.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Mr. Oringer’s Severance and CiC Agreement contains customary confidentiality, non-competition, non-solicitation of employees or customers and non-disparagement provisions. Under the agreement, Mr. Oringer cannot compete with the Company for a 12 month period after termination. The non-solicitation and non-disparagement covenant also extends for 12 months after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Steven Berns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Mr. Berns is employed as our Chief Financial Officer pursuant to an employment agreement, dated August 5, 2015. Effective March 2017,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Berns’ employment agreement was amended to reflect the assumption of his role as Chief Operating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April 1, 2019, Mr. Berns’ title was amended to Co-Chief Operating Officer and Chief Financial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Mr. Berns’ employment agreement generally provides for the following key terms:</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at-will employment, which commenced effective September 21, 2015;</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660" w:right="300" w:hanging="328"/>
        <w:spacing w:after="0" w:line="291"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 salary of $500,000, which can be adjusted up, as determined in the sole discretion of the Board or Compensation Committee. Pursuant to the March 2017 amendment of Mr. Berns’ employment agreement, Mr. Berns’ base salary was increased to $600,000;</w:t>
      </w:r>
    </w:p>
    <w:p>
      <w:pPr>
        <w:spacing w:after="0" w:line="390" w:lineRule="exact"/>
        <w:rPr>
          <w:rFonts w:ascii="Arial" w:cs="Arial" w:eastAsia="Arial" w:hAnsi="Arial"/>
          <w:sz w:val="17"/>
          <w:szCs w:val="17"/>
          <w:color w:val="auto"/>
        </w:rPr>
      </w:pPr>
    </w:p>
    <w:p>
      <w:pPr>
        <w:ind w:left="660" w:right="260" w:hanging="328"/>
        <w:spacing w:after="0" w:line="26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commencing January 1, 2016, an annual cash bonus opportunity, with a target award equal to 80% of his base salary, based on the achievement of individual and company performance-based objectives established by our Compensation Committee;</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ability to participate in employee benefit plans generally available to those of our other executive officers;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reimbursement for necessary and reasonable business expenses.</w:t>
      </w:r>
    </w:p>
    <w:p>
      <w:pPr>
        <w:spacing w:after="0" w:line="200" w:lineRule="exact"/>
        <w:rPr>
          <w:sz w:val="20"/>
          <w:szCs w:val="20"/>
          <w:color w:val="auto"/>
        </w:rPr>
      </w:pPr>
    </w:p>
    <w:p>
      <w:pPr>
        <w:spacing w:after="0" w:line="24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If the Company terminates Mr. Berns’ employment without “cause” (as defined in his employment agreement), other than due to his death or “disability” (as defined in his employment agreement), or he resigns for “good reason” (as defined in his employment agreement) at any time other than during the twenty-four month period immediately following a “change of control” (as defined in his employment agreement), subject to his execution of an acceptable release and compliance with the covenants described below, Mr. Berns will receive the following severance benefits from the Company:</w:t>
      </w:r>
    </w:p>
    <w:p>
      <w:pPr>
        <w:spacing w:after="0" w:line="200" w:lineRule="exact"/>
        <w:rPr>
          <w:sz w:val="20"/>
          <w:szCs w:val="20"/>
          <w:color w:val="auto"/>
        </w:rPr>
      </w:pPr>
    </w:p>
    <w:p>
      <w:pPr>
        <w:spacing w:after="0" w:line="222" w:lineRule="exact"/>
        <w:rPr>
          <w:sz w:val="20"/>
          <w:szCs w:val="20"/>
          <w:color w:val="auto"/>
        </w:rPr>
      </w:pPr>
    </w:p>
    <w:p>
      <w:pPr>
        <w:ind w:left="660" w:right="280" w:hanging="328"/>
        <w:spacing w:after="0" w:line="262"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severance in an amount equal to 12 months of his base salary, which will be paid in accordance with the Company’s regular payroll procedures;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lump sum payment of a pro rata bonus based on actual performance for the year in which the termination of employment occurs based on the number of days worked relative to 365 days;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reimbursement for premiums paid for coverage pursuant to COBRA for such executive and his eligible dependents for up to 12 months;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accelerated vesting of the then-unvested portion of all his outstanding equity awards as if he had remained employed for 12 months following his termination of employment;</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outplacement benefits for six months following termination of employment, up to a maximum of $5,000;</w:t>
      </w:r>
    </w:p>
    <w:p>
      <w:pPr>
        <w:sectPr>
          <w:pgSz w:w="11900" w:h="16838"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60"/>
          </w:cols>
          <w:pgMar w:left="240" w:top="125" w:right="299" w:bottom="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660" w:right="460" w:hanging="328"/>
        <w:spacing w:after="0" w:line="26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accrued but unpaid vacation, expense reimbursements, wages, and other benefits due to such executive under any Company-provided plans, policies and arrangements;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other compensation or benefits as may be required by law.</w:t>
      </w:r>
    </w:p>
    <w:p>
      <w:pPr>
        <w:spacing w:after="0" w:line="200" w:lineRule="exact"/>
        <w:rPr>
          <w:sz w:val="20"/>
          <w:szCs w:val="20"/>
          <w:color w:val="auto"/>
        </w:rPr>
      </w:pP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we terminate Mr. Berns’ employment with the Company without “cause,” other than due to Mr. Berns’ death or “disability”, or Mr. Berns resigns for “good reason” at any time during the twenty-four month period immediately following a “change of control”, subject to his execution of an acceptable release and compliance with the covenants described below, Mr. Berns will receive severance benefits set forth above, except as follows:</w:t>
      </w:r>
    </w:p>
    <w:p>
      <w:pPr>
        <w:spacing w:after="0" w:line="200" w:lineRule="exact"/>
        <w:rPr>
          <w:sz w:val="20"/>
          <w:szCs w:val="20"/>
          <w:color w:val="auto"/>
        </w:rPr>
      </w:pPr>
    </w:p>
    <w:p>
      <w:pPr>
        <w:spacing w:after="0" w:line="220"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single lump sum payment of severance in an amount equal to 12 months of his then current base salary;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1000" w:hanging="328"/>
        <w:spacing w:after="0" w:line="262"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lump sum severance payment equal to 100% of his full target bonus for the fiscal year in effect at the date of termination of employment;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accelerated vesting of 100% of the then-unvested portion of all of Mr. Bern’s outstanding equity awards.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Berns is also subject to the Company’s Confidentiality, Non-Disclosure, Inventions, Non-Solicitation and Non-Competition Agreement, which contains customary confidentiality, non-competition, and non-solicitation of employees or customers provisions. Under the agreement, Mr. Berns cannot compete with the Company for a 12 month period after termination. The non-solicitation covenant also extends for 12 months after termination.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Martin Brodbeck</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Mr. Brodbeck was employed as our Chief Technology Officer pursuant to an employment agreement dated December 7, 2016. Mr. Brodbeck’s employment agreement generally provides for the following key terms:</w:t>
      </w: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at-will employment, which commenced effective January 3, 2017;</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 salary of $400,000;</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340" w:hanging="328"/>
        <w:spacing w:after="0" w:line="291"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annual cash bonus opportunity, with a target award equal to 50% of his base salary, based on the achievement of individual and company performance-based objectives established by our Compensation Committee and pro-rated for his initial year of service;</w:t>
      </w:r>
    </w:p>
    <w:p>
      <w:pPr>
        <w:spacing w:after="0" w:line="390" w:lineRule="exact"/>
        <w:rPr>
          <w:rFonts w:ascii="Arial" w:cs="Arial" w:eastAsia="Arial" w:hAnsi="Arial"/>
          <w:sz w:val="17"/>
          <w:szCs w:val="17"/>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ability to participate in employee benefit plans generally available to those of our other executive officers;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reimbursement for necessary and reasonable business expenses.</w:t>
      </w:r>
    </w:p>
    <w:p>
      <w:pPr>
        <w:spacing w:after="0" w:line="200" w:lineRule="exact"/>
        <w:rPr>
          <w:sz w:val="20"/>
          <w:szCs w:val="20"/>
          <w:color w:val="auto"/>
        </w:rPr>
      </w:pP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Brodbeck resigned from the Company in March 2019. If the Company had terminated Mr. Brodbeck’s employment without “cause” (as defined in his employment agreement), other than due to his death or “disability” (as defined in his employment agreement) at any time other than during the 12 month period immediately following a “change of control” (as defined in his employment agreement), subject to his execution of an acceptable release and compliance with the covenants described below, Mr. Brodbeck would have received the following severance benefits from the Company:</w:t>
      </w:r>
    </w:p>
    <w:p>
      <w:pPr>
        <w:spacing w:after="0" w:line="200" w:lineRule="exact"/>
        <w:rPr>
          <w:sz w:val="20"/>
          <w:szCs w:val="20"/>
          <w:color w:val="auto"/>
        </w:rPr>
      </w:pPr>
    </w:p>
    <w:p>
      <w:pPr>
        <w:spacing w:after="0" w:line="222" w:lineRule="exact"/>
        <w:rPr>
          <w:sz w:val="20"/>
          <w:szCs w:val="20"/>
          <w:color w:val="auto"/>
        </w:rPr>
      </w:pPr>
    </w:p>
    <w:p>
      <w:pPr>
        <w:ind w:left="660" w:right="300" w:hanging="328"/>
        <w:spacing w:after="0" w:line="26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severance in an amount equal to six months of his base salary, which will be paid in accordance with the Company’s regular payroll procedures;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lump sum payment of a pro rata bonus based on actual performance for the year in which the termination of employment occurs based on the number of days worked relative to 365 days;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reimbursement for premiums paid for coverage pursuant to COBRA for such executive and his eligible dependents for up to six months;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Mr. Brodbeck’s termination date is at least 12 months following the effective date of his employment, accelerated vesting of 50% of the then-unvested portion of all his outstanding equity awards as if he had remained employed for 12 months following his termination of employment;</w:t>
      </w:r>
    </w:p>
    <w:p>
      <w:pPr>
        <w:sectPr>
          <w:pgSz w:w="11900" w:h="16838" w:orient="portrait"/>
          <w:cols w:equalWidth="0" w:num="1">
            <w:col w:w="11400"/>
          </w:cols>
          <w:pgMar w:left="240" w:top="125" w:right="259" w:bottom="0" w:gutter="0" w:footer="0" w:header="0"/>
        </w:sectPr>
      </w:pPr>
    </w:p>
    <w:bookmarkStart w:id="47" w:name="page48"/>
    <w:bookmarkEnd w:id="47"/>
    <w:p>
      <w:pPr>
        <w:jc w:val="center"/>
        <w:ind w:right="-20"/>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9019"/>
          </w:cols>
          <w:pgMar w:left="1440" w:top="382" w:right="1440"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660" w:right="460" w:hanging="328"/>
        <w:spacing w:after="0" w:line="262"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accrued but unpaid vacation, expense reimbursements, wages, and other benefits due to such executive under any Company-provided plans, policies and arrangements;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other compensation or benefits as may be required by law.</w:t>
      </w:r>
    </w:p>
    <w:p>
      <w:pPr>
        <w:spacing w:after="0" w:line="200" w:lineRule="exact"/>
        <w:rPr>
          <w:sz w:val="20"/>
          <w:szCs w:val="20"/>
          <w:color w:val="auto"/>
        </w:rPr>
      </w:pPr>
    </w:p>
    <w:p>
      <w:pPr>
        <w:spacing w:after="0" w:line="24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If the Company had terminated Mr. Brodbeck’s employment with the Company without “cause,” other than due to Mr. Brodbeck’s death or “disability”, or Mr. Brodbeck resigned for “good reason” (as defined in his employment agreement) at any time during the 12 month period immediately following a “change of control”, subject to his execution of an acceptable release and compliance with the covenants described below, Mr. Brodbeck would have received the severance benefits set forth above, except as follows:</w:t>
      </w:r>
    </w:p>
    <w:p>
      <w:pPr>
        <w:spacing w:after="0" w:line="200" w:lineRule="exact"/>
        <w:rPr>
          <w:sz w:val="20"/>
          <w:szCs w:val="20"/>
          <w:color w:val="auto"/>
        </w:rPr>
      </w:pPr>
    </w:p>
    <w:p>
      <w:pPr>
        <w:spacing w:after="0" w:line="220"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single lump sum payment of severance in an amount equal to six months of his then current base salary;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1000" w:hanging="328"/>
        <w:spacing w:after="0" w:line="262"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lump sum severance payment equal to 100% of his full target bonus for the fiscal year in effect at the date of termination of employment;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accelerated vesting of 50% of the then-unvested portion of all his outstanding equity awards as if he had remained employed for 12 months following his termination of employment.</w:t>
      </w:r>
    </w:p>
    <w:p>
      <w:pPr>
        <w:spacing w:after="0" w:line="200" w:lineRule="exact"/>
        <w:rPr>
          <w:sz w:val="20"/>
          <w:szCs w:val="20"/>
          <w:color w:val="auto"/>
        </w:rPr>
      </w:pPr>
    </w:p>
    <w:p>
      <w:pPr>
        <w:spacing w:after="0" w:line="21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Brodbeck is also subject to the Company’s Confidentiality, Non-Disclosure, Inventions, Non-Solicitation and Non-Competition Agreement, which contains customary confidentiality, non-competition, and non-solicitation of employees or customers provision. Under the agreement, Mr. Brodbeck cannot compete with the Company for a 12 month period after termination. The non-solicitation covenant also extends for 12 months after termination.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Lisa Nadler</w:t>
      </w:r>
    </w:p>
    <w:p>
      <w:pPr>
        <w:spacing w:after="0" w:line="24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Ms. Nadler is employed as our Chief Human Resources Officer pursuant to an employment agreement dated June 27, 2017. Ms. Nadler’s employment agreement generally provides for the following key terms:</w:t>
      </w: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at-will employment, which commenced effective July 10, 2017;</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 salary of $500,000;</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300" w:hanging="328"/>
        <w:spacing w:after="0" w:line="291"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annual cash bonus opportunity, with a target award equal to 50% of her base salary, based on the achievement of individual and company performance-based objectives established by our Compensation Committee and pro-rated for her initial year of service;</w:t>
      </w:r>
    </w:p>
    <w:p>
      <w:pPr>
        <w:spacing w:after="0" w:line="390" w:lineRule="exact"/>
        <w:rPr>
          <w:rFonts w:ascii="Arial" w:cs="Arial" w:eastAsia="Arial" w:hAnsi="Arial"/>
          <w:sz w:val="17"/>
          <w:szCs w:val="17"/>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ability to participate in employee benefit plans generally available to those of our other executive officers;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reimbursement for necessary and reasonable business expenses.</w:t>
      </w:r>
    </w:p>
    <w:p>
      <w:pPr>
        <w:spacing w:after="0" w:line="200" w:lineRule="exact"/>
        <w:rPr>
          <w:sz w:val="20"/>
          <w:szCs w:val="20"/>
          <w:color w:val="auto"/>
        </w:rPr>
      </w:pP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Company terminates Ms. Nadler’s employment without “cause” (as defined in her employment agreement), other than due to her death or “disability” (as defined in her employment agreement), at any time other than during the 12 month period immediately following a “change of control” (as defined in her employment agreement), subject to her execution of an acceptable release and compliance with the covenants described below, Ms. Nadler will receive the following severance benefits from the Company:</w:t>
      </w:r>
    </w:p>
    <w:p>
      <w:pPr>
        <w:spacing w:after="0" w:line="200" w:lineRule="exact"/>
        <w:rPr>
          <w:sz w:val="20"/>
          <w:szCs w:val="20"/>
          <w:color w:val="auto"/>
        </w:rPr>
      </w:pPr>
    </w:p>
    <w:p>
      <w:pPr>
        <w:spacing w:after="0" w:line="220" w:lineRule="exact"/>
        <w:rPr>
          <w:sz w:val="20"/>
          <w:szCs w:val="20"/>
          <w:color w:val="auto"/>
        </w:rPr>
      </w:pPr>
    </w:p>
    <w:p>
      <w:pPr>
        <w:ind w:left="660" w:right="280" w:hanging="328"/>
        <w:spacing w:after="0" w:line="26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severance in an amount equal to six months of her base salary, which will be paid in accordance with the Company’s regular payroll procedures;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lump sum payment of a pro rata bonus based on actual performance for the year in which the termination of employment occurs based on the number of days worked relative to 365 days;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reimbursement for premiums paid for coverage pursuant to COBRA for such executive and her eligible dependents for up to six months;</w:t>
      </w:r>
    </w:p>
    <w:p>
      <w:pPr>
        <w:sectPr>
          <w:pgSz w:w="11900" w:h="16838" w:orient="portrait"/>
          <w:cols w:equalWidth="0" w:num="1">
            <w:col w:w="11400"/>
          </w:cols>
          <w:pgMar w:left="240" w:top="125" w:right="259" w:bottom="111"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125" w:right="259" w:bottom="111"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jc w:val="both"/>
        <w:ind w:left="660" w:right="60" w:hanging="328"/>
        <w:spacing w:after="0" w:line="256"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Ms. Nadler’s termination date is at least 12 months following the effective date of her employment, accelerated vesting of 50% of the then-unvested portion of all her outstanding equity awards as if she had remained employed for 12 months following her termination of employment;</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expense reimbursements, wages, and other benefits due to such executive under any Company-provided plans, policies and arrangements;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other compensation or benefits as may be required by law.</w:t>
      </w:r>
    </w:p>
    <w:p>
      <w:pPr>
        <w:spacing w:after="0" w:line="200" w:lineRule="exact"/>
        <w:rPr>
          <w:sz w:val="20"/>
          <w:szCs w:val="20"/>
          <w:color w:val="auto"/>
        </w:rPr>
      </w:pP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we terminate Ms. Nadler’s employment with the Company without “cause,” other than due to Ms. Nadler’s death or “disability”, or Ms. Nadler resigns for “good reason” (as defined in her employment agreement) at any time during the 12 month period immediately following a “change of control”, subject to her execution of an acceptable release and compliance with the covenants described below, Ms. Nadler will receive severance benefits set forth above, except as follows:</w:t>
      </w:r>
    </w:p>
    <w:p>
      <w:pPr>
        <w:spacing w:after="0" w:line="200" w:lineRule="exact"/>
        <w:rPr>
          <w:sz w:val="20"/>
          <w:szCs w:val="20"/>
          <w:color w:val="auto"/>
        </w:rPr>
      </w:pPr>
    </w:p>
    <w:p>
      <w:pPr>
        <w:spacing w:after="0" w:line="220"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single lump sum payment of severance in an amount equal to six months of her then current base salary;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960" w:hanging="328"/>
        <w:spacing w:after="0" w:line="262"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lump sum severance payment equal to 100% of her full target bonus for the fiscal year in effect at the date of termination of employment;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accelerated vesting of 50% of the then-unvested portion of all her outstanding equity awards as if she had remained employed for 12 months following her termination of employment.</w:t>
      </w:r>
    </w:p>
    <w:p>
      <w:pPr>
        <w:spacing w:after="0" w:line="200" w:lineRule="exact"/>
        <w:rPr>
          <w:sz w:val="20"/>
          <w:szCs w:val="20"/>
          <w:color w:val="auto"/>
        </w:rPr>
      </w:pP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Ms. Nadler is also subject to the Company’s Confidentiality, Non-Disclosure, Inventions, Non -Solicitation and Non-Competition Agreement, which contains customary confidentiality, non-competition, and non-solicitation of employees or customers provision. Under the agreement, Ms. Nadler cannot compete with the Company for a 12 month period after termination. The non-solicitation covenant also extends for 12 months after termination.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Lou Weiss</w:t>
      </w:r>
    </w:p>
    <w:p>
      <w:pPr>
        <w:spacing w:after="0" w:line="247" w:lineRule="exact"/>
        <w:rPr>
          <w:sz w:val="20"/>
          <w:szCs w:val="20"/>
          <w:color w:val="auto"/>
        </w:rPr>
      </w:pPr>
    </w:p>
    <w:p>
      <w:pPr>
        <w:ind w:right="980"/>
        <w:spacing w:after="0" w:line="262" w:lineRule="auto"/>
        <w:rPr>
          <w:sz w:val="20"/>
          <w:szCs w:val="20"/>
          <w:color w:val="auto"/>
        </w:rPr>
      </w:pPr>
      <w:r>
        <w:rPr>
          <w:rFonts w:ascii="Arial" w:cs="Arial" w:eastAsia="Arial" w:hAnsi="Arial"/>
          <w:sz w:val="18"/>
          <w:szCs w:val="18"/>
          <w:color w:val="auto"/>
        </w:rPr>
        <w:t>Mr. Weiss is employed as our Chief Marketing Officer pursuant to an employment agreement dated February 13, 2018. Mr. Weiss’s employment agreement generally provides for the following key terms:</w:t>
      </w: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at-will employment, which commenced effective February 26, 2018;</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 salary of $450,000;</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340" w:hanging="328"/>
        <w:spacing w:after="0" w:line="291"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 annual cash bonus opportunity, with a target award equal to 50% of his base salary, based on the achievement of individual and company performance-based objectives established by our Compensation Committee and pro-rated for his initial year of service;</w:t>
      </w:r>
    </w:p>
    <w:p>
      <w:pPr>
        <w:spacing w:after="0" w:line="390" w:lineRule="exact"/>
        <w:rPr>
          <w:rFonts w:ascii="Arial" w:cs="Arial" w:eastAsia="Arial" w:hAnsi="Arial"/>
          <w:sz w:val="17"/>
          <w:szCs w:val="17"/>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ability to participate in employee benefit plans generally available to those of our other executive officers;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reimbursement for necessary and reasonable business expenses.</w:t>
      </w:r>
    </w:p>
    <w:p>
      <w:pPr>
        <w:spacing w:after="0" w:line="200" w:lineRule="exact"/>
        <w:rPr>
          <w:sz w:val="20"/>
          <w:szCs w:val="20"/>
          <w:color w:val="auto"/>
        </w:rPr>
      </w:pPr>
    </w:p>
    <w:p>
      <w:pPr>
        <w:spacing w:after="0" w:line="24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If the Company terminates Mr. Weiss’s employment without “cause” (as defined in his employment agreement), other than due to his death or “disability” (as defined in his employment agreement), at any time other than during the 12 month period immediately following a “change of control” (as defined in his employment agreement), subject to his execution of an acceptable release and compliance with the covenants described below, Mr. Weiss will receive the following severance benefits from the Company:</w:t>
      </w:r>
    </w:p>
    <w:p>
      <w:pPr>
        <w:spacing w:after="0" w:line="200" w:lineRule="exact"/>
        <w:rPr>
          <w:sz w:val="20"/>
          <w:szCs w:val="20"/>
          <w:color w:val="auto"/>
        </w:rPr>
      </w:pPr>
    </w:p>
    <w:p>
      <w:pPr>
        <w:spacing w:after="0" w:line="220" w:lineRule="exact"/>
        <w:rPr>
          <w:sz w:val="20"/>
          <w:szCs w:val="20"/>
          <w:color w:val="auto"/>
        </w:rPr>
      </w:pPr>
    </w:p>
    <w:p>
      <w:pPr>
        <w:ind w:left="660" w:right="300" w:hanging="328"/>
        <w:spacing w:after="0" w:line="262"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severance in an amount equal to six months of his base salary, which will be paid in accordance with the Company’s regular payroll procedures commencing on the sixtieth day after the date of his termination;</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lump sum payment of a pro rata bonus based on actual performance for the year in which the termination of employment occurs based on the number of days worked relative to 365 days;</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125" w:right="259" w:bottom="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660" w:right="620" w:hanging="328"/>
        <w:spacing w:after="0" w:line="26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reimbursement for premiums paid for coverage pursuant to COBRA for such executive and his eligible dependents for up to six months;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jc w:val="both"/>
        <w:ind w:left="660" w:right="180" w:hanging="328"/>
        <w:spacing w:after="0" w:line="256"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Mr. Weiss’s termination date is at least 12 months following the effective date of his employment, accelerated vesting of 50% of the then-unvested portion of all his outstanding equity awards as if he had remained employed for 12 months following his termination of employment;</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expense reimbursements, wages, and other benefits due to such executive under any Company-provided plans, policies and arrangements;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other compensation or benefits as may be required by law.</w:t>
      </w:r>
    </w:p>
    <w:p>
      <w:pPr>
        <w:spacing w:after="0" w:line="200" w:lineRule="exact"/>
        <w:rPr>
          <w:sz w:val="20"/>
          <w:szCs w:val="20"/>
          <w:color w:val="auto"/>
        </w:rPr>
      </w:pP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we terminate Mr. Weiss’s employment with the Company without “cause,” other than due to Mr. Weiss’s death or “disability”, or Mr. Weiss resigns for “good reason” (as defined in his employment agreement) at any time during the 12 month period immediately following a “change of control”, subject to his execution of an acceptable release and compliance with the covenants described below, Mr. Weiss will receive severance benefits set forth above, except as follows:</w:t>
      </w:r>
    </w:p>
    <w:p>
      <w:pPr>
        <w:spacing w:after="0" w:line="200" w:lineRule="exact"/>
        <w:rPr>
          <w:sz w:val="20"/>
          <w:szCs w:val="20"/>
          <w:color w:val="auto"/>
        </w:rPr>
      </w:pPr>
    </w:p>
    <w:p>
      <w:pPr>
        <w:spacing w:after="0" w:line="220"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single lump sum payment of severance in an amount equal to six months of his then current base salary;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980" w:hanging="328"/>
        <w:spacing w:after="0" w:line="262"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lump sum severance payment equal to 100% of his full target bonus for the fiscal year in effect at the date of termination of employment; and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accelerated vesting of 50% of the then-unvested portion of all his outstanding equity awards as if he had remained employed for 12 months following his termination of employment.</w:t>
      </w:r>
    </w:p>
    <w:p>
      <w:pPr>
        <w:spacing w:after="0" w:line="200" w:lineRule="exact"/>
        <w:rPr>
          <w:sz w:val="20"/>
          <w:szCs w:val="20"/>
          <w:color w:val="auto"/>
        </w:rPr>
      </w:pP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Ms. Weiss is also subject to the Company’s Confidentiality, Non-Disclosure, Inventions, Non-Solicitation and Non-Competition Agreement, which contains customary confidentiality, non-competition, and non-solicitation of employees or customers provision. Under the agreement, Mr. Weiss cannot compete with the Company for a 12 month period after termination. The non-solicitation covenant also extends for 12 months after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Summary Compensation Table</w:t>
      </w:r>
    </w:p>
    <w:p>
      <w:pPr>
        <w:spacing w:after="0" w:line="29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table sets forth information regarding the compensation awarded to, earned by, or paid to each of our named executive officers during the fiscal years ended December 31, 2018, December 31, 2017 and December 31, 2016, as applicable.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Stock</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Non-Equity</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Bonus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Awards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Awards</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Incentive Plan</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Compensation</w:t>
            </w:r>
            <w:r>
              <w:rPr>
                <w:rFonts w:ascii="Arial" w:cs="Arial" w:eastAsia="Arial" w:hAnsi="Arial"/>
                <w:sz w:val="17"/>
                <w:szCs w:val="17"/>
                <w:b w:val="1"/>
                <w:bCs w:val="1"/>
                <w:color w:val="auto"/>
                <w:w w:val="98"/>
                <w:vertAlign w:val="superscript"/>
              </w:rPr>
              <w:t>(2)</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0"/>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Jonathan Oringer</w:t>
            </w:r>
          </w:p>
        </w:tc>
        <w:tc>
          <w:tcPr>
            <w:tcW w:w="580" w:type="dxa"/>
            <w:vAlign w:val="bottom"/>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4"/>
                <w:szCs w:val="24"/>
                <w:color w:val="auto"/>
              </w:rPr>
            </w:pPr>
          </w:p>
        </w:tc>
        <w:tc>
          <w:tcPr>
            <w:tcW w:w="11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660</w:t>
            </w:r>
            <w:r>
              <w:rPr>
                <w:rFonts w:ascii="Arial" w:cs="Arial" w:eastAsia="Arial" w:hAnsi="Arial"/>
                <w:sz w:val="17"/>
                <w:szCs w:val="17"/>
                <w:color w:val="auto"/>
                <w:vertAlign w:val="superscript"/>
              </w:rPr>
              <w:t>(3)</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Chief Executive Officer</w:t>
            </w:r>
          </w:p>
        </w:tc>
        <w:tc>
          <w:tcPr>
            <w:tcW w:w="580" w:type="dxa"/>
            <w:vAlign w:val="bottom"/>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3"/>
                <w:szCs w:val="23"/>
                <w:color w:val="auto"/>
              </w:rPr>
            </w:pPr>
          </w:p>
        </w:tc>
        <w:tc>
          <w:tcPr>
            <w:tcW w:w="11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635</w:t>
            </w:r>
            <w:r>
              <w:rPr>
                <w:rFonts w:ascii="Arial" w:cs="Arial" w:eastAsia="Arial" w:hAnsi="Arial"/>
                <w:sz w:val="17"/>
                <w:szCs w:val="17"/>
                <w:color w:val="auto"/>
                <w:vertAlign w:val="superscript"/>
              </w:rPr>
              <w:t>(3)</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4,467,500</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w:t>
            </w:r>
            <w:r>
              <w:rPr>
                <w:rFonts w:ascii="Arial" w:cs="Arial" w:eastAsia="Arial" w:hAnsi="Arial"/>
                <w:sz w:val="17"/>
                <w:szCs w:val="17"/>
                <w:color w:val="auto"/>
                <w:vertAlign w:val="superscript"/>
              </w:rPr>
              <w:t>(3)</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4,468,009</w:t>
            </w:r>
          </w:p>
        </w:tc>
        <w:tc>
          <w:tcPr>
            <w:tcW w:w="0" w:type="dxa"/>
            <w:vAlign w:val="bottom"/>
          </w:tcPr>
          <w:p>
            <w:pPr>
              <w:spacing w:after="0"/>
              <w:rPr>
                <w:sz w:val="1"/>
                <w:szCs w:val="1"/>
                <w:color w:val="auto"/>
              </w:rPr>
            </w:pPr>
          </w:p>
        </w:tc>
      </w:tr>
      <w:tr>
        <w:trPr>
          <w:trHeight w:val="466"/>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Steven Berns</w:t>
            </w:r>
          </w:p>
        </w:tc>
        <w:tc>
          <w:tcPr>
            <w:tcW w:w="580" w:type="dxa"/>
            <w:vAlign w:val="bottom"/>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600,000</w:t>
            </w:r>
          </w:p>
        </w:tc>
        <w:tc>
          <w:tcPr>
            <w:tcW w:w="140" w:type="dxa"/>
            <w:vAlign w:val="bottom"/>
          </w:tcPr>
          <w:p>
            <w:pPr>
              <w:spacing w:after="0"/>
              <w:rPr>
                <w:sz w:val="24"/>
                <w:szCs w:val="24"/>
                <w:color w:val="auto"/>
              </w:rPr>
            </w:pPr>
          </w:p>
        </w:tc>
        <w:tc>
          <w:tcPr>
            <w:tcW w:w="11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1,611,141</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328,320</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14,626</w:t>
            </w:r>
            <w:r>
              <w:rPr>
                <w:rFonts w:ascii="Arial" w:cs="Arial" w:eastAsia="Arial" w:hAnsi="Arial"/>
                <w:sz w:val="17"/>
                <w:szCs w:val="17"/>
                <w:color w:val="auto"/>
                <w:vertAlign w:val="superscript"/>
              </w:rPr>
              <w:t>(4)</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2,554,087</w:t>
            </w:r>
          </w:p>
        </w:tc>
        <w:tc>
          <w:tcPr>
            <w:tcW w:w="0" w:type="dxa"/>
            <w:vAlign w:val="bottom"/>
          </w:tcPr>
          <w:p>
            <w:pPr>
              <w:spacing w:after="0"/>
              <w:rPr>
                <w:sz w:val="1"/>
                <w:szCs w:val="1"/>
                <w:color w:val="auto"/>
              </w:rPr>
            </w:pPr>
          </w:p>
        </w:tc>
      </w:tr>
      <w:tr>
        <w:trPr>
          <w:trHeight w:val="270"/>
        </w:trPr>
        <w:tc>
          <w:tcPr>
            <w:tcW w:w="2200" w:type="dxa"/>
            <w:vAlign w:val="bottom"/>
            <w:gridSpan w:val="2"/>
            <w:vMerge w:val="restart"/>
          </w:tcPr>
          <w:p>
            <w:pPr>
              <w:ind w:left="40"/>
              <w:spacing w:after="0"/>
              <w:rPr>
                <w:sz w:val="20"/>
                <w:szCs w:val="20"/>
                <w:color w:val="auto"/>
              </w:rPr>
            </w:pPr>
            <w:r>
              <w:rPr>
                <w:rFonts w:ascii="Arial" w:cs="Arial" w:eastAsia="Arial" w:hAnsi="Arial"/>
                <w:sz w:val="13"/>
                <w:szCs w:val="13"/>
                <w:color w:val="auto"/>
              </w:rPr>
              <w:t>Co-Chief Operating Officer and</w:t>
            </w:r>
          </w:p>
        </w:tc>
        <w:tc>
          <w:tcPr>
            <w:tcW w:w="580" w:type="dxa"/>
            <w:vAlign w:val="bottom"/>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584,615</w:t>
            </w:r>
          </w:p>
        </w:tc>
        <w:tc>
          <w:tcPr>
            <w:tcW w:w="140" w:type="dxa"/>
            <w:vAlign w:val="bottom"/>
          </w:tcPr>
          <w:p>
            <w:pPr>
              <w:spacing w:after="0"/>
              <w:rPr>
                <w:sz w:val="23"/>
                <w:szCs w:val="23"/>
                <w:color w:val="auto"/>
              </w:rPr>
            </w:pPr>
          </w:p>
        </w:tc>
        <w:tc>
          <w:tcPr>
            <w:tcW w:w="11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675,150</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456,000</w:t>
            </w:r>
          </w:p>
        </w:tc>
        <w:tc>
          <w:tcPr>
            <w:tcW w:w="1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367,200</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1,242</w:t>
            </w:r>
            <w:r>
              <w:rPr>
                <w:rFonts w:ascii="Arial" w:cs="Arial" w:eastAsia="Arial" w:hAnsi="Arial"/>
                <w:sz w:val="17"/>
                <w:szCs w:val="17"/>
                <w:color w:val="auto"/>
                <w:vertAlign w:val="superscript"/>
              </w:rPr>
              <w:t>(5)</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2,084,207</w:t>
            </w:r>
          </w:p>
        </w:tc>
        <w:tc>
          <w:tcPr>
            <w:tcW w:w="0" w:type="dxa"/>
            <w:vAlign w:val="bottom"/>
          </w:tcPr>
          <w:p>
            <w:pPr>
              <w:spacing w:after="0"/>
              <w:rPr>
                <w:sz w:val="1"/>
                <w:szCs w:val="1"/>
                <w:color w:val="auto"/>
              </w:rPr>
            </w:pPr>
          </w:p>
        </w:tc>
      </w:tr>
      <w:tr>
        <w:trPr>
          <w:trHeight w:val="62"/>
        </w:trPr>
        <w:tc>
          <w:tcPr>
            <w:tcW w:w="2200" w:type="dxa"/>
            <w:vAlign w:val="bottom"/>
            <w:gridSpan w:val="2"/>
            <w:vMerge w:val="continue"/>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5"/>
                <w:szCs w:val="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5"/>
                <w:szCs w:val="5"/>
                <w:color w:val="auto"/>
              </w:rPr>
            </w:pPr>
          </w:p>
        </w:tc>
        <w:tc>
          <w:tcPr>
            <w:tcW w:w="116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521,400</w:t>
            </w:r>
          </w:p>
        </w:tc>
        <w:tc>
          <w:tcPr>
            <w:tcW w:w="120" w:type="dxa"/>
            <w:vAlign w:val="bottom"/>
          </w:tcPr>
          <w:p>
            <w:pPr>
              <w:spacing w:after="0"/>
              <w:rPr>
                <w:sz w:val="5"/>
                <w:szCs w:val="5"/>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714,800</w:t>
            </w:r>
          </w:p>
        </w:tc>
        <w:tc>
          <w:tcPr>
            <w:tcW w:w="120" w:type="dxa"/>
            <w:vAlign w:val="bottom"/>
          </w:tcPr>
          <w:p>
            <w:pPr>
              <w:spacing w:after="0"/>
              <w:rPr>
                <w:sz w:val="5"/>
                <w:szCs w:val="5"/>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375,000</w:t>
            </w:r>
          </w:p>
        </w:tc>
        <w:tc>
          <w:tcPr>
            <w:tcW w:w="120" w:type="dxa"/>
            <w:vAlign w:val="bottom"/>
          </w:tcPr>
          <w:p>
            <w:pPr>
              <w:spacing w:after="0"/>
              <w:rPr>
                <w:sz w:val="5"/>
                <w:szCs w:val="5"/>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955</w:t>
            </w:r>
            <w:r>
              <w:rPr>
                <w:rFonts w:ascii="Arial" w:cs="Arial" w:eastAsia="Arial" w:hAnsi="Arial"/>
                <w:sz w:val="17"/>
                <w:szCs w:val="17"/>
                <w:color w:val="auto"/>
                <w:vertAlign w:val="superscript"/>
              </w:rPr>
              <w:t>(5)</w:t>
            </w:r>
          </w:p>
        </w:tc>
        <w:tc>
          <w:tcPr>
            <w:tcW w:w="100" w:type="dxa"/>
            <w:vAlign w:val="bottom"/>
          </w:tcPr>
          <w:p>
            <w:pPr>
              <w:spacing w:after="0"/>
              <w:rPr>
                <w:sz w:val="5"/>
                <w:szCs w:val="5"/>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2,112,155</w:t>
            </w:r>
          </w:p>
        </w:tc>
        <w:tc>
          <w:tcPr>
            <w:tcW w:w="0" w:type="dxa"/>
            <w:vAlign w:val="bottom"/>
          </w:tcPr>
          <w:p>
            <w:pPr>
              <w:spacing w:after="0"/>
              <w:rPr>
                <w:sz w:val="1"/>
                <w:szCs w:val="1"/>
                <w:color w:val="auto"/>
              </w:rPr>
            </w:pPr>
          </w:p>
        </w:tc>
      </w:tr>
      <w:tr>
        <w:trPr>
          <w:trHeight w:val="168"/>
        </w:trPr>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Chief Financial Officer</w:t>
            </w: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Martin Brodbeck</w:t>
            </w:r>
          </w:p>
        </w:tc>
        <w:tc>
          <w:tcPr>
            <w:tcW w:w="580" w:type="dxa"/>
            <w:vAlign w:val="bottom"/>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484,615</w:t>
            </w:r>
          </w:p>
        </w:tc>
        <w:tc>
          <w:tcPr>
            <w:tcW w:w="140" w:type="dxa"/>
            <w:vAlign w:val="bottom"/>
          </w:tcPr>
          <w:p>
            <w:pPr>
              <w:spacing w:after="0"/>
              <w:rPr>
                <w:sz w:val="24"/>
                <w:szCs w:val="24"/>
                <w:color w:val="auto"/>
              </w:rPr>
            </w:pPr>
          </w:p>
        </w:tc>
        <w:tc>
          <w:tcPr>
            <w:tcW w:w="11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1,611,141</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10,585</w:t>
            </w:r>
            <w:r>
              <w:rPr>
                <w:rFonts w:ascii="Arial" w:cs="Arial" w:eastAsia="Arial" w:hAnsi="Arial"/>
                <w:sz w:val="17"/>
                <w:szCs w:val="17"/>
                <w:color w:val="auto"/>
                <w:vertAlign w:val="superscript"/>
              </w:rPr>
              <w:t>(6)</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2,231,341</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Chief Technology Officer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398,461</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1,591,500</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933,450</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200,000</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23,582</w:t>
            </w:r>
            <w:r>
              <w:rPr>
                <w:rFonts w:ascii="Arial" w:cs="Arial" w:eastAsia="Arial" w:hAnsi="Arial"/>
                <w:sz w:val="17"/>
                <w:szCs w:val="17"/>
                <w:color w:val="auto"/>
                <w:vertAlign w:val="superscript"/>
              </w:rPr>
              <w:t>(7)</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3,146,993</w:t>
            </w:r>
          </w:p>
        </w:tc>
        <w:tc>
          <w:tcPr>
            <w:tcW w:w="0" w:type="dxa"/>
            <w:vAlign w:val="bottom"/>
          </w:tcPr>
          <w:p>
            <w:pPr>
              <w:spacing w:after="0"/>
              <w:rPr>
                <w:sz w:val="1"/>
                <w:szCs w:val="1"/>
                <w:color w:val="auto"/>
              </w:rPr>
            </w:pPr>
          </w:p>
        </w:tc>
      </w:tr>
      <w:tr>
        <w:trPr>
          <w:trHeight w:val="457"/>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Lisa Nadler</w:t>
            </w:r>
          </w:p>
        </w:tc>
        <w:tc>
          <w:tcPr>
            <w:tcW w:w="580" w:type="dxa"/>
            <w:vAlign w:val="bottom"/>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24"/>
                <w:szCs w:val="24"/>
                <w:color w:val="auto"/>
              </w:rPr>
            </w:pPr>
          </w:p>
        </w:tc>
        <w:tc>
          <w:tcPr>
            <w:tcW w:w="11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1,288,923</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171,000</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15,168</w:t>
            </w:r>
            <w:r>
              <w:rPr>
                <w:rFonts w:ascii="Arial" w:cs="Arial" w:eastAsia="Arial" w:hAnsi="Arial"/>
                <w:sz w:val="17"/>
                <w:szCs w:val="17"/>
                <w:color w:val="auto"/>
                <w:vertAlign w:val="superscript"/>
              </w:rPr>
              <w:t>(8)</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1,975,091</w:t>
            </w:r>
          </w:p>
        </w:tc>
        <w:tc>
          <w:tcPr>
            <w:tcW w:w="0" w:type="dxa"/>
            <w:vAlign w:val="bottom"/>
          </w:tcPr>
          <w:p>
            <w:pPr>
              <w:spacing w:after="0"/>
              <w:rPr>
                <w:sz w:val="1"/>
                <w:szCs w:val="1"/>
                <w:color w:val="auto"/>
              </w:rPr>
            </w:pPr>
          </w:p>
        </w:tc>
      </w:tr>
      <w:tr>
        <w:trPr>
          <w:trHeight w:val="162"/>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Chief Human Resources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876</w:t>
            </w:r>
            <w:r>
              <w:rPr>
                <w:rFonts w:ascii="Arial" w:cs="Arial" w:eastAsia="Arial" w:hAnsi="Arial"/>
                <w:sz w:val="17"/>
                <w:szCs w:val="17"/>
                <w:color w:val="auto"/>
                <w:vertAlign w:val="superscript"/>
              </w:rPr>
              <w:t>(9)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Officer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240,385</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946,215</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122,880</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100,000</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1,410,356</w:t>
            </w:r>
          </w:p>
        </w:tc>
        <w:tc>
          <w:tcPr>
            <w:tcW w:w="0" w:type="dxa"/>
            <w:vAlign w:val="bottom"/>
          </w:tcPr>
          <w:p>
            <w:pPr>
              <w:spacing w:after="0"/>
              <w:rPr>
                <w:sz w:val="1"/>
                <w:szCs w:val="1"/>
                <w:color w:val="auto"/>
              </w:rPr>
            </w:pPr>
          </w:p>
        </w:tc>
      </w:tr>
      <w:tr>
        <w:trPr>
          <w:trHeight w:val="414"/>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Lou Weiss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Chief Marketing Officer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380,769</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962,549</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499,986</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153,000</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10,284</w:t>
            </w:r>
            <w:r>
              <w:rPr>
                <w:rFonts w:ascii="Arial" w:cs="Arial" w:eastAsia="Arial" w:hAnsi="Arial"/>
                <w:sz w:val="17"/>
                <w:szCs w:val="17"/>
                <w:color w:val="auto"/>
                <w:vertAlign w:val="superscript"/>
              </w:rPr>
              <w:t>(10)</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2,006,588</w:t>
            </w:r>
          </w:p>
        </w:tc>
        <w:tc>
          <w:tcPr>
            <w:tcW w:w="0" w:type="dxa"/>
            <w:vAlign w:val="bottom"/>
          </w:tcPr>
          <w:p>
            <w:pPr>
              <w:spacing w:after="0"/>
              <w:rPr>
                <w:sz w:val="1"/>
                <w:szCs w:val="1"/>
                <w:color w:val="auto"/>
              </w:rPr>
            </w:pPr>
          </w:p>
        </w:tc>
      </w:tr>
    </w:tbl>
    <w:p>
      <w:pPr>
        <w:spacing w:after="0" w:line="380" w:lineRule="exact"/>
        <w:rPr>
          <w:sz w:val="20"/>
          <w:szCs w:val="20"/>
          <w:color w:val="auto"/>
        </w:rPr>
      </w:pPr>
    </w:p>
    <w:p>
      <w:pPr>
        <w:ind w:left="660" w:right="40" w:hanging="652"/>
        <w:spacing w:after="0" w:line="249"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computed in accordance with ASC Topic 718. A discussion of the assumptions used in determining grant date fair value may be found in Note 10 to our audited consolidated financial statements included in our 2018 Annual Report. See also our discussion in our 2018 Annual Report of equity-based compensation under “Item 7. Management’s Discussion and Analysis of Financial Condition and Results of Operations-Critical Accounting Policies and Estimates-Equity-Based Compensation.” Please also refer to the Grants of Plan-Based Awards in 2018 table for information on stock awards made in 2018. These amounts do not necessarily represent the actual value that may be realized by the NEOs.</w:t>
      </w:r>
    </w:p>
    <w:p>
      <w:pPr>
        <w:spacing w:after="0" w:line="43" w:lineRule="exact"/>
        <w:rPr>
          <w:rFonts w:ascii="Arial" w:cs="Arial" w:eastAsia="Arial" w:hAnsi="Arial"/>
          <w:sz w:val="16"/>
          <w:szCs w:val="16"/>
          <w:color w:val="auto"/>
        </w:rPr>
      </w:pPr>
    </w:p>
    <w:p>
      <w:pPr>
        <w:ind w:left="660" w:right="60" w:hanging="652"/>
        <w:spacing w:after="0" w:line="253"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Amounts shown in the non-equity incentive plan compensation column represent performance-based bonuses earned under the Short-Term Incentive Plan for performance during 2018, but actually paid in 2019. For further information regarding our Short-Term Incentive Plan, see “Compensation Discussion and Analysis - Section 2 - Elements of 2018 Compensation - Cash Incentives.”</w:t>
      </w:r>
    </w:p>
    <w:p>
      <w:pPr>
        <w:spacing w:after="0" w:line="39" w:lineRule="exact"/>
        <w:rPr>
          <w:rFonts w:ascii="Arial" w:cs="Arial" w:eastAsia="Arial" w:hAnsi="Arial"/>
          <w:sz w:val="16"/>
          <w:szCs w:val="16"/>
          <w:color w:val="auto"/>
        </w:rPr>
      </w:pPr>
    </w:p>
    <w:p>
      <w:pPr>
        <w:ind w:left="660" w:hanging="652"/>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Represents the value of Company-provided group term life insurance premium.</w:t>
      </w:r>
    </w:p>
    <w:p>
      <w:pPr>
        <w:spacing w:after="0" w:line="59" w:lineRule="exact"/>
        <w:rPr>
          <w:rFonts w:ascii="Arial" w:cs="Arial" w:eastAsia="Arial" w:hAnsi="Arial"/>
          <w:sz w:val="16"/>
          <w:szCs w:val="16"/>
          <w:color w:val="auto"/>
        </w:rPr>
      </w:pPr>
    </w:p>
    <w:p>
      <w:pPr>
        <w:ind w:left="660" w:right="20" w:hanging="652"/>
        <w:spacing w:after="0" w:line="260"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a $12,250 payment for 401(k) matching contributions by the Company, the value of Company-provided group term life insurance premium, mobile phone allowance and fitness reimbursement.</w:t>
      </w:r>
    </w:p>
    <w:p>
      <w:pPr>
        <w:spacing w:after="0" w:line="33" w:lineRule="exact"/>
        <w:rPr>
          <w:rFonts w:ascii="Arial" w:cs="Arial" w:eastAsia="Arial" w:hAnsi="Arial"/>
          <w:sz w:val="16"/>
          <w:szCs w:val="16"/>
          <w:color w:val="auto"/>
        </w:rPr>
      </w:pPr>
    </w:p>
    <w:p>
      <w:pPr>
        <w:ind w:left="660" w:hanging="652"/>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Represents the value of Company-provided group term life insurance premium.</w:t>
      </w:r>
    </w:p>
    <w:p>
      <w:pPr>
        <w:spacing w:after="0" w:line="59" w:lineRule="exact"/>
        <w:rPr>
          <w:rFonts w:ascii="Arial" w:cs="Arial" w:eastAsia="Arial" w:hAnsi="Arial"/>
          <w:sz w:val="16"/>
          <w:szCs w:val="16"/>
          <w:color w:val="auto"/>
        </w:rPr>
      </w:pPr>
    </w:p>
    <w:p>
      <w:pPr>
        <w:ind w:left="660" w:right="260" w:hanging="652"/>
        <w:spacing w:after="0" w:line="260"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a $9,135 payment for 401(k) matching contributions by the Company, the value of Company-provided group term life insurance, mobile phone allowance and fitness reimbursement.</w:t>
      </w:r>
    </w:p>
    <w:p>
      <w:pPr>
        <w:spacing w:after="0" w:line="33" w:lineRule="exact"/>
        <w:rPr>
          <w:rFonts w:ascii="Arial" w:cs="Arial" w:eastAsia="Arial" w:hAnsi="Arial"/>
          <w:sz w:val="16"/>
          <w:szCs w:val="16"/>
          <w:color w:val="auto"/>
        </w:rPr>
      </w:pPr>
    </w:p>
    <w:p>
      <w:pPr>
        <w:ind w:left="660" w:right="120" w:hanging="652"/>
        <w:spacing w:after="0" w:line="260"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a payment of $23,000 paid for services Mr. Brodbeck provided as a consultant prior to commencing his employment at the Company and the value of Company-provided group term life insurance premium.</w:t>
      </w:r>
    </w:p>
    <w:p>
      <w:pPr>
        <w:spacing w:after="0" w:line="33" w:lineRule="exact"/>
        <w:rPr>
          <w:rFonts w:ascii="Arial" w:cs="Arial" w:eastAsia="Arial" w:hAnsi="Arial"/>
          <w:sz w:val="16"/>
          <w:szCs w:val="16"/>
          <w:color w:val="auto"/>
        </w:rPr>
      </w:pPr>
    </w:p>
    <w:p>
      <w:pPr>
        <w:ind w:left="660" w:right="20" w:hanging="652"/>
        <w:spacing w:after="0" w:line="260"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a $12,246 payment for 401(k) matching contributions by the Company, the value of Company-provided group term life insurance premium, mobile phone allowance and fitness reimbursement.</w:t>
      </w:r>
    </w:p>
    <w:p>
      <w:pPr>
        <w:spacing w:after="0" w:line="33" w:lineRule="exact"/>
        <w:rPr>
          <w:rFonts w:ascii="Arial" w:cs="Arial" w:eastAsia="Arial" w:hAnsi="Arial"/>
          <w:sz w:val="16"/>
          <w:szCs w:val="16"/>
          <w:color w:val="auto"/>
        </w:rPr>
      </w:pPr>
    </w:p>
    <w:p>
      <w:pPr>
        <w:ind w:left="660" w:hanging="652"/>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the value of Company-provided group term life insurance premium and fitness reimbursement.</w:t>
      </w:r>
    </w:p>
    <w:p>
      <w:pPr>
        <w:spacing w:after="0" w:line="59" w:lineRule="exact"/>
        <w:rPr>
          <w:rFonts w:ascii="Arial" w:cs="Arial" w:eastAsia="Arial" w:hAnsi="Arial"/>
          <w:sz w:val="16"/>
          <w:szCs w:val="16"/>
          <w:color w:val="auto"/>
        </w:rPr>
      </w:pPr>
    </w:p>
    <w:p>
      <w:pPr>
        <w:ind w:left="660" w:right="120" w:hanging="652"/>
        <w:spacing w:after="0" w:line="260"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a $9,250 payment for 401(k) matching contributions by the Company, the value of Company-provided group term life insurance premium, mobile phone allowance and fitness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Pay Ratio Disclosure</w:t>
      </w:r>
    </w:p>
    <w:p>
      <w:pPr>
        <w:spacing w:after="0" w:line="29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CEO, Mr. Oringer.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2018, our last completed fiscal year:</w:t>
      </w:r>
    </w:p>
    <w:p>
      <w:pPr>
        <w:spacing w:after="0" w:line="117" w:lineRule="exact"/>
        <w:rPr>
          <w:sz w:val="20"/>
          <w:szCs w:val="20"/>
          <w:color w:val="auto"/>
        </w:rPr>
      </w:pPr>
    </w:p>
    <w:p>
      <w:pPr>
        <w:ind w:left="660" w:right="720" w:hanging="328"/>
        <w:spacing w:after="0" w:line="250"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annual total compensation of the employee reasonably identified at the median of our company (other than our CEO), was $107,799; and</w:t>
      </w: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annual total compensation of the CEO for purposes of determining the CEO pay ratio was $661.</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Based on this information, for 2018, the ratio of the annual total compensation of Mr. Oringer to the median of the annual total compensation of all employees was estimated to be .0061 to 1.</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records and the methodology described below. Due to the fact that Mr. Oringer is currently compensated largely in the form of periodic performance-based and time-based equity grants, and not through annual salary, annual bonus or other “regular” forms of cash compensation, as more fully described and detailed in the Compensation Discussion and Analysis section and Summary Compensation Table set forth above, Mr. Oringer receives only a fraction of the total compensation of our estimated median employee. Moreover,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and in particular due to the current pay structure for Mr. Oringer, the pay ratio reported by other companies may not be comparable to the pay ratio reported above, as other companies will have different employment and compensation practices and may utilize different methodologies, exclusions, estimates and assumptions in calculating their own pay ratios.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Identifying the Median Employee</w:t>
      </w: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compensation and employment circumstances for the median employee identified in 2017 have not materially changed relative to 2017 and the Company has not experienced significant changes in its employee population or compensation practices that would significantly impact this pay ratio disclosure. Therefore, the Company believes that it is appropriate, as permitted by SEC rules, to utilize the same median employee in 2018 as was identified in 2017. We calculated the annual total compensation for the median employee in 2018 using the same methodology as used to calculate total compensation in the Summary Compensation Table.</w:t>
      </w:r>
    </w:p>
    <w:p>
      <w:pPr>
        <w:spacing w:after="0" w:line="20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identified the median employee by examining base salaries as of December 31, 2017 for all employees excluding our CEO, who were employed by us on December 31, 2017. In making this determination, we annualized the compensation of all newly hired permanent employees during this period. We included all employees, whether employed on a full-time, part-time basis or temporary basis (excluding any independent contractors), and did not make any estimates, assumptions or adjustments to any annual base salaries. Base salaries for employees outside of the United States were converted into United States dollars by applying the applicable exchange rates in effect on December 31, 2017. No cost of living adjustments were applied in our methodology.</w:t>
      </w:r>
    </w:p>
    <w:p>
      <w:pPr>
        <w:spacing w:after="0" w:line="209" w:lineRule="exact"/>
        <w:rPr>
          <w:sz w:val="20"/>
          <w:szCs w:val="20"/>
          <w:color w:val="auto"/>
        </w:rPr>
      </w:pPr>
    </w:p>
    <w:p>
      <w:pPr>
        <w:jc w:val="both"/>
        <w:ind w:right="580"/>
        <w:spacing w:after="0" w:line="291" w:lineRule="auto"/>
        <w:rPr>
          <w:sz w:val="20"/>
          <w:szCs w:val="20"/>
          <w:color w:val="auto"/>
        </w:rPr>
      </w:pPr>
      <w:r>
        <w:rPr>
          <w:rFonts w:ascii="Arial" w:cs="Arial" w:eastAsia="Arial" w:hAnsi="Arial"/>
          <w:sz w:val="17"/>
          <w:szCs w:val="17"/>
          <w:color w:val="auto"/>
        </w:rPr>
        <w:t>Our identification of the median employee excluded all compensation other than annual base salary. We used annual base salary as our consistently applied compensation measure as base salary is the primary compensation component for a large portion of our workforce.</w:t>
      </w:r>
    </w:p>
    <w:p>
      <w:pPr>
        <w:spacing w:after="0" w:line="1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identified our median employee by using our global population of approximately 1,170 full-time and part-time employees, excluding Mr. Oringer, as of December 31, 2017. This list included approximately 732 employees in the United States, 85 employees in Canada, 75 employees in Germany, and 105 employees in England. Employees in the following countries were excluded from the list under the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exemption: 5 employees in Amsterdam, 7 employees in Italy, 8 employees in France, 27 employees in Singapore and 4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Brazil. In addition, approximately 119 employees of Flashstock Technology, Inc., which we acquired in 2017 and rebranded as Shutterstock Custom, were excluded from the list for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Grants of Plan-Based Awards in 2018</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center"/>
              <w:ind w:right="223"/>
              <w:spacing w:after="0"/>
              <w:rPr>
                <w:sz w:val="20"/>
                <w:szCs w:val="20"/>
                <w:color w:val="auto"/>
              </w:rPr>
            </w:pPr>
            <w:r>
              <w:rPr>
                <w:rFonts w:ascii="Arial" w:cs="Arial" w:eastAsia="Arial" w:hAnsi="Arial"/>
                <w:sz w:val="14"/>
                <w:szCs w:val="14"/>
                <w:b w:val="1"/>
                <w:bCs w:val="1"/>
                <w:color w:val="auto"/>
              </w:rPr>
              <w:t>Estimated</w:t>
            </w:r>
          </w:p>
        </w:tc>
        <w:tc>
          <w:tcPr>
            <w:tcW w:w="1620" w:type="dxa"/>
            <w:vAlign w:val="bottom"/>
          </w:tcPr>
          <w:p>
            <w:pPr>
              <w:jc w:val="center"/>
              <w:ind w:right="283"/>
              <w:spacing w:after="0"/>
              <w:rPr>
                <w:sz w:val="20"/>
                <w:szCs w:val="20"/>
                <w:color w:val="auto"/>
              </w:rPr>
            </w:pPr>
            <w:r>
              <w:rPr>
                <w:rFonts w:ascii="Arial" w:cs="Arial" w:eastAsia="Arial" w:hAnsi="Arial"/>
                <w:sz w:val="14"/>
                <w:szCs w:val="14"/>
                <w:b w:val="1"/>
                <w:bCs w:val="1"/>
                <w:color w:val="auto"/>
              </w:rPr>
              <w:t>Estimated</w:t>
            </w:r>
          </w:p>
        </w:tc>
        <w:tc>
          <w:tcPr>
            <w:tcW w:w="1300" w:type="dxa"/>
            <w:vAlign w:val="bottom"/>
          </w:tcPr>
          <w:p>
            <w:pPr>
              <w:jc w:val="center"/>
              <w:ind w:right="283"/>
              <w:spacing w:after="0"/>
              <w:rPr>
                <w:sz w:val="20"/>
                <w:szCs w:val="20"/>
                <w:color w:val="auto"/>
              </w:rPr>
            </w:pPr>
            <w:r>
              <w:rPr>
                <w:rFonts w:ascii="Arial" w:cs="Arial" w:eastAsia="Arial" w:hAnsi="Arial"/>
                <w:sz w:val="14"/>
                <w:szCs w:val="14"/>
                <w:b w:val="1"/>
                <w:bCs w:val="1"/>
                <w:color w:val="auto"/>
              </w:rPr>
              <w:t>All Other</w:t>
            </w:r>
          </w:p>
        </w:tc>
        <w:tc>
          <w:tcPr>
            <w:tcW w:w="1260" w:type="dxa"/>
            <w:vAlign w:val="bottom"/>
          </w:tcPr>
          <w:p>
            <w:pPr>
              <w:jc w:val="center"/>
              <w:ind w:right="223"/>
              <w:spacing w:after="0"/>
              <w:rPr>
                <w:sz w:val="20"/>
                <w:szCs w:val="20"/>
                <w:color w:val="auto"/>
              </w:rPr>
            </w:pPr>
            <w:r>
              <w:rPr>
                <w:rFonts w:ascii="Arial" w:cs="Arial" w:eastAsia="Arial" w:hAnsi="Arial"/>
                <w:sz w:val="14"/>
                <w:szCs w:val="14"/>
                <w:b w:val="1"/>
                <w:bCs w:val="1"/>
                <w:color w:val="auto"/>
              </w:rPr>
              <w:t>All Other</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center"/>
              <w:ind w:right="223"/>
              <w:spacing w:after="0"/>
              <w:rPr>
                <w:sz w:val="20"/>
                <w:szCs w:val="20"/>
                <w:color w:val="auto"/>
              </w:rPr>
            </w:pPr>
            <w:r>
              <w:rPr>
                <w:rFonts w:ascii="Arial" w:cs="Arial" w:eastAsia="Arial" w:hAnsi="Arial"/>
                <w:sz w:val="14"/>
                <w:szCs w:val="14"/>
                <w:b w:val="1"/>
                <w:bCs w:val="1"/>
                <w:color w:val="auto"/>
              </w:rPr>
              <w:t>Future</w:t>
            </w:r>
          </w:p>
        </w:tc>
        <w:tc>
          <w:tcPr>
            <w:tcW w:w="1620" w:type="dxa"/>
            <w:vAlign w:val="bottom"/>
          </w:tcPr>
          <w:p>
            <w:pPr>
              <w:jc w:val="center"/>
              <w:ind w:right="283"/>
              <w:spacing w:after="0"/>
              <w:rPr>
                <w:sz w:val="20"/>
                <w:szCs w:val="20"/>
                <w:color w:val="auto"/>
              </w:rPr>
            </w:pPr>
            <w:r>
              <w:rPr>
                <w:rFonts w:ascii="Arial" w:cs="Arial" w:eastAsia="Arial" w:hAnsi="Arial"/>
                <w:sz w:val="14"/>
                <w:szCs w:val="14"/>
                <w:b w:val="1"/>
                <w:bCs w:val="1"/>
                <w:color w:val="auto"/>
              </w:rPr>
              <w:t>Future</w:t>
            </w:r>
          </w:p>
        </w:tc>
        <w:tc>
          <w:tcPr>
            <w:tcW w:w="1300" w:type="dxa"/>
            <w:vAlign w:val="bottom"/>
          </w:tcPr>
          <w:p>
            <w:pPr>
              <w:jc w:val="center"/>
              <w:ind w:right="283"/>
              <w:spacing w:after="0"/>
              <w:rPr>
                <w:sz w:val="20"/>
                <w:szCs w:val="20"/>
                <w:color w:val="auto"/>
              </w:rPr>
            </w:pPr>
            <w:r>
              <w:rPr>
                <w:rFonts w:ascii="Arial" w:cs="Arial" w:eastAsia="Arial" w:hAnsi="Arial"/>
                <w:sz w:val="14"/>
                <w:szCs w:val="14"/>
                <w:b w:val="1"/>
                <w:bCs w:val="1"/>
                <w:color w:val="auto"/>
                <w:w w:val="99"/>
              </w:rPr>
              <w:t>Stock</w:t>
            </w:r>
          </w:p>
        </w:tc>
        <w:tc>
          <w:tcPr>
            <w:tcW w:w="1260" w:type="dxa"/>
            <w:vAlign w:val="bottom"/>
          </w:tcPr>
          <w:p>
            <w:pPr>
              <w:jc w:val="center"/>
              <w:ind w:right="203"/>
              <w:spacing w:after="0"/>
              <w:rPr>
                <w:sz w:val="20"/>
                <w:szCs w:val="20"/>
                <w:color w:val="auto"/>
              </w:rPr>
            </w:pPr>
            <w:r>
              <w:rPr>
                <w:rFonts w:ascii="Arial" w:cs="Arial" w:eastAsia="Arial" w:hAnsi="Arial"/>
                <w:sz w:val="14"/>
                <w:szCs w:val="14"/>
                <w:b w:val="1"/>
                <w:bCs w:val="1"/>
                <w:color w:val="auto"/>
              </w:rPr>
              <w:t>Option</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center"/>
              <w:ind w:right="223"/>
              <w:spacing w:after="0"/>
              <w:rPr>
                <w:sz w:val="20"/>
                <w:szCs w:val="20"/>
                <w:color w:val="auto"/>
              </w:rPr>
            </w:pPr>
            <w:r>
              <w:rPr>
                <w:rFonts w:ascii="Arial" w:cs="Arial" w:eastAsia="Arial" w:hAnsi="Arial"/>
                <w:sz w:val="14"/>
                <w:szCs w:val="14"/>
                <w:b w:val="1"/>
                <w:bCs w:val="1"/>
                <w:color w:val="auto"/>
              </w:rPr>
              <w:t>Payouts Under</w:t>
            </w:r>
          </w:p>
        </w:tc>
        <w:tc>
          <w:tcPr>
            <w:tcW w:w="1620" w:type="dxa"/>
            <w:vAlign w:val="bottom"/>
          </w:tcPr>
          <w:p>
            <w:pPr>
              <w:jc w:val="center"/>
              <w:ind w:right="283"/>
              <w:spacing w:after="0"/>
              <w:rPr>
                <w:sz w:val="20"/>
                <w:szCs w:val="20"/>
                <w:color w:val="auto"/>
              </w:rPr>
            </w:pPr>
            <w:r>
              <w:rPr>
                <w:rFonts w:ascii="Arial" w:cs="Arial" w:eastAsia="Arial" w:hAnsi="Arial"/>
                <w:sz w:val="14"/>
                <w:szCs w:val="14"/>
                <w:b w:val="1"/>
                <w:bCs w:val="1"/>
                <w:color w:val="auto"/>
              </w:rPr>
              <w:t>Payouts Under</w:t>
            </w:r>
          </w:p>
        </w:tc>
        <w:tc>
          <w:tcPr>
            <w:tcW w:w="1300" w:type="dxa"/>
            <w:vAlign w:val="bottom"/>
          </w:tcPr>
          <w:p>
            <w:pPr>
              <w:jc w:val="center"/>
              <w:ind w:right="283"/>
              <w:spacing w:after="0"/>
              <w:rPr>
                <w:sz w:val="20"/>
                <w:szCs w:val="20"/>
                <w:color w:val="auto"/>
              </w:rPr>
            </w:pPr>
            <w:r>
              <w:rPr>
                <w:rFonts w:ascii="Arial" w:cs="Arial" w:eastAsia="Arial" w:hAnsi="Arial"/>
                <w:sz w:val="14"/>
                <w:szCs w:val="14"/>
                <w:b w:val="1"/>
                <w:bCs w:val="1"/>
                <w:color w:val="auto"/>
              </w:rPr>
              <w:t>Awards:</w:t>
            </w:r>
          </w:p>
        </w:tc>
        <w:tc>
          <w:tcPr>
            <w:tcW w:w="1260" w:type="dxa"/>
            <w:vAlign w:val="bottom"/>
          </w:tcPr>
          <w:p>
            <w:pPr>
              <w:jc w:val="center"/>
              <w:ind w:right="223"/>
              <w:spacing w:after="0"/>
              <w:rPr>
                <w:sz w:val="20"/>
                <w:szCs w:val="20"/>
                <w:color w:val="auto"/>
              </w:rPr>
            </w:pPr>
            <w:r>
              <w:rPr>
                <w:rFonts w:ascii="Arial" w:cs="Arial" w:eastAsia="Arial" w:hAnsi="Arial"/>
                <w:sz w:val="14"/>
                <w:szCs w:val="14"/>
                <w:b w:val="1"/>
                <w:bCs w:val="1"/>
                <w:color w:val="auto"/>
              </w:rPr>
              <w:t>Awards:</w:t>
            </w:r>
          </w:p>
        </w:tc>
        <w:tc>
          <w:tcPr>
            <w:tcW w:w="1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center"/>
              <w:ind w:right="223"/>
              <w:spacing w:after="0"/>
              <w:rPr>
                <w:sz w:val="20"/>
                <w:szCs w:val="20"/>
                <w:color w:val="auto"/>
              </w:rPr>
            </w:pPr>
            <w:r>
              <w:rPr>
                <w:rFonts w:ascii="Arial" w:cs="Arial" w:eastAsia="Arial" w:hAnsi="Arial"/>
                <w:sz w:val="14"/>
                <w:szCs w:val="14"/>
                <w:b w:val="1"/>
                <w:bCs w:val="1"/>
                <w:color w:val="auto"/>
              </w:rPr>
              <w:t>Non-Equity</w:t>
            </w:r>
          </w:p>
        </w:tc>
        <w:tc>
          <w:tcPr>
            <w:tcW w:w="1620" w:type="dxa"/>
            <w:vAlign w:val="bottom"/>
          </w:tcPr>
          <w:p>
            <w:pPr>
              <w:jc w:val="center"/>
              <w:ind w:right="303"/>
              <w:spacing w:after="0"/>
              <w:rPr>
                <w:sz w:val="20"/>
                <w:szCs w:val="20"/>
                <w:color w:val="auto"/>
              </w:rPr>
            </w:pPr>
            <w:r>
              <w:rPr>
                <w:rFonts w:ascii="Arial" w:cs="Arial" w:eastAsia="Arial" w:hAnsi="Arial"/>
                <w:sz w:val="14"/>
                <w:szCs w:val="14"/>
                <w:b w:val="1"/>
                <w:bCs w:val="1"/>
                <w:color w:val="auto"/>
              </w:rPr>
              <w:t>Equity</w:t>
            </w:r>
          </w:p>
        </w:tc>
        <w:tc>
          <w:tcPr>
            <w:tcW w:w="1300" w:type="dxa"/>
            <w:vAlign w:val="bottom"/>
          </w:tcPr>
          <w:p>
            <w:pPr>
              <w:jc w:val="center"/>
              <w:ind w:right="263"/>
              <w:spacing w:after="0"/>
              <w:rPr>
                <w:sz w:val="20"/>
                <w:szCs w:val="20"/>
                <w:color w:val="auto"/>
              </w:rPr>
            </w:pPr>
            <w:r>
              <w:rPr>
                <w:rFonts w:ascii="Arial" w:cs="Arial" w:eastAsia="Arial" w:hAnsi="Arial"/>
                <w:sz w:val="14"/>
                <w:szCs w:val="14"/>
                <w:b w:val="1"/>
                <w:bCs w:val="1"/>
                <w:color w:val="auto"/>
              </w:rPr>
              <w:t>Number of</w:t>
            </w:r>
          </w:p>
        </w:tc>
        <w:tc>
          <w:tcPr>
            <w:tcW w:w="1260" w:type="dxa"/>
            <w:vAlign w:val="bottom"/>
          </w:tcPr>
          <w:p>
            <w:pPr>
              <w:jc w:val="center"/>
              <w:ind w:right="223"/>
              <w:spacing w:after="0"/>
              <w:rPr>
                <w:sz w:val="20"/>
                <w:szCs w:val="20"/>
                <w:color w:val="auto"/>
              </w:rPr>
            </w:pPr>
            <w:r>
              <w:rPr>
                <w:rFonts w:ascii="Arial" w:cs="Arial" w:eastAsia="Arial" w:hAnsi="Arial"/>
                <w:sz w:val="14"/>
                <w:szCs w:val="14"/>
                <w:b w:val="1"/>
                <w:bCs w:val="1"/>
                <w:color w:val="auto"/>
              </w:rPr>
              <w:t>Number of</w:t>
            </w:r>
          </w:p>
        </w:tc>
        <w:tc>
          <w:tcPr>
            <w:tcW w:w="1160" w:type="dxa"/>
            <w:vAlign w:val="bottom"/>
          </w:tcPr>
          <w:p>
            <w:pPr>
              <w:jc w:val="center"/>
              <w:ind w:right="182"/>
              <w:spacing w:after="0"/>
              <w:rPr>
                <w:sz w:val="20"/>
                <w:szCs w:val="20"/>
                <w:color w:val="auto"/>
              </w:rPr>
            </w:pPr>
            <w:r>
              <w:rPr>
                <w:rFonts w:ascii="Arial" w:cs="Arial" w:eastAsia="Arial" w:hAnsi="Arial"/>
                <w:sz w:val="14"/>
                <w:szCs w:val="14"/>
                <w:b w:val="1"/>
                <w:bCs w:val="1"/>
                <w:color w:val="auto"/>
              </w:rPr>
              <w:t>Exercise or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r>
      <w:tr>
        <w:trPr>
          <w:trHeight w:val="16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center"/>
              <w:ind w:right="223"/>
              <w:spacing w:after="0"/>
              <w:rPr>
                <w:sz w:val="20"/>
                <w:szCs w:val="20"/>
                <w:color w:val="auto"/>
              </w:rPr>
            </w:pPr>
            <w:r>
              <w:rPr>
                <w:rFonts w:ascii="Arial" w:cs="Arial" w:eastAsia="Arial" w:hAnsi="Arial"/>
                <w:sz w:val="14"/>
                <w:szCs w:val="14"/>
                <w:b w:val="1"/>
                <w:bCs w:val="1"/>
                <w:color w:val="auto"/>
              </w:rPr>
              <w:t>Incentive</w:t>
            </w:r>
          </w:p>
        </w:tc>
        <w:tc>
          <w:tcPr>
            <w:tcW w:w="1620" w:type="dxa"/>
            <w:vAlign w:val="bottom"/>
          </w:tcPr>
          <w:p>
            <w:pPr>
              <w:jc w:val="center"/>
              <w:ind w:right="283"/>
              <w:spacing w:after="0"/>
              <w:rPr>
                <w:sz w:val="20"/>
                <w:szCs w:val="20"/>
                <w:color w:val="auto"/>
              </w:rPr>
            </w:pPr>
            <w:r>
              <w:rPr>
                <w:rFonts w:ascii="Arial" w:cs="Arial" w:eastAsia="Arial" w:hAnsi="Arial"/>
                <w:sz w:val="14"/>
                <w:szCs w:val="14"/>
                <w:b w:val="1"/>
                <w:bCs w:val="1"/>
                <w:color w:val="auto"/>
              </w:rPr>
              <w:t>Incentive</w:t>
            </w:r>
          </w:p>
        </w:tc>
        <w:tc>
          <w:tcPr>
            <w:tcW w:w="1300" w:type="dxa"/>
            <w:vAlign w:val="bottom"/>
          </w:tcPr>
          <w:p>
            <w:pPr>
              <w:jc w:val="center"/>
              <w:ind w:right="283"/>
              <w:spacing w:after="0"/>
              <w:rPr>
                <w:sz w:val="20"/>
                <w:szCs w:val="20"/>
                <w:color w:val="auto"/>
              </w:rPr>
            </w:pPr>
            <w:r>
              <w:rPr>
                <w:rFonts w:ascii="Arial" w:cs="Arial" w:eastAsia="Arial" w:hAnsi="Arial"/>
                <w:sz w:val="14"/>
                <w:szCs w:val="14"/>
                <w:b w:val="1"/>
                <w:bCs w:val="1"/>
                <w:color w:val="auto"/>
              </w:rPr>
              <w:t>Shares of</w:t>
            </w:r>
          </w:p>
        </w:tc>
        <w:tc>
          <w:tcPr>
            <w:tcW w:w="1260" w:type="dxa"/>
            <w:vAlign w:val="bottom"/>
          </w:tcPr>
          <w:p>
            <w:pPr>
              <w:jc w:val="center"/>
              <w:ind w:right="223"/>
              <w:spacing w:after="0"/>
              <w:rPr>
                <w:sz w:val="20"/>
                <w:szCs w:val="20"/>
                <w:color w:val="auto"/>
              </w:rPr>
            </w:pPr>
            <w:r>
              <w:rPr>
                <w:rFonts w:ascii="Arial" w:cs="Arial" w:eastAsia="Arial" w:hAnsi="Arial"/>
                <w:sz w:val="14"/>
                <w:szCs w:val="14"/>
                <w:b w:val="1"/>
                <w:bCs w:val="1"/>
                <w:color w:val="auto"/>
              </w:rPr>
              <w:t>Securities</w:t>
            </w:r>
          </w:p>
        </w:tc>
        <w:tc>
          <w:tcPr>
            <w:tcW w:w="1160" w:type="dxa"/>
            <w:vAlign w:val="bottom"/>
          </w:tcPr>
          <w:p>
            <w:pPr>
              <w:jc w:val="center"/>
              <w:ind w:right="182"/>
              <w:spacing w:after="0"/>
              <w:rPr>
                <w:sz w:val="20"/>
                <w:szCs w:val="20"/>
                <w:color w:val="auto"/>
              </w:rPr>
            </w:pPr>
            <w:r>
              <w:rPr>
                <w:rFonts w:ascii="Arial" w:cs="Arial" w:eastAsia="Arial" w:hAnsi="Arial"/>
                <w:sz w:val="14"/>
                <w:szCs w:val="14"/>
                <w:b w:val="1"/>
                <w:bCs w:val="1"/>
                <w:color w:val="auto"/>
              </w:rPr>
              <w:t>Base 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center"/>
              <w:ind w:right="223"/>
              <w:spacing w:after="0"/>
              <w:rPr>
                <w:sz w:val="20"/>
                <w:szCs w:val="20"/>
                <w:color w:val="auto"/>
              </w:rPr>
            </w:pPr>
            <w:r>
              <w:rPr>
                <w:rFonts w:ascii="Arial" w:cs="Arial" w:eastAsia="Arial" w:hAnsi="Arial"/>
                <w:sz w:val="14"/>
                <w:szCs w:val="14"/>
                <w:b w:val="1"/>
                <w:bCs w:val="1"/>
                <w:color w:val="auto"/>
              </w:rPr>
              <w:t>Plan Awards</w:t>
            </w:r>
          </w:p>
        </w:tc>
        <w:tc>
          <w:tcPr>
            <w:tcW w:w="1620" w:type="dxa"/>
            <w:vAlign w:val="bottom"/>
          </w:tcPr>
          <w:p>
            <w:pPr>
              <w:jc w:val="center"/>
              <w:ind w:right="283"/>
              <w:spacing w:after="0"/>
              <w:rPr>
                <w:sz w:val="20"/>
                <w:szCs w:val="20"/>
                <w:color w:val="auto"/>
              </w:rPr>
            </w:pPr>
            <w:r>
              <w:rPr>
                <w:rFonts w:ascii="Arial" w:cs="Arial" w:eastAsia="Arial" w:hAnsi="Arial"/>
                <w:sz w:val="14"/>
                <w:szCs w:val="14"/>
                <w:b w:val="1"/>
                <w:bCs w:val="1"/>
                <w:color w:val="auto"/>
              </w:rPr>
              <w:t>Plan Awards</w:t>
            </w:r>
          </w:p>
        </w:tc>
        <w:tc>
          <w:tcPr>
            <w:tcW w:w="1300" w:type="dxa"/>
            <w:vAlign w:val="bottom"/>
          </w:tcPr>
          <w:p>
            <w:pPr>
              <w:jc w:val="center"/>
              <w:ind w:right="283"/>
              <w:spacing w:after="0"/>
              <w:rPr>
                <w:sz w:val="20"/>
                <w:szCs w:val="20"/>
                <w:color w:val="auto"/>
              </w:rPr>
            </w:pPr>
            <w:r>
              <w:rPr>
                <w:rFonts w:ascii="Arial" w:cs="Arial" w:eastAsia="Arial" w:hAnsi="Arial"/>
                <w:sz w:val="14"/>
                <w:szCs w:val="14"/>
                <w:b w:val="1"/>
                <w:bCs w:val="1"/>
                <w:color w:val="auto"/>
              </w:rPr>
              <w:t>Stock or</w:t>
            </w:r>
          </w:p>
        </w:tc>
        <w:tc>
          <w:tcPr>
            <w:tcW w:w="1260" w:type="dxa"/>
            <w:vAlign w:val="bottom"/>
          </w:tcPr>
          <w:p>
            <w:pPr>
              <w:jc w:val="center"/>
              <w:ind w:right="223"/>
              <w:spacing w:after="0"/>
              <w:rPr>
                <w:sz w:val="20"/>
                <w:szCs w:val="20"/>
                <w:color w:val="auto"/>
              </w:rPr>
            </w:pPr>
            <w:r>
              <w:rPr>
                <w:rFonts w:ascii="Arial" w:cs="Arial" w:eastAsia="Arial" w:hAnsi="Arial"/>
                <w:sz w:val="14"/>
                <w:szCs w:val="14"/>
                <w:b w:val="1"/>
                <w:bCs w:val="1"/>
                <w:color w:val="auto"/>
              </w:rPr>
              <w:t>Underlying</w:t>
            </w:r>
          </w:p>
        </w:tc>
        <w:tc>
          <w:tcPr>
            <w:tcW w:w="1160" w:type="dxa"/>
            <w:vAlign w:val="bottom"/>
          </w:tcPr>
          <w:p>
            <w:pPr>
              <w:jc w:val="center"/>
              <w:ind w:right="202"/>
              <w:spacing w:after="0"/>
              <w:rPr>
                <w:sz w:val="20"/>
                <w:szCs w:val="20"/>
                <w:color w:val="auto"/>
              </w:rPr>
            </w:pPr>
            <w:r>
              <w:rPr>
                <w:rFonts w:ascii="Arial" w:cs="Arial" w:eastAsia="Arial" w:hAnsi="Arial"/>
                <w:sz w:val="14"/>
                <w:szCs w:val="14"/>
                <w:b w:val="1"/>
                <w:bCs w:val="1"/>
                <w:color w:val="auto"/>
              </w:rPr>
              <w:t>of Option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and Option</w:t>
            </w:r>
          </w:p>
        </w:tc>
      </w:tr>
      <w:tr>
        <w:trPr>
          <w:trHeight w:val="16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Grant</w:t>
            </w:r>
          </w:p>
        </w:tc>
        <w:tc>
          <w:tcPr>
            <w:tcW w:w="1080" w:type="dxa"/>
            <w:vAlign w:val="bottom"/>
          </w:tcPr>
          <w:p>
            <w:pPr>
              <w:jc w:val="right"/>
              <w:ind w:right="281"/>
              <w:spacing w:after="0"/>
              <w:rPr>
                <w:sz w:val="20"/>
                <w:szCs w:val="20"/>
                <w:color w:val="auto"/>
              </w:rPr>
            </w:pPr>
            <w:r>
              <w:rPr>
                <w:rFonts w:ascii="Arial" w:cs="Arial" w:eastAsia="Arial" w:hAnsi="Arial"/>
                <w:sz w:val="14"/>
                <w:szCs w:val="14"/>
                <w:b w:val="1"/>
                <w:bCs w:val="1"/>
                <w:color w:val="auto"/>
              </w:rPr>
              <w:t>Approval</w:t>
            </w:r>
          </w:p>
        </w:tc>
        <w:tc>
          <w:tcPr>
            <w:tcW w:w="1480" w:type="dxa"/>
            <w:vAlign w:val="bottom"/>
          </w:tcPr>
          <w:p>
            <w:pPr>
              <w:jc w:val="center"/>
              <w:ind w:right="223"/>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center"/>
              <w:ind w:right="283"/>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center"/>
              <w:ind w:right="263"/>
              <w:spacing w:after="0"/>
              <w:rPr>
                <w:sz w:val="20"/>
                <w:szCs w:val="20"/>
                <w:color w:val="auto"/>
              </w:rPr>
            </w:pPr>
            <w:r>
              <w:rPr>
                <w:rFonts w:ascii="Arial" w:cs="Arial" w:eastAsia="Arial" w:hAnsi="Arial"/>
                <w:sz w:val="14"/>
                <w:szCs w:val="14"/>
                <w:b w:val="1"/>
                <w:bCs w:val="1"/>
                <w:color w:val="auto"/>
              </w:rPr>
              <w:t>Units</w:t>
            </w:r>
          </w:p>
        </w:tc>
        <w:tc>
          <w:tcPr>
            <w:tcW w:w="1260" w:type="dxa"/>
            <w:vAlign w:val="bottom"/>
          </w:tcPr>
          <w:p>
            <w:pPr>
              <w:jc w:val="center"/>
              <w:ind w:right="203"/>
              <w:spacing w:after="0"/>
              <w:rPr>
                <w:sz w:val="20"/>
                <w:szCs w:val="20"/>
                <w:color w:val="auto"/>
              </w:rPr>
            </w:pPr>
            <w:r>
              <w:rPr>
                <w:rFonts w:ascii="Arial" w:cs="Arial" w:eastAsia="Arial" w:hAnsi="Arial"/>
                <w:sz w:val="14"/>
                <w:szCs w:val="14"/>
                <w:b w:val="1"/>
                <w:bCs w:val="1"/>
                <w:color w:val="auto"/>
              </w:rPr>
              <w:t>Options</w:t>
            </w:r>
          </w:p>
        </w:tc>
        <w:tc>
          <w:tcPr>
            <w:tcW w:w="1160" w:type="dxa"/>
            <w:vAlign w:val="bottom"/>
          </w:tcPr>
          <w:p>
            <w:pPr>
              <w:jc w:val="center"/>
              <w:ind w:right="202"/>
              <w:spacing w:after="0"/>
              <w:rPr>
                <w:sz w:val="20"/>
                <w:szCs w:val="20"/>
                <w:color w:val="auto"/>
              </w:rPr>
            </w:pPr>
            <w:r>
              <w:rPr>
                <w:rFonts w:ascii="Arial" w:cs="Arial" w:eastAsia="Arial" w:hAnsi="Arial"/>
                <w:sz w:val="14"/>
                <w:szCs w:val="14"/>
                <w:b w:val="1"/>
                <w:bCs w:val="1"/>
                <w:color w:val="auto"/>
              </w:rPr>
              <w:t>Awards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r>
      <w:tr>
        <w:trPr>
          <w:trHeight w:val="202"/>
        </w:trPr>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Date</w:t>
            </w: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17"/>
                <w:szCs w:val="17"/>
                <w:b w:val="1"/>
                <w:bCs w:val="1"/>
                <w:color w:val="auto"/>
                <w:vertAlign w:val="superscript"/>
              </w:rPr>
              <w:t>(1)</w:t>
            </w:r>
          </w:p>
        </w:tc>
        <w:tc>
          <w:tcPr>
            <w:tcW w:w="148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8"/>
              </w:rPr>
              <w:t>Target</w:t>
            </w:r>
          </w:p>
        </w:tc>
        <w:tc>
          <w:tcPr>
            <w:tcW w:w="162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b w:val="1"/>
                <w:bCs w:val="1"/>
                <w:color w:val="auto"/>
                <w:w w:val="98"/>
              </w:rPr>
              <w:t>Target</w:t>
            </w:r>
          </w:p>
        </w:tc>
        <w:tc>
          <w:tcPr>
            <w:tcW w:w="130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b w:val="1"/>
                <w:bCs w:val="1"/>
                <w:color w:val="auto"/>
                <w:w w:val="96"/>
              </w:rPr>
              <w:t>(#)</w:t>
            </w:r>
            <w:r>
              <w:rPr>
                <w:rFonts w:ascii="Arial" w:cs="Arial" w:eastAsia="Arial" w:hAnsi="Arial"/>
                <w:sz w:val="17"/>
                <w:szCs w:val="17"/>
                <w:b w:val="1"/>
                <w:bCs w:val="1"/>
                <w:color w:val="auto"/>
                <w:w w:val="96"/>
                <w:vertAlign w:val="superscript"/>
              </w:rPr>
              <w:t>(2)</w:t>
            </w:r>
          </w:p>
        </w:tc>
        <w:tc>
          <w:tcPr>
            <w:tcW w:w="126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(2)</w:t>
            </w:r>
          </w:p>
        </w:tc>
        <w:tc>
          <w:tcPr>
            <w:tcW w:w="116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8"/>
              </w:rPr>
              <w:t>($/Sh)</w:t>
            </w:r>
            <w:r>
              <w:rPr>
                <w:rFonts w:ascii="Arial" w:cs="Arial" w:eastAsia="Arial" w:hAnsi="Arial"/>
                <w:sz w:val="17"/>
                <w:szCs w:val="17"/>
                <w:b w:val="1"/>
                <w:bCs w:val="1"/>
                <w:color w:val="auto"/>
                <w:w w:val="98"/>
                <w:vertAlign w:val="superscript"/>
              </w:rPr>
              <w:t>(2)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(3)</w:t>
            </w:r>
          </w:p>
        </w:tc>
      </w:tr>
      <w:tr>
        <w:trPr>
          <w:trHeight w:val="244"/>
        </w:trPr>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Jonathan Oringer</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 —</w:t>
            </w:r>
          </w:p>
        </w:tc>
        <w:tc>
          <w:tcPr>
            <w:tcW w:w="16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  —</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r>
      <w:tr>
        <w:trPr>
          <w:trHeight w:val="496"/>
        </w:trPr>
        <w:tc>
          <w:tcPr>
            <w:tcW w:w="1420" w:type="dxa"/>
            <w:vAlign w:val="bottom"/>
            <w:gridSpan w:val="2"/>
          </w:tcPr>
          <w:p>
            <w:pPr>
              <w:ind w:left="40"/>
              <w:spacing w:after="0"/>
              <w:rPr>
                <w:sz w:val="20"/>
                <w:szCs w:val="20"/>
                <w:color w:val="auto"/>
              </w:rPr>
            </w:pPr>
            <w:r>
              <w:rPr>
                <w:rFonts w:ascii="Arial" w:cs="Arial" w:eastAsia="Arial" w:hAnsi="Arial"/>
                <w:sz w:val="16"/>
                <w:szCs w:val="16"/>
                <w:color w:val="auto"/>
              </w:rPr>
              <w:t>Steven Berns</w:t>
            </w:r>
          </w:p>
        </w:tc>
        <w:tc>
          <w:tcPr>
            <w:tcW w:w="108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23"/>
              <w:spacing w:after="0"/>
              <w:rPr>
                <w:sz w:val="20"/>
                <w:szCs w:val="20"/>
                <w:color w:val="auto"/>
              </w:rPr>
            </w:pPr>
            <w:r>
              <w:rPr>
                <w:rFonts w:ascii="Arial" w:cs="Arial" w:eastAsia="Arial" w:hAnsi="Arial"/>
                <w:sz w:val="16"/>
                <w:szCs w:val="16"/>
                <w:color w:val="auto"/>
              </w:rPr>
              <w:t>480,000</w:t>
            </w:r>
            <w:r>
              <w:rPr>
                <w:rFonts w:ascii="Arial" w:cs="Arial" w:eastAsia="Arial" w:hAnsi="Arial"/>
                <w:sz w:val="21"/>
                <w:szCs w:val="21"/>
                <w:color w:val="auto"/>
                <w:vertAlign w:val="superscript"/>
              </w:rPr>
              <w:t>(4)</w:t>
            </w: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9"/>
        </w:trPr>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3/1/18</w:t>
            </w: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2/2/18</w:t>
            </w:r>
          </w:p>
        </w:tc>
        <w:tc>
          <w:tcPr>
            <w:tcW w:w="148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3"/>
              <w:spacing w:after="0" w:line="219" w:lineRule="exact"/>
              <w:rPr>
                <w:sz w:val="20"/>
                <w:szCs w:val="20"/>
                <w:color w:val="auto"/>
              </w:rPr>
            </w:pPr>
            <w:r>
              <w:rPr>
                <w:rFonts w:ascii="Arial" w:cs="Arial" w:eastAsia="Arial" w:hAnsi="Arial"/>
                <w:sz w:val="16"/>
                <w:szCs w:val="16"/>
                <w:color w:val="auto"/>
              </w:rPr>
              <w:t>34,393</w:t>
            </w:r>
            <w:r>
              <w:rPr>
                <w:rFonts w:ascii="Arial" w:cs="Arial" w:eastAsia="Arial" w:hAnsi="Arial"/>
                <w:sz w:val="21"/>
                <w:szCs w:val="21"/>
                <w:color w:val="auto"/>
                <w:vertAlign w:val="superscript"/>
              </w:rPr>
              <w:t>(5)</w:t>
            </w:r>
          </w:p>
        </w:tc>
        <w:tc>
          <w:tcPr>
            <w:tcW w:w="12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1,611,141</w:t>
            </w:r>
          </w:p>
        </w:tc>
      </w:tr>
      <w:tr>
        <w:trPr>
          <w:trHeight w:val="490"/>
        </w:trPr>
        <w:tc>
          <w:tcPr>
            <w:tcW w:w="1420" w:type="dxa"/>
            <w:vAlign w:val="bottom"/>
            <w:gridSpan w:val="2"/>
          </w:tcPr>
          <w:p>
            <w:pPr>
              <w:ind w:left="40"/>
              <w:spacing w:after="0"/>
              <w:rPr>
                <w:sz w:val="20"/>
                <w:szCs w:val="20"/>
                <w:color w:val="auto"/>
              </w:rPr>
            </w:pPr>
            <w:r>
              <w:rPr>
                <w:rFonts w:ascii="Arial" w:cs="Arial" w:eastAsia="Arial" w:hAnsi="Arial"/>
                <w:sz w:val="16"/>
                <w:szCs w:val="16"/>
                <w:color w:val="auto"/>
              </w:rPr>
              <w:t>Martin Brodbeck</w:t>
            </w:r>
          </w:p>
        </w:tc>
        <w:tc>
          <w:tcPr>
            <w:tcW w:w="108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23"/>
              <w:spacing w:after="0"/>
              <w:rPr>
                <w:sz w:val="20"/>
                <w:szCs w:val="20"/>
                <w:color w:val="auto"/>
              </w:rPr>
            </w:pPr>
            <w:r>
              <w:rPr>
                <w:rFonts w:ascii="Arial" w:cs="Arial" w:eastAsia="Arial" w:hAnsi="Arial"/>
                <w:sz w:val="16"/>
                <w:szCs w:val="16"/>
                <w:color w:val="auto"/>
              </w:rPr>
              <w:t>250,000</w:t>
            </w:r>
            <w:r>
              <w:rPr>
                <w:rFonts w:ascii="Arial" w:cs="Arial" w:eastAsia="Arial" w:hAnsi="Arial"/>
                <w:sz w:val="21"/>
                <w:szCs w:val="21"/>
                <w:color w:val="auto"/>
                <w:vertAlign w:val="superscript"/>
              </w:rPr>
              <w:t>(6)</w:t>
            </w:r>
          </w:p>
        </w:tc>
        <w:tc>
          <w:tcPr>
            <w:tcW w:w="1620" w:type="dxa"/>
            <w:vAlign w:val="bottom"/>
          </w:tcPr>
          <w:p>
            <w:pPr>
              <w:ind w:left="10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23"/>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19"/>
        </w:trPr>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3/1/18</w:t>
            </w: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2/2/18</w:t>
            </w:r>
          </w:p>
        </w:tc>
        <w:tc>
          <w:tcPr>
            <w:tcW w:w="148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3"/>
              <w:spacing w:after="0" w:line="219" w:lineRule="exact"/>
              <w:rPr>
                <w:sz w:val="20"/>
                <w:szCs w:val="20"/>
                <w:color w:val="auto"/>
              </w:rPr>
            </w:pPr>
            <w:r>
              <w:rPr>
                <w:rFonts w:ascii="Arial" w:cs="Arial" w:eastAsia="Arial" w:hAnsi="Arial"/>
                <w:sz w:val="16"/>
                <w:szCs w:val="16"/>
                <w:color w:val="auto"/>
              </w:rPr>
              <w:t>34,393</w:t>
            </w:r>
            <w:r>
              <w:rPr>
                <w:rFonts w:ascii="Arial" w:cs="Arial" w:eastAsia="Arial" w:hAnsi="Arial"/>
                <w:sz w:val="21"/>
                <w:szCs w:val="21"/>
                <w:color w:val="auto"/>
                <w:vertAlign w:val="superscript"/>
              </w:rPr>
              <w:t>(7)</w:t>
            </w:r>
          </w:p>
        </w:tc>
        <w:tc>
          <w:tcPr>
            <w:tcW w:w="12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1,611,141</w:t>
            </w:r>
          </w:p>
        </w:tc>
      </w:tr>
      <w:tr>
        <w:trPr>
          <w:trHeight w:val="652"/>
        </w:trPr>
        <w:tc>
          <w:tcPr>
            <w:tcW w:w="1420" w:type="dxa"/>
            <w:vAlign w:val="bottom"/>
            <w:gridSpan w:val="2"/>
          </w:tcPr>
          <w:p>
            <w:pPr>
              <w:ind w:left="40"/>
              <w:spacing w:after="0"/>
              <w:rPr>
                <w:sz w:val="20"/>
                <w:szCs w:val="20"/>
                <w:color w:val="auto"/>
              </w:rPr>
            </w:pPr>
            <w:r>
              <w:rPr>
                <w:rFonts w:ascii="Arial" w:cs="Arial" w:eastAsia="Arial" w:hAnsi="Arial"/>
                <w:sz w:val="16"/>
                <w:szCs w:val="16"/>
                <w:color w:val="auto"/>
              </w:rPr>
              <w:t>Lisa Nadler</w:t>
            </w:r>
          </w:p>
        </w:tc>
        <w:tc>
          <w:tcPr>
            <w:tcW w:w="108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23"/>
              <w:spacing w:after="0"/>
              <w:rPr>
                <w:sz w:val="20"/>
                <w:szCs w:val="20"/>
                <w:color w:val="auto"/>
              </w:rPr>
            </w:pPr>
            <w:r>
              <w:rPr>
                <w:rFonts w:ascii="Arial" w:cs="Arial" w:eastAsia="Arial" w:hAnsi="Arial"/>
                <w:sz w:val="16"/>
                <w:szCs w:val="16"/>
                <w:color w:val="auto"/>
              </w:rPr>
              <w:t>250,000</w:t>
            </w:r>
            <w:r>
              <w:rPr>
                <w:rFonts w:ascii="Arial" w:cs="Arial" w:eastAsia="Arial" w:hAnsi="Arial"/>
                <w:sz w:val="21"/>
                <w:szCs w:val="21"/>
                <w:color w:val="auto"/>
                <w:vertAlign w:val="superscript"/>
              </w:rPr>
              <w:t>(8)</w:t>
            </w:r>
          </w:p>
        </w:tc>
        <w:tc>
          <w:tcPr>
            <w:tcW w:w="1620" w:type="dxa"/>
            <w:vAlign w:val="bottom"/>
          </w:tcPr>
          <w:p>
            <w:pPr>
              <w:ind w:left="10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23"/>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19"/>
        </w:trPr>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3/1/18</w:t>
            </w: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2/2/18</w:t>
            </w:r>
          </w:p>
        </w:tc>
        <w:tc>
          <w:tcPr>
            <w:tcW w:w="148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3"/>
              <w:spacing w:after="0" w:line="219" w:lineRule="exact"/>
              <w:rPr>
                <w:sz w:val="20"/>
                <w:szCs w:val="20"/>
                <w:color w:val="auto"/>
              </w:rPr>
            </w:pPr>
            <w:r>
              <w:rPr>
                <w:rFonts w:ascii="Arial" w:cs="Arial" w:eastAsia="Arial" w:hAnsi="Arial"/>
                <w:sz w:val="16"/>
                <w:szCs w:val="16"/>
                <w:color w:val="auto"/>
              </w:rPr>
              <w:t>27,514</w:t>
            </w:r>
            <w:r>
              <w:rPr>
                <w:rFonts w:ascii="Arial" w:cs="Arial" w:eastAsia="Arial" w:hAnsi="Arial"/>
                <w:sz w:val="21"/>
                <w:szCs w:val="21"/>
                <w:color w:val="auto"/>
                <w:vertAlign w:val="superscript"/>
              </w:rPr>
              <w:t>(9)</w:t>
            </w:r>
          </w:p>
        </w:tc>
        <w:tc>
          <w:tcPr>
            <w:tcW w:w="12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1,288,923</w:t>
            </w:r>
          </w:p>
        </w:tc>
      </w:tr>
      <w:tr>
        <w:trPr>
          <w:trHeight w:val="476"/>
        </w:trPr>
        <w:tc>
          <w:tcPr>
            <w:tcW w:w="1420" w:type="dxa"/>
            <w:vAlign w:val="bottom"/>
            <w:gridSpan w:val="2"/>
          </w:tcPr>
          <w:p>
            <w:pPr>
              <w:ind w:left="40"/>
              <w:spacing w:after="0"/>
              <w:rPr>
                <w:sz w:val="20"/>
                <w:szCs w:val="20"/>
                <w:color w:val="auto"/>
              </w:rPr>
            </w:pPr>
            <w:r>
              <w:rPr>
                <w:rFonts w:ascii="Arial" w:cs="Arial" w:eastAsia="Arial" w:hAnsi="Arial"/>
                <w:sz w:val="16"/>
                <w:szCs w:val="16"/>
                <w:color w:val="auto"/>
              </w:rPr>
              <w:t>Lou Weiss</w:t>
            </w:r>
          </w:p>
        </w:tc>
        <w:tc>
          <w:tcPr>
            <w:tcW w:w="108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23"/>
              <w:spacing w:after="0"/>
              <w:rPr>
                <w:sz w:val="20"/>
                <w:szCs w:val="20"/>
                <w:color w:val="auto"/>
              </w:rPr>
            </w:pPr>
            <w:r>
              <w:rPr>
                <w:rFonts w:ascii="Arial" w:cs="Arial" w:eastAsia="Arial" w:hAnsi="Arial"/>
                <w:sz w:val="16"/>
                <w:szCs w:val="16"/>
                <w:color w:val="auto"/>
              </w:rPr>
              <w:t>190,479</w:t>
            </w:r>
            <w:r>
              <w:rPr>
                <w:rFonts w:ascii="Arial" w:cs="Arial" w:eastAsia="Arial" w:hAnsi="Arial"/>
                <w:sz w:val="21"/>
                <w:szCs w:val="21"/>
                <w:color w:val="auto"/>
                <w:vertAlign w:val="superscript"/>
              </w:rPr>
              <w:t>(10)</w:t>
            </w:r>
          </w:p>
        </w:tc>
        <w:tc>
          <w:tcPr>
            <w:tcW w:w="1620" w:type="dxa"/>
            <w:vAlign w:val="bottom"/>
          </w:tcPr>
          <w:p>
            <w:pPr>
              <w:ind w:left="10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23"/>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19"/>
        </w:trPr>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4/2/18</w:t>
            </w: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2/14/18</w:t>
            </w:r>
          </w:p>
        </w:tc>
        <w:tc>
          <w:tcPr>
            <w:tcW w:w="148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3"/>
              <w:spacing w:after="0" w:line="219" w:lineRule="exact"/>
              <w:rPr>
                <w:sz w:val="20"/>
                <w:szCs w:val="20"/>
                <w:color w:val="auto"/>
              </w:rPr>
            </w:pPr>
            <w:r>
              <w:rPr>
                <w:rFonts w:ascii="Arial" w:cs="Arial" w:eastAsia="Arial" w:hAnsi="Arial"/>
                <w:sz w:val="16"/>
                <w:szCs w:val="16"/>
                <w:color w:val="auto"/>
              </w:rPr>
              <w:t>21,243</w:t>
            </w:r>
            <w:r>
              <w:rPr>
                <w:rFonts w:ascii="Arial" w:cs="Arial" w:eastAsia="Arial" w:hAnsi="Arial"/>
                <w:sz w:val="21"/>
                <w:szCs w:val="21"/>
                <w:color w:val="auto"/>
                <w:vertAlign w:val="superscript"/>
              </w:rPr>
              <w:t>(11)</w:t>
            </w:r>
          </w:p>
        </w:tc>
        <w:tc>
          <w:tcPr>
            <w:tcW w:w="1260" w:type="dxa"/>
            <w:vAlign w:val="bottom"/>
            <w:tcBorders>
              <w:bottom w:val="single" w:sz="8" w:color="auto"/>
            </w:tcBorders>
          </w:tcPr>
          <w:p>
            <w:pPr>
              <w:jc w:val="right"/>
              <w:ind w:right="283"/>
              <w:spacing w:after="0" w:line="219" w:lineRule="exact"/>
              <w:rPr>
                <w:sz w:val="20"/>
                <w:szCs w:val="20"/>
                <w:color w:val="auto"/>
              </w:rPr>
            </w:pPr>
            <w:r>
              <w:rPr>
                <w:rFonts w:ascii="Arial" w:cs="Arial" w:eastAsia="Arial" w:hAnsi="Arial"/>
                <w:sz w:val="16"/>
                <w:szCs w:val="16"/>
                <w:color w:val="auto"/>
              </w:rPr>
              <w:t>22,312</w:t>
            </w:r>
            <w:r>
              <w:rPr>
                <w:rFonts w:ascii="Arial" w:cs="Arial" w:eastAsia="Arial" w:hAnsi="Arial"/>
                <w:sz w:val="21"/>
                <w:szCs w:val="21"/>
                <w:color w:val="auto"/>
                <w:vertAlign w:val="superscript"/>
              </w:rPr>
              <w:t>(12)</w:t>
            </w:r>
          </w:p>
        </w:tc>
        <w:tc>
          <w:tcPr>
            <w:tcW w:w="11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45.31</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1,462,535</w:t>
            </w:r>
          </w:p>
        </w:tc>
      </w:tr>
    </w:tbl>
    <w:p>
      <w:pPr>
        <w:spacing w:after="0" w:line="245" w:lineRule="exact"/>
        <w:rPr>
          <w:sz w:val="20"/>
          <w:szCs w:val="20"/>
          <w:color w:val="auto"/>
        </w:rPr>
      </w:pPr>
    </w:p>
    <w:p>
      <w:pPr>
        <w:ind w:left="660" w:hanging="652"/>
        <w:spacing w:after="0" w:line="251"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accordance with our policy on the timing of equity award grants, unless otherwise specified by our Board of Directors or the Compensation Committee, specifically with respect to newly hired executives and the start date of such executive’s employment with the Company, the effective grant date for all equity awards determined during the course of any calendar month is the first business day following the calendar month in which the grant is approved by our Compensation Committee.</w:t>
      </w:r>
    </w:p>
    <w:p>
      <w:pPr>
        <w:spacing w:after="0" w:line="37" w:lineRule="exact"/>
        <w:rPr>
          <w:rFonts w:ascii="Arial" w:cs="Arial" w:eastAsia="Arial" w:hAnsi="Arial"/>
          <w:sz w:val="16"/>
          <w:szCs w:val="16"/>
          <w:color w:val="auto"/>
        </w:rPr>
      </w:pPr>
    </w:p>
    <w:p>
      <w:pPr>
        <w:ind w:left="660" w:right="160" w:hanging="652"/>
        <w:spacing w:after="0" w:line="270"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8"/>
          <w:szCs w:val="18"/>
          <w:color w:val="auto"/>
        </w:rPr>
        <w:t>I</w:t>
      </w:r>
      <w:r>
        <w:rPr>
          <w:rFonts w:ascii="Arial" w:cs="Arial" w:eastAsia="Arial" w:hAnsi="Arial"/>
          <w:sz w:val="16"/>
          <w:szCs w:val="16"/>
          <w:color w:val="auto"/>
        </w:rPr>
        <w:t>n August 2018, each NEO’s 2018 RSU and 2018 option grant, as applicable, was adjusted pursuant to the Special Dividend Adjustment. For more</w:t>
      </w:r>
      <w:r>
        <w:rPr>
          <w:rFonts w:ascii="Arial" w:cs="Arial" w:eastAsia="Arial" w:hAnsi="Arial"/>
          <w:sz w:val="18"/>
          <w:szCs w:val="18"/>
          <w:color w:val="auto"/>
        </w:rPr>
        <w:t xml:space="preserve"> </w:t>
      </w:r>
      <w:r>
        <w:rPr>
          <w:rFonts w:ascii="Arial" w:cs="Arial" w:eastAsia="Arial" w:hAnsi="Arial"/>
          <w:sz w:val="16"/>
          <w:szCs w:val="16"/>
          <w:color w:val="auto"/>
        </w:rPr>
        <w:t>information regarding the Special Dividend Adjustment, see “Compensation Discussion and Analysis - Section 3 - Elements of 2018 Compensation - Special Dividend Adjustment” elsewhere in this Proxy Statement. The share numbers reported above reflect the number of shares underlying the awards after taking into account the Special Dividend Adjustment.</w:t>
      </w:r>
    </w:p>
    <w:p>
      <w:pPr>
        <w:spacing w:after="0" w:line="41" w:lineRule="exact"/>
        <w:rPr>
          <w:rFonts w:ascii="Arial" w:cs="Arial" w:eastAsia="Arial" w:hAnsi="Arial"/>
          <w:sz w:val="16"/>
          <w:szCs w:val="16"/>
          <w:color w:val="auto"/>
        </w:rPr>
      </w:pPr>
    </w:p>
    <w:p>
      <w:pPr>
        <w:ind w:left="660" w:right="200" w:hanging="652"/>
        <w:spacing w:after="0" w:line="251"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 computed in accordance with ASC Topic 718. A discussion of the assumptions used in determining grant date fair value may be found in Note 10 to our audited consolidated financial statements included in our 2018 Annual Report. See also our discussion in our 2018 Annual Report of equity-based compensation under “Item 7. Management’s Discussion and Analysis of Financial Condition and Results of Operations-Critical Accounting Policies and Estimates-Equity-Based Compensation.”</w:t>
      </w:r>
    </w:p>
    <w:p>
      <w:pPr>
        <w:spacing w:after="0" w:line="40" w:lineRule="exact"/>
        <w:rPr>
          <w:rFonts w:ascii="Arial" w:cs="Arial" w:eastAsia="Arial" w:hAnsi="Arial"/>
          <w:sz w:val="16"/>
          <w:szCs w:val="16"/>
          <w:color w:val="auto"/>
        </w:rPr>
      </w:pPr>
    </w:p>
    <w:p>
      <w:pPr>
        <w:ind w:left="660" w:right="140" w:hanging="652"/>
        <w:spacing w:after="0" w:line="260"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target bonus amount payable under our Short Term Incentive Program. Mr. Berns’ target bonus amount (as a percentage of annual base salary) is 80% and his employment agreement does not provide for any threshold or maximum value.</w:t>
      </w:r>
    </w:p>
    <w:p>
      <w:pPr>
        <w:spacing w:after="0" w:line="33" w:lineRule="exact"/>
        <w:rPr>
          <w:rFonts w:ascii="Arial" w:cs="Arial" w:eastAsia="Arial" w:hAnsi="Arial"/>
          <w:sz w:val="16"/>
          <w:szCs w:val="16"/>
          <w:color w:val="auto"/>
        </w:rPr>
      </w:pPr>
    </w:p>
    <w:p>
      <w:pPr>
        <w:ind w:left="660" w:hanging="652"/>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These RSUs are scheduled to vest in four equal annual installments beginning March 1, 2019.</w:t>
      </w:r>
    </w:p>
    <w:p>
      <w:pPr>
        <w:spacing w:after="0" w:line="59" w:lineRule="exact"/>
        <w:rPr>
          <w:rFonts w:ascii="Arial" w:cs="Arial" w:eastAsia="Arial" w:hAnsi="Arial"/>
          <w:sz w:val="16"/>
          <w:szCs w:val="16"/>
          <w:color w:val="auto"/>
        </w:rPr>
      </w:pPr>
    </w:p>
    <w:p>
      <w:pPr>
        <w:ind w:left="660" w:right="200" w:hanging="652"/>
        <w:spacing w:after="0" w:line="260"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target bonus amount payable under our Short Term Incentive Program. Mr. Brodbeck’s target bonus amount (as a percentage of annual base salary) is 50% and his employment agreement does not provide for any threshold or maximum value.</w:t>
      </w:r>
    </w:p>
    <w:p>
      <w:pPr>
        <w:spacing w:after="0" w:line="33" w:lineRule="exact"/>
        <w:rPr>
          <w:rFonts w:ascii="Arial" w:cs="Arial" w:eastAsia="Arial" w:hAnsi="Arial"/>
          <w:sz w:val="16"/>
          <w:szCs w:val="16"/>
          <w:color w:val="auto"/>
        </w:rPr>
      </w:pPr>
    </w:p>
    <w:p>
      <w:pPr>
        <w:ind w:left="660" w:right="180" w:hanging="652"/>
        <w:spacing w:after="0" w:line="260"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These RSUs were scheduled to vest in four equal annual installments beginning March 1, 2019. Mr. Brodbeck resigned from the Company in March 2019 and as a result, any unvested RSUs pursuant to this grant were forfeited.</w:t>
      </w:r>
    </w:p>
    <w:p>
      <w:pPr>
        <w:spacing w:after="0" w:line="33" w:lineRule="exact"/>
        <w:rPr>
          <w:rFonts w:ascii="Arial" w:cs="Arial" w:eastAsia="Arial" w:hAnsi="Arial"/>
          <w:sz w:val="16"/>
          <w:szCs w:val="16"/>
          <w:color w:val="auto"/>
        </w:rPr>
      </w:pPr>
    </w:p>
    <w:p>
      <w:pPr>
        <w:ind w:left="660" w:right="360" w:hanging="652"/>
        <w:spacing w:after="0" w:line="260"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target bonus amount payable under our Short Term Incentive Program. Ms. Nadler's target bonus amount (as a percentage of annual base salary) is 50% and her employment agreement does not provide for any threshold or maximum value.</w:t>
      </w:r>
    </w:p>
    <w:p>
      <w:pPr>
        <w:spacing w:after="0" w:line="33" w:lineRule="exact"/>
        <w:rPr>
          <w:rFonts w:ascii="Arial" w:cs="Arial" w:eastAsia="Arial" w:hAnsi="Arial"/>
          <w:sz w:val="16"/>
          <w:szCs w:val="16"/>
          <w:color w:val="auto"/>
        </w:rPr>
      </w:pPr>
    </w:p>
    <w:p>
      <w:pPr>
        <w:ind w:left="660" w:hanging="652"/>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These RSUs are scheduled to vest in four equal annual installments beginning March 1, 2019.</w:t>
      </w:r>
    </w:p>
    <w:p>
      <w:pPr>
        <w:spacing w:after="0" w:line="59" w:lineRule="exact"/>
        <w:rPr>
          <w:rFonts w:ascii="Arial" w:cs="Arial" w:eastAsia="Arial" w:hAnsi="Arial"/>
          <w:sz w:val="16"/>
          <w:szCs w:val="16"/>
          <w:color w:val="auto"/>
        </w:rPr>
      </w:pPr>
    </w:p>
    <w:p>
      <w:pPr>
        <w:ind w:left="660" w:right="40" w:hanging="652"/>
        <w:spacing w:after="0" w:line="253"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target bonus amount payable under our Short Term Incentive Program. Mr. Weiss’s target bonus amount (as a percentage of annual base salary) is 50% and his employment agreement does not provide for any threshold or maximum value. For 2018, Mr. Weiss was eligible to receive a pro-rata portion of his bonus based on his start date with the Company.</w:t>
      </w:r>
    </w:p>
    <w:p>
      <w:pPr>
        <w:spacing w:after="0" w:line="39" w:lineRule="exact"/>
        <w:rPr>
          <w:rFonts w:ascii="Arial" w:cs="Arial" w:eastAsia="Arial" w:hAnsi="Arial"/>
          <w:sz w:val="16"/>
          <w:szCs w:val="16"/>
          <w:color w:val="auto"/>
        </w:rPr>
      </w:pPr>
    </w:p>
    <w:p>
      <w:pPr>
        <w:ind w:left="660" w:hanging="652"/>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These RSUs are scheduled to vest in four equal annual installments beginning April 2, 2019.</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option is scheduled to vest in four equal annual installments beginning April 2, 2019.</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Outstanding Equity Awards at Fiscal Year-End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all outstanding equity awards held by each of the named executive officers at December 31, 2018:</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396"/>
              <w:spacing w:after="0"/>
              <w:rPr>
                <w:sz w:val="20"/>
                <w:szCs w:val="20"/>
                <w:color w:val="auto"/>
              </w:rPr>
            </w:pPr>
            <w:r>
              <w:rPr>
                <w:rFonts w:ascii="Arial" w:cs="Arial" w:eastAsia="Arial" w:hAnsi="Arial"/>
                <w:sz w:val="14"/>
                <w:szCs w:val="14"/>
                <w:b w:val="1"/>
                <w:bCs w:val="1"/>
                <w:color w:val="auto"/>
              </w:rPr>
              <w:t>Stock Awards</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Equity</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Plan Awards:</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Incentive</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jc w:val="center"/>
              <w:ind w:left="115"/>
              <w:spacing w:after="0" w:line="135" w:lineRule="exact"/>
              <w:rPr>
                <w:sz w:val="20"/>
                <w:szCs w:val="20"/>
                <w:color w:val="auto"/>
              </w:rPr>
            </w:pPr>
            <w:r>
              <w:rPr>
                <w:rFonts w:ascii="Arial" w:cs="Arial" w:eastAsia="Arial" w:hAnsi="Arial"/>
                <w:sz w:val="13"/>
                <w:szCs w:val="13"/>
                <w:b w:val="1"/>
                <w:bCs w:val="1"/>
                <w:color w:val="auto"/>
              </w:rPr>
              <w:t>Equity</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Plan Awards:</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or Payout</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jc w:val="center"/>
              <w:ind w:left="115"/>
              <w:spacing w:after="0" w:line="135" w:lineRule="exact"/>
              <w:rPr>
                <w:sz w:val="20"/>
                <w:szCs w:val="20"/>
                <w:color w:val="auto"/>
              </w:rPr>
            </w:pPr>
            <w:r>
              <w:rPr>
                <w:rFonts w:ascii="Arial" w:cs="Arial" w:eastAsia="Arial" w:hAnsi="Arial"/>
                <w:sz w:val="13"/>
                <w:szCs w:val="13"/>
                <w:b w:val="1"/>
                <w:bCs w:val="1"/>
                <w:color w:val="auto"/>
                <w:w w:val="99"/>
              </w:rPr>
              <w:t>Incentive</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93"/>
              </w:rPr>
              <w:t>Number</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jc w:val="center"/>
              <w:ind w:left="115"/>
              <w:spacing w:after="0" w:line="135" w:lineRule="exact"/>
              <w:rPr>
                <w:sz w:val="20"/>
                <w:szCs w:val="20"/>
                <w:color w:val="auto"/>
              </w:rPr>
            </w:pPr>
            <w:r>
              <w:rPr>
                <w:rFonts w:ascii="Arial" w:cs="Arial" w:eastAsia="Arial" w:hAnsi="Arial"/>
                <w:sz w:val="13"/>
                <w:szCs w:val="13"/>
                <w:b w:val="1"/>
                <w:bCs w:val="1"/>
                <w:color w:val="auto"/>
              </w:rPr>
              <w:t>Plan</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81"/>
              </w:rPr>
              <w:t>of</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jc w:val="center"/>
              <w:ind w:left="115"/>
              <w:spacing w:after="0" w:line="135" w:lineRule="exact"/>
              <w:rPr>
                <w:sz w:val="20"/>
                <w:szCs w:val="20"/>
                <w:color w:val="auto"/>
              </w:rPr>
            </w:pPr>
            <w:r>
              <w:rPr>
                <w:rFonts w:ascii="Arial" w:cs="Arial" w:eastAsia="Arial" w:hAnsi="Arial"/>
                <w:sz w:val="13"/>
                <w:szCs w:val="13"/>
                <w:b w:val="1"/>
                <w:bCs w:val="1"/>
                <w:color w:val="auto"/>
                <w:w w:val="93"/>
              </w:rPr>
              <w:t>Awards: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96"/>
              </w:rPr>
              <w:t>Shares</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Shares,</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Shares,</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vMerge w:val="restart"/>
          </w:tcPr>
          <w:p>
            <w:pPr>
              <w:jc w:val="center"/>
              <w:ind w:right="38"/>
              <w:spacing w:after="0"/>
              <w:rPr>
                <w:sz w:val="20"/>
                <w:szCs w:val="20"/>
                <w:color w:val="auto"/>
              </w:rPr>
            </w:pPr>
            <w:r>
              <w:rPr>
                <w:rFonts w:ascii="Arial" w:cs="Arial" w:eastAsia="Arial" w:hAnsi="Arial"/>
                <w:sz w:val="11"/>
                <w:szCs w:val="11"/>
                <w:b w:val="1"/>
                <w:bCs w:val="1"/>
                <w:color w:val="auto"/>
                <w:w w:val="98"/>
              </w:rPr>
              <w:t>Number of</w:t>
            </w:r>
          </w:p>
        </w:tc>
        <w:tc>
          <w:tcPr>
            <w:tcW w:w="1080" w:type="dxa"/>
            <w:vAlign w:val="bottom"/>
          </w:tcPr>
          <w:p>
            <w:pPr>
              <w:spacing w:after="0"/>
              <w:rPr>
                <w:sz w:val="11"/>
                <w:szCs w:val="11"/>
                <w:color w:val="auto"/>
              </w:rPr>
            </w:pPr>
          </w:p>
        </w:tc>
        <w:tc>
          <w:tcPr>
            <w:tcW w:w="1340" w:type="dxa"/>
            <w:vAlign w:val="bottom"/>
          </w:tcPr>
          <w:p>
            <w:pPr>
              <w:jc w:val="center"/>
              <w:ind w:left="115"/>
              <w:spacing w:after="0" w:line="135" w:lineRule="exact"/>
              <w:rPr>
                <w:sz w:val="20"/>
                <w:szCs w:val="20"/>
                <w:color w:val="auto"/>
              </w:rPr>
            </w:pPr>
            <w:r>
              <w:rPr>
                <w:rFonts w:ascii="Arial" w:cs="Arial" w:eastAsia="Arial" w:hAnsi="Arial"/>
                <w:sz w:val="13"/>
                <w:szCs w:val="13"/>
                <w:b w:val="1"/>
                <w:bCs w:val="1"/>
                <w:color w:val="auto"/>
                <w:w w:val="98"/>
              </w:rPr>
              <w:t>Number of</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rPr>
              <w:t>or</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or</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Units or</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Units or</w:t>
            </w:r>
          </w:p>
        </w:tc>
        <w:tc>
          <w:tcPr>
            <w:tcW w:w="0" w:type="dxa"/>
            <w:vAlign w:val="bottom"/>
          </w:tcPr>
          <w:p>
            <w:pPr>
              <w:spacing w:after="0"/>
              <w:rPr>
                <w:sz w:val="1"/>
                <w:szCs w:val="1"/>
                <w:color w:val="auto"/>
              </w:rPr>
            </w:pPr>
          </w:p>
        </w:tc>
      </w:tr>
      <w:tr>
        <w:trPr>
          <w:trHeight w:val="130"/>
        </w:trPr>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80" w:type="dxa"/>
            <w:vAlign w:val="bottom"/>
            <w:vMerge w:val="restart"/>
          </w:tcPr>
          <w:p>
            <w:pPr>
              <w:jc w:val="center"/>
              <w:ind w:left="77"/>
              <w:spacing w:after="0"/>
              <w:rPr>
                <w:sz w:val="20"/>
                <w:szCs w:val="20"/>
                <w:color w:val="auto"/>
              </w:rPr>
            </w:pPr>
            <w:r>
              <w:rPr>
                <w:rFonts w:ascii="Arial" w:cs="Arial" w:eastAsia="Arial" w:hAnsi="Arial"/>
                <w:sz w:val="11"/>
                <w:szCs w:val="11"/>
                <w:b w:val="1"/>
                <w:bCs w:val="1"/>
                <w:color w:val="auto"/>
                <w:w w:val="98"/>
              </w:rPr>
              <w:t>Number of</w:t>
            </w:r>
          </w:p>
        </w:tc>
        <w:tc>
          <w:tcPr>
            <w:tcW w:w="1340" w:type="dxa"/>
            <w:vAlign w:val="bottom"/>
          </w:tcPr>
          <w:p>
            <w:pPr>
              <w:jc w:val="center"/>
              <w:ind w:left="115"/>
              <w:spacing w:after="0" w:line="130" w:lineRule="exact"/>
              <w:rPr>
                <w:sz w:val="20"/>
                <w:szCs w:val="20"/>
                <w:color w:val="auto"/>
              </w:rPr>
            </w:pPr>
            <w:r>
              <w:rPr>
                <w:rFonts w:ascii="Arial" w:cs="Arial" w:eastAsia="Arial" w:hAnsi="Arial"/>
                <w:sz w:val="13"/>
                <w:szCs w:val="13"/>
                <w:b w:val="1"/>
                <w:bCs w:val="1"/>
                <w:color w:val="auto"/>
                <w:w w:val="96"/>
              </w:rPr>
              <w:t>Securities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5"/>
              <w:spacing w:after="0" w:line="130" w:lineRule="exact"/>
              <w:rPr>
                <w:sz w:val="20"/>
                <w:szCs w:val="20"/>
                <w:color w:val="auto"/>
              </w:rPr>
            </w:pPr>
            <w:r>
              <w:rPr>
                <w:rFonts w:ascii="Arial" w:cs="Arial" w:eastAsia="Arial" w:hAnsi="Arial"/>
                <w:sz w:val="13"/>
                <w:szCs w:val="13"/>
                <w:b w:val="1"/>
                <w:bCs w:val="1"/>
                <w:color w:val="auto"/>
                <w:w w:val="94"/>
              </w:rPr>
              <w:t>Units of</w:t>
            </w:r>
          </w:p>
        </w:tc>
        <w:tc>
          <w:tcPr>
            <w:tcW w:w="9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Units of</w:t>
            </w:r>
          </w:p>
        </w:tc>
        <w:tc>
          <w:tcPr>
            <w:tcW w:w="10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Other</w:t>
            </w:r>
          </w:p>
        </w:tc>
        <w:tc>
          <w:tcPr>
            <w:tcW w:w="9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79"/>
        </w:trPr>
        <w:tc>
          <w:tcPr>
            <w:tcW w:w="1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20" w:type="dxa"/>
            <w:vAlign w:val="bottom"/>
          </w:tcPr>
          <w:p>
            <w:pPr>
              <w:jc w:val="center"/>
              <w:ind w:right="18"/>
              <w:spacing w:after="0" w:line="79" w:lineRule="exact"/>
              <w:rPr>
                <w:sz w:val="20"/>
                <w:szCs w:val="20"/>
                <w:color w:val="auto"/>
              </w:rPr>
            </w:pPr>
            <w:r>
              <w:rPr>
                <w:rFonts w:ascii="Arial" w:cs="Arial" w:eastAsia="Arial" w:hAnsi="Arial"/>
                <w:sz w:val="9"/>
                <w:szCs w:val="9"/>
                <w:b w:val="1"/>
                <w:bCs w:val="1"/>
                <w:color w:val="auto"/>
              </w:rPr>
              <w:t>Securities</w:t>
            </w:r>
          </w:p>
        </w:tc>
        <w:tc>
          <w:tcPr>
            <w:tcW w:w="1080" w:type="dxa"/>
            <w:vAlign w:val="bottom"/>
            <w:vMerge w:val="continue"/>
          </w:tcPr>
          <w:p>
            <w:pPr>
              <w:spacing w:after="0"/>
              <w:rPr>
                <w:sz w:val="6"/>
                <w:szCs w:val="6"/>
                <w:color w:val="auto"/>
              </w:rPr>
            </w:pPr>
          </w:p>
        </w:tc>
        <w:tc>
          <w:tcPr>
            <w:tcW w:w="1340" w:type="dxa"/>
            <w:vAlign w:val="bottom"/>
            <w:vMerge w:val="restart"/>
          </w:tcPr>
          <w:p>
            <w:pPr>
              <w:jc w:val="center"/>
              <w:ind w:left="95"/>
              <w:spacing w:after="0" w:line="140" w:lineRule="exact"/>
              <w:rPr>
                <w:sz w:val="20"/>
                <w:szCs w:val="20"/>
                <w:color w:val="auto"/>
              </w:rPr>
            </w:pPr>
            <w:r>
              <w:rPr>
                <w:rFonts w:ascii="Arial" w:cs="Arial" w:eastAsia="Arial" w:hAnsi="Arial"/>
                <w:sz w:val="13"/>
                <w:szCs w:val="13"/>
                <w:b w:val="1"/>
                <w:bCs w:val="1"/>
                <w:color w:val="auto"/>
                <w:w w:val="97"/>
              </w:rPr>
              <w:t>Underlying</w:t>
            </w: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restart"/>
          </w:tcPr>
          <w:p>
            <w:pPr>
              <w:jc w:val="center"/>
              <w:ind w:right="35"/>
              <w:spacing w:after="0" w:line="140" w:lineRule="exact"/>
              <w:rPr>
                <w:sz w:val="20"/>
                <w:szCs w:val="20"/>
                <w:color w:val="auto"/>
              </w:rPr>
            </w:pPr>
            <w:r>
              <w:rPr>
                <w:rFonts w:ascii="Arial" w:cs="Arial" w:eastAsia="Arial" w:hAnsi="Arial"/>
                <w:sz w:val="13"/>
                <w:szCs w:val="13"/>
                <w:b w:val="1"/>
                <w:bCs w:val="1"/>
                <w:color w:val="auto"/>
                <w:w w:val="95"/>
              </w:rPr>
              <w:t>Stock</w:t>
            </w:r>
          </w:p>
        </w:tc>
        <w:tc>
          <w:tcPr>
            <w:tcW w:w="940" w:type="dxa"/>
            <w:vAlign w:val="bottom"/>
            <w:vMerge w:val="restart"/>
          </w:tcPr>
          <w:p>
            <w:pPr>
              <w:jc w:val="center"/>
              <w:spacing w:after="0" w:line="140" w:lineRule="exact"/>
              <w:rPr>
                <w:sz w:val="20"/>
                <w:szCs w:val="20"/>
                <w:color w:val="auto"/>
              </w:rPr>
            </w:pPr>
            <w:r>
              <w:rPr>
                <w:rFonts w:ascii="Arial" w:cs="Arial" w:eastAsia="Arial" w:hAnsi="Arial"/>
                <w:sz w:val="13"/>
                <w:szCs w:val="13"/>
                <w:b w:val="1"/>
                <w:bCs w:val="1"/>
                <w:color w:val="auto"/>
                <w:w w:val="95"/>
              </w:rPr>
              <w:t>Stock</w:t>
            </w:r>
          </w:p>
        </w:tc>
        <w:tc>
          <w:tcPr>
            <w:tcW w:w="1040" w:type="dxa"/>
            <w:vAlign w:val="bottom"/>
            <w:vMerge w:val="restart"/>
          </w:tcPr>
          <w:p>
            <w:pPr>
              <w:jc w:val="center"/>
              <w:spacing w:after="0" w:line="140" w:lineRule="exact"/>
              <w:rPr>
                <w:sz w:val="20"/>
                <w:szCs w:val="20"/>
                <w:color w:val="auto"/>
              </w:rPr>
            </w:pPr>
            <w:r>
              <w:rPr>
                <w:rFonts w:ascii="Arial" w:cs="Arial" w:eastAsia="Arial" w:hAnsi="Arial"/>
                <w:sz w:val="13"/>
                <w:szCs w:val="13"/>
                <w:b w:val="1"/>
                <w:bCs w:val="1"/>
                <w:color w:val="auto"/>
                <w:w w:val="98"/>
              </w:rPr>
              <w:t>Rights</w:t>
            </w:r>
          </w:p>
        </w:tc>
        <w:tc>
          <w:tcPr>
            <w:tcW w:w="960" w:type="dxa"/>
            <w:vAlign w:val="bottom"/>
            <w:vMerge w:val="restart"/>
          </w:tcPr>
          <w:p>
            <w:pPr>
              <w:jc w:val="center"/>
              <w:spacing w:after="0" w:line="140" w:lineRule="exact"/>
              <w:rPr>
                <w:sz w:val="20"/>
                <w:szCs w:val="20"/>
                <w:color w:val="auto"/>
              </w:rPr>
            </w:pPr>
            <w:r>
              <w:rPr>
                <w:rFonts w:ascii="Arial" w:cs="Arial" w:eastAsia="Arial" w:hAnsi="Arial"/>
                <w:sz w:val="13"/>
                <w:szCs w:val="13"/>
                <w:b w:val="1"/>
                <w:bCs w:val="1"/>
                <w:color w:val="auto"/>
                <w:w w:val="93"/>
              </w:rPr>
              <w:t>Rights</w:t>
            </w:r>
          </w:p>
        </w:tc>
        <w:tc>
          <w:tcPr>
            <w:tcW w:w="0" w:type="dxa"/>
            <w:vAlign w:val="bottom"/>
          </w:tcPr>
          <w:p>
            <w:pPr>
              <w:spacing w:after="0"/>
              <w:rPr>
                <w:sz w:val="1"/>
                <w:szCs w:val="1"/>
                <w:color w:val="auto"/>
              </w:rPr>
            </w:pPr>
          </w:p>
        </w:tc>
      </w:tr>
      <w:tr>
        <w:trPr>
          <w:trHeight w:val="61"/>
        </w:trPr>
        <w:tc>
          <w:tcPr>
            <w:tcW w:w="1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restart"/>
          </w:tcPr>
          <w:p>
            <w:pPr>
              <w:jc w:val="center"/>
              <w:ind w:right="18"/>
              <w:spacing w:after="0" w:line="122" w:lineRule="exact"/>
              <w:rPr>
                <w:sz w:val="20"/>
                <w:szCs w:val="20"/>
                <w:color w:val="auto"/>
              </w:rPr>
            </w:pPr>
            <w:r>
              <w:rPr>
                <w:rFonts w:ascii="Arial" w:cs="Arial" w:eastAsia="Arial" w:hAnsi="Arial"/>
                <w:sz w:val="11"/>
                <w:szCs w:val="11"/>
                <w:b w:val="1"/>
                <w:bCs w:val="1"/>
                <w:color w:val="auto"/>
                <w:w w:val="97"/>
              </w:rPr>
              <w:t>Underlying</w:t>
            </w:r>
          </w:p>
        </w:tc>
        <w:tc>
          <w:tcPr>
            <w:tcW w:w="1080" w:type="dxa"/>
            <w:vAlign w:val="bottom"/>
            <w:vMerge w:val="restart"/>
          </w:tcPr>
          <w:p>
            <w:pPr>
              <w:jc w:val="center"/>
              <w:ind w:left="97"/>
              <w:spacing w:after="0" w:line="122" w:lineRule="exact"/>
              <w:rPr>
                <w:sz w:val="20"/>
                <w:szCs w:val="20"/>
                <w:color w:val="auto"/>
              </w:rPr>
            </w:pPr>
            <w:r>
              <w:rPr>
                <w:rFonts w:ascii="Arial" w:cs="Arial" w:eastAsia="Arial" w:hAnsi="Arial"/>
                <w:sz w:val="11"/>
                <w:szCs w:val="11"/>
                <w:b w:val="1"/>
                <w:bCs w:val="1"/>
                <w:color w:val="auto"/>
                <w:w w:val="98"/>
              </w:rPr>
              <w:t>Securities</w:t>
            </w:r>
          </w:p>
        </w:tc>
        <w:tc>
          <w:tcPr>
            <w:tcW w:w="13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340" w:type="dxa"/>
            <w:vAlign w:val="bottom"/>
            <w:vMerge w:val="restart"/>
          </w:tcPr>
          <w:p>
            <w:pPr>
              <w:jc w:val="center"/>
              <w:ind w:left="115"/>
              <w:spacing w:after="0"/>
              <w:rPr>
                <w:sz w:val="20"/>
                <w:szCs w:val="20"/>
                <w:color w:val="auto"/>
              </w:rPr>
            </w:pPr>
            <w:r>
              <w:rPr>
                <w:rFonts w:ascii="Arial" w:cs="Arial" w:eastAsia="Arial" w:hAnsi="Arial"/>
                <w:sz w:val="13"/>
                <w:szCs w:val="13"/>
                <w:b w:val="1"/>
                <w:bCs w:val="1"/>
                <w:color w:val="auto"/>
                <w:w w:val="98"/>
              </w:rPr>
              <w:t>Unexercised</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center"/>
              <w:ind w:right="35"/>
              <w:spacing w:after="0"/>
              <w:rPr>
                <w:sz w:val="20"/>
                <w:szCs w:val="20"/>
                <w:color w:val="auto"/>
              </w:rPr>
            </w:pPr>
            <w:r>
              <w:rPr>
                <w:rFonts w:ascii="Arial" w:cs="Arial" w:eastAsia="Arial" w:hAnsi="Arial"/>
                <w:sz w:val="13"/>
                <w:szCs w:val="13"/>
                <w:b w:val="1"/>
                <w:bCs w:val="1"/>
                <w:color w:val="auto"/>
                <w:w w:val="94"/>
              </w:rPr>
              <w:t>That</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That</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That</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That</w:t>
            </w:r>
          </w:p>
        </w:tc>
        <w:tc>
          <w:tcPr>
            <w:tcW w:w="0" w:type="dxa"/>
            <w:vAlign w:val="bottom"/>
          </w:tcPr>
          <w:p>
            <w:pPr>
              <w:spacing w:after="0"/>
              <w:rPr>
                <w:sz w:val="1"/>
                <w:szCs w:val="1"/>
                <w:color w:val="auto"/>
              </w:rPr>
            </w:pPr>
          </w:p>
        </w:tc>
      </w:tr>
      <w:tr>
        <w:trPr>
          <w:trHeight w:val="110"/>
        </w:trPr>
        <w:tc>
          <w:tcPr>
            <w:tcW w:w="1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20" w:type="dxa"/>
            <w:vAlign w:val="bottom"/>
          </w:tcPr>
          <w:p>
            <w:pPr>
              <w:jc w:val="center"/>
              <w:ind w:right="18"/>
              <w:spacing w:after="0" w:line="110" w:lineRule="exact"/>
              <w:rPr>
                <w:sz w:val="20"/>
                <w:szCs w:val="20"/>
                <w:color w:val="auto"/>
              </w:rPr>
            </w:pPr>
            <w:r>
              <w:rPr>
                <w:rFonts w:ascii="Arial" w:cs="Arial" w:eastAsia="Arial" w:hAnsi="Arial"/>
                <w:sz w:val="11"/>
                <w:szCs w:val="11"/>
                <w:b w:val="1"/>
                <w:bCs w:val="1"/>
                <w:color w:val="auto"/>
                <w:w w:val="97"/>
              </w:rPr>
              <w:t>Unexercised</w:t>
            </w:r>
          </w:p>
        </w:tc>
        <w:tc>
          <w:tcPr>
            <w:tcW w:w="1080" w:type="dxa"/>
            <w:vAlign w:val="bottom"/>
          </w:tcPr>
          <w:p>
            <w:pPr>
              <w:jc w:val="center"/>
              <w:ind w:left="97"/>
              <w:spacing w:after="0" w:line="110" w:lineRule="exact"/>
              <w:rPr>
                <w:sz w:val="20"/>
                <w:szCs w:val="20"/>
                <w:color w:val="auto"/>
              </w:rPr>
            </w:pPr>
            <w:r>
              <w:rPr>
                <w:rFonts w:ascii="Arial" w:cs="Arial" w:eastAsia="Arial" w:hAnsi="Arial"/>
                <w:sz w:val="11"/>
                <w:szCs w:val="11"/>
                <w:b w:val="1"/>
                <w:bCs w:val="1"/>
                <w:color w:val="auto"/>
                <w:w w:val="97"/>
              </w:rPr>
              <w:t>Underlying</w:t>
            </w:r>
          </w:p>
        </w:tc>
        <w:tc>
          <w:tcPr>
            <w:tcW w:w="13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6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5"/>
              </w:rPr>
              <w:t>Option</w:t>
            </w:r>
          </w:p>
        </w:tc>
        <w:tc>
          <w:tcPr>
            <w:tcW w:w="8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Grant</w:t>
            </w:r>
          </w:p>
        </w:tc>
        <w:tc>
          <w:tcPr>
            <w:tcW w:w="1120" w:type="dxa"/>
            <w:vAlign w:val="bottom"/>
          </w:tcPr>
          <w:p>
            <w:pPr>
              <w:jc w:val="center"/>
              <w:ind w:right="18"/>
              <w:spacing w:after="0" w:line="122" w:lineRule="exact"/>
              <w:rPr>
                <w:sz w:val="20"/>
                <w:szCs w:val="20"/>
                <w:color w:val="auto"/>
              </w:rPr>
            </w:pPr>
            <w:r>
              <w:rPr>
                <w:rFonts w:ascii="Arial" w:cs="Arial" w:eastAsia="Arial" w:hAnsi="Arial"/>
                <w:sz w:val="11"/>
                <w:szCs w:val="11"/>
                <w:b w:val="1"/>
                <w:bCs w:val="1"/>
                <w:color w:val="auto"/>
                <w:w w:val="96"/>
              </w:rPr>
              <w:t>Options</w:t>
            </w:r>
          </w:p>
        </w:tc>
        <w:tc>
          <w:tcPr>
            <w:tcW w:w="1080" w:type="dxa"/>
            <w:vAlign w:val="bottom"/>
          </w:tcPr>
          <w:p>
            <w:pPr>
              <w:jc w:val="center"/>
              <w:ind w:left="97"/>
              <w:spacing w:after="0" w:line="122" w:lineRule="exact"/>
              <w:rPr>
                <w:sz w:val="20"/>
                <w:szCs w:val="20"/>
                <w:color w:val="auto"/>
              </w:rPr>
            </w:pPr>
            <w:r>
              <w:rPr>
                <w:rFonts w:ascii="Arial" w:cs="Arial" w:eastAsia="Arial" w:hAnsi="Arial"/>
                <w:sz w:val="11"/>
                <w:szCs w:val="11"/>
                <w:b w:val="1"/>
                <w:bCs w:val="1"/>
                <w:color w:val="auto"/>
                <w:w w:val="97"/>
              </w:rPr>
              <w:t>Unexercised</w:t>
            </w:r>
          </w:p>
        </w:tc>
        <w:tc>
          <w:tcPr>
            <w:tcW w:w="1340" w:type="dxa"/>
            <w:vAlign w:val="bottom"/>
          </w:tcPr>
          <w:p>
            <w:pPr>
              <w:jc w:val="center"/>
              <w:ind w:left="95"/>
              <w:spacing w:after="0" w:line="122" w:lineRule="exact"/>
              <w:rPr>
                <w:sz w:val="20"/>
                <w:szCs w:val="20"/>
                <w:color w:val="auto"/>
              </w:rPr>
            </w:pPr>
            <w:r>
              <w:rPr>
                <w:rFonts w:ascii="Arial" w:cs="Arial" w:eastAsia="Arial" w:hAnsi="Arial"/>
                <w:sz w:val="13"/>
                <w:szCs w:val="13"/>
                <w:b w:val="1"/>
                <w:bCs w:val="1"/>
                <w:color w:val="auto"/>
                <w:w w:val="96"/>
              </w:rPr>
              <w:t>Unearned</w:t>
            </w: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Exercise</w:t>
            </w:r>
          </w:p>
        </w:tc>
        <w:tc>
          <w:tcPr>
            <w:tcW w:w="1060" w:type="dxa"/>
            <w:vAlign w:val="bottom"/>
            <w:gridSpan w:val="2"/>
            <w:vMerge w:val="continue"/>
          </w:tcPr>
          <w:p>
            <w:pPr>
              <w:spacing w:after="0"/>
              <w:rPr>
                <w:sz w:val="10"/>
                <w:szCs w:val="10"/>
                <w:color w:val="auto"/>
              </w:rPr>
            </w:pPr>
          </w:p>
        </w:tc>
        <w:tc>
          <w:tcPr>
            <w:tcW w:w="880" w:type="dxa"/>
            <w:vAlign w:val="bottom"/>
          </w:tcPr>
          <w:p>
            <w:pPr>
              <w:jc w:val="center"/>
              <w:ind w:right="35"/>
              <w:spacing w:after="0" w:line="122" w:lineRule="exact"/>
              <w:rPr>
                <w:sz w:val="20"/>
                <w:szCs w:val="20"/>
                <w:color w:val="auto"/>
              </w:rPr>
            </w:pPr>
            <w:r>
              <w:rPr>
                <w:rFonts w:ascii="Arial" w:cs="Arial" w:eastAsia="Arial" w:hAnsi="Arial"/>
                <w:sz w:val="13"/>
                <w:szCs w:val="13"/>
                <w:b w:val="1"/>
                <w:bCs w:val="1"/>
                <w:color w:val="auto"/>
                <w:w w:val="95"/>
              </w:rPr>
              <w:t>Have Not</w:t>
            </w:r>
          </w:p>
        </w:tc>
        <w:tc>
          <w:tcPr>
            <w:tcW w:w="9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Have Not</w:t>
            </w:r>
          </w:p>
        </w:tc>
        <w:tc>
          <w:tcPr>
            <w:tcW w:w="10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Have Not</w:t>
            </w: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Have Not</w:t>
            </w:r>
          </w:p>
        </w:tc>
        <w:tc>
          <w:tcPr>
            <w:tcW w:w="0" w:type="dxa"/>
            <w:vAlign w:val="bottom"/>
          </w:tcPr>
          <w:p>
            <w:pPr>
              <w:spacing w:after="0"/>
              <w:rPr>
                <w:sz w:val="1"/>
                <w:szCs w:val="1"/>
                <w:color w:val="auto"/>
              </w:rPr>
            </w:pPr>
          </w:p>
        </w:tc>
      </w:tr>
      <w:tr>
        <w:trPr>
          <w:trHeight w:val="122"/>
        </w:trPr>
        <w:tc>
          <w:tcPr>
            <w:tcW w:w="13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w:t>
            </w:r>
          </w:p>
        </w:tc>
        <w:tc>
          <w:tcPr>
            <w:tcW w:w="760" w:type="dxa"/>
            <w:vAlign w:val="bottom"/>
            <w:vMerge w:val="continue"/>
          </w:tcPr>
          <w:p>
            <w:pPr>
              <w:spacing w:after="0"/>
              <w:rPr>
                <w:sz w:val="10"/>
                <w:szCs w:val="10"/>
                <w:color w:val="auto"/>
              </w:rPr>
            </w:pPr>
          </w:p>
        </w:tc>
        <w:tc>
          <w:tcPr>
            <w:tcW w:w="1120" w:type="dxa"/>
            <w:vAlign w:val="bottom"/>
          </w:tcPr>
          <w:p>
            <w:pPr>
              <w:jc w:val="center"/>
              <w:ind w:right="38"/>
              <w:spacing w:after="0" w:line="122" w:lineRule="exact"/>
              <w:rPr>
                <w:sz w:val="20"/>
                <w:szCs w:val="20"/>
                <w:color w:val="auto"/>
              </w:rPr>
            </w:pPr>
            <w:r>
              <w:rPr>
                <w:rFonts w:ascii="Arial" w:cs="Arial" w:eastAsia="Arial" w:hAnsi="Arial"/>
                <w:sz w:val="11"/>
                <w:szCs w:val="11"/>
                <w:b w:val="1"/>
                <w:bCs w:val="1"/>
                <w:color w:val="auto"/>
              </w:rPr>
              <w:t>(#)</w:t>
            </w:r>
          </w:p>
        </w:tc>
        <w:tc>
          <w:tcPr>
            <w:tcW w:w="1080" w:type="dxa"/>
            <w:vAlign w:val="bottom"/>
          </w:tcPr>
          <w:p>
            <w:pPr>
              <w:jc w:val="center"/>
              <w:ind w:left="97"/>
              <w:spacing w:after="0" w:line="122" w:lineRule="exact"/>
              <w:rPr>
                <w:sz w:val="20"/>
                <w:szCs w:val="20"/>
                <w:color w:val="auto"/>
              </w:rPr>
            </w:pPr>
            <w:r>
              <w:rPr>
                <w:rFonts w:ascii="Arial" w:cs="Arial" w:eastAsia="Arial" w:hAnsi="Arial"/>
                <w:sz w:val="11"/>
                <w:szCs w:val="11"/>
                <w:b w:val="1"/>
                <w:bCs w:val="1"/>
                <w:color w:val="auto"/>
                <w:w w:val="96"/>
              </w:rPr>
              <w:t>Options (#)</w:t>
            </w:r>
          </w:p>
        </w:tc>
        <w:tc>
          <w:tcPr>
            <w:tcW w:w="1340" w:type="dxa"/>
            <w:vAlign w:val="bottom"/>
          </w:tcPr>
          <w:p>
            <w:pPr>
              <w:jc w:val="center"/>
              <w:ind w:left="115"/>
              <w:spacing w:after="0" w:line="122" w:lineRule="exact"/>
              <w:rPr>
                <w:sz w:val="20"/>
                <w:szCs w:val="20"/>
                <w:color w:val="auto"/>
              </w:rPr>
            </w:pPr>
            <w:r>
              <w:rPr>
                <w:rFonts w:ascii="Arial" w:cs="Arial" w:eastAsia="Arial" w:hAnsi="Arial"/>
                <w:sz w:val="13"/>
                <w:szCs w:val="13"/>
                <w:b w:val="1"/>
                <w:bCs w:val="1"/>
                <w:color w:val="auto"/>
                <w:w w:val="97"/>
              </w:rPr>
              <w:t>Options</w:t>
            </w: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Price</w:t>
            </w:r>
          </w:p>
        </w:tc>
        <w:tc>
          <w:tcPr>
            <w:tcW w:w="106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Expiration</w:t>
            </w:r>
          </w:p>
        </w:tc>
        <w:tc>
          <w:tcPr>
            <w:tcW w:w="880" w:type="dxa"/>
            <w:vAlign w:val="bottom"/>
          </w:tcPr>
          <w:p>
            <w:pPr>
              <w:jc w:val="center"/>
              <w:ind w:right="35"/>
              <w:spacing w:after="0" w:line="122" w:lineRule="exact"/>
              <w:rPr>
                <w:sz w:val="20"/>
                <w:szCs w:val="20"/>
                <w:color w:val="auto"/>
              </w:rPr>
            </w:pPr>
            <w:r>
              <w:rPr>
                <w:rFonts w:ascii="Arial" w:cs="Arial" w:eastAsia="Arial" w:hAnsi="Arial"/>
                <w:sz w:val="13"/>
                <w:szCs w:val="13"/>
                <w:b w:val="1"/>
                <w:bCs w:val="1"/>
                <w:color w:val="auto"/>
                <w:w w:val="98"/>
              </w:rPr>
              <w:t>Vested</w:t>
            </w:r>
          </w:p>
        </w:tc>
        <w:tc>
          <w:tcPr>
            <w:tcW w:w="9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Vested</w:t>
            </w:r>
          </w:p>
        </w:tc>
        <w:tc>
          <w:tcPr>
            <w:tcW w:w="10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Vested</w:t>
            </w: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Vested</w:t>
            </w:r>
          </w:p>
        </w:tc>
        <w:tc>
          <w:tcPr>
            <w:tcW w:w="0" w:type="dxa"/>
            <w:vAlign w:val="bottom"/>
          </w:tcPr>
          <w:p>
            <w:pPr>
              <w:spacing w:after="0"/>
              <w:rPr>
                <w:sz w:val="1"/>
                <w:szCs w:val="1"/>
                <w:color w:val="auto"/>
              </w:rPr>
            </w:pPr>
          </w:p>
        </w:tc>
      </w:tr>
      <w:tr>
        <w:trPr>
          <w:trHeight w:val="176"/>
        </w:trPr>
        <w:tc>
          <w:tcPr>
            <w:tcW w:w="13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Date</w:t>
            </w:r>
          </w:p>
        </w:tc>
        <w:tc>
          <w:tcPr>
            <w:tcW w:w="112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97"/>
              </w:rPr>
              <w:t>Exercisable</w:t>
            </w:r>
            <w:r>
              <w:rPr>
                <w:rFonts w:ascii="Arial" w:cs="Arial" w:eastAsia="Arial" w:hAnsi="Arial"/>
                <w:sz w:val="7"/>
                <w:szCs w:val="7"/>
                <w:b w:val="1"/>
                <w:bCs w:val="1"/>
                <w:color w:val="auto"/>
                <w:w w:val="97"/>
              </w:rPr>
              <w:t>(1)</w:t>
            </w:r>
          </w:p>
        </w:tc>
        <w:tc>
          <w:tcPr>
            <w:tcW w:w="1080" w:type="dxa"/>
            <w:vAlign w:val="bottom"/>
            <w:tcBorders>
              <w:bottom w:val="single" w:sz="8" w:color="auto"/>
            </w:tcBorders>
          </w:tcPr>
          <w:p>
            <w:pPr>
              <w:jc w:val="center"/>
              <w:ind w:left="77"/>
              <w:spacing w:after="0"/>
              <w:rPr>
                <w:sz w:val="20"/>
                <w:szCs w:val="20"/>
                <w:color w:val="auto"/>
              </w:rPr>
            </w:pPr>
            <w:r>
              <w:rPr>
                <w:rFonts w:ascii="Arial" w:cs="Arial" w:eastAsia="Arial" w:hAnsi="Arial"/>
                <w:sz w:val="11"/>
                <w:szCs w:val="11"/>
                <w:b w:val="1"/>
                <w:bCs w:val="1"/>
                <w:color w:val="auto"/>
                <w:w w:val="98"/>
              </w:rPr>
              <w:t>Unexercisable</w:t>
            </w:r>
            <w:r>
              <w:rPr>
                <w:rFonts w:ascii="Arial" w:cs="Arial" w:eastAsia="Arial" w:hAnsi="Arial"/>
                <w:sz w:val="7"/>
                <w:szCs w:val="7"/>
                <w:b w:val="1"/>
                <w:bCs w:val="1"/>
                <w:color w:val="auto"/>
                <w:w w:val="98"/>
              </w:rPr>
              <w:t>(1)</w:t>
            </w:r>
          </w:p>
        </w:tc>
        <w:tc>
          <w:tcPr>
            <w:tcW w:w="1340" w:type="dxa"/>
            <w:vAlign w:val="bottom"/>
            <w:tcBorders>
              <w:bottom w:val="single" w:sz="8" w:color="auto"/>
            </w:tcBorders>
          </w:tcPr>
          <w:p>
            <w:pPr>
              <w:jc w:val="center"/>
              <w:ind w:left="115"/>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(1)</w:t>
            </w:r>
          </w:p>
        </w:tc>
        <w:tc>
          <w:tcPr>
            <w:tcW w:w="9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(1)</w:t>
            </w:r>
          </w:p>
        </w:tc>
        <w:tc>
          <w:tcPr>
            <w:tcW w:w="1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99"/>
              </w:rPr>
              <w:t>Date</w:t>
            </w: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(2)</w:t>
            </w:r>
          </w:p>
        </w:tc>
        <w:tc>
          <w:tcPr>
            <w:tcW w:w="10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w w:val="99"/>
                <w:vertAlign w:val="subscript"/>
              </w:rPr>
              <w:t>(#)</w:t>
            </w:r>
            <w:r>
              <w:rPr>
                <w:rFonts w:ascii="Arial" w:cs="Arial" w:eastAsia="Arial" w:hAnsi="Arial"/>
                <w:sz w:val="8"/>
                <w:szCs w:val="8"/>
                <w:b w:val="1"/>
                <w:bCs w:val="1"/>
                <w:color w:val="auto"/>
                <w:w w:val="99"/>
              </w:rPr>
              <w:t>(1)</w:t>
            </w: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w w:val="99"/>
                <w:vertAlign w:val="subscript"/>
              </w:rPr>
              <w:t>($)</w:t>
            </w:r>
            <w:r>
              <w:rPr>
                <w:rFonts w:ascii="Arial" w:cs="Arial" w:eastAsia="Arial" w:hAnsi="Arial"/>
                <w:sz w:val="8"/>
                <w:szCs w:val="8"/>
                <w:b w:val="1"/>
                <w:bCs w:val="1"/>
                <w:color w:val="auto"/>
                <w:w w:val="99"/>
              </w:rPr>
              <w:t>(2)</w:t>
            </w:r>
          </w:p>
        </w:tc>
        <w:tc>
          <w:tcPr>
            <w:tcW w:w="0" w:type="dxa"/>
            <w:vAlign w:val="bottom"/>
          </w:tcPr>
          <w:p>
            <w:pPr>
              <w:spacing w:after="0"/>
              <w:rPr>
                <w:sz w:val="1"/>
                <w:szCs w:val="1"/>
                <w:color w:val="auto"/>
              </w:rPr>
            </w:pPr>
          </w:p>
        </w:tc>
      </w:tr>
      <w:tr>
        <w:trPr>
          <w:trHeight w:val="351"/>
        </w:trPr>
        <w:tc>
          <w:tcPr>
            <w:tcW w:w="1320" w:type="dxa"/>
            <w:vAlign w:val="bottom"/>
          </w:tcPr>
          <w:p>
            <w:pPr>
              <w:ind w:left="40"/>
              <w:spacing w:after="0"/>
              <w:rPr>
                <w:sz w:val="20"/>
                <w:szCs w:val="20"/>
                <w:color w:val="auto"/>
              </w:rPr>
            </w:pPr>
            <w:r>
              <w:rPr>
                <w:rFonts w:ascii="Arial" w:cs="Arial" w:eastAsia="Arial" w:hAnsi="Arial"/>
                <w:sz w:val="14"/>
                <w:szCs w:val="14"/>
                <w:color w:val="auto"/>
              </w:rPr>
              <w:t>Jonathan Oringer</w:t>
            </w:r>
          </w:p>
        </w:tc>
        <w:tc>
          <w:tcPr>
            <w:tcW w:w="760" w:type="dxa"/>
            <w:vAlign w:val="bottom"/>
          </w:tcPr>
          <w:p>
            <w:pPr>
              <w:jc w:val="right"/>
              <w:ind w:right="93"/>
              <w:spacing w:after="0"/>
              <w:rPr>
                <w:sz w:val="20"/>
                <w:szCs w:val="20"/>
                <w:color w:val="auto"/>
              </w:rPr>
            </w:pPr>
            <w:r>
              <w:rPr>
                <w:rFonts w:ascii="Arial" w:cs="Arial" w:eastAsia="Arial" w:hAnsi="Arial"/>
                <w:sz w:val="14"/>
                <w:szCs w:val="14"/>
                <w:color w:val="auto"/>
              </w:rPr>
              <w:t>4/24/14</w:t>
            </w:r>
          </w:p>
        </w:tc>
        <w:tc>
          <w:tcPr>
            <w:tcW w:w="1120" w:type="dxa"/>
            <w:vAlign w:val="bottom"/>
          </w:tcPr>
          <w:p>
            <w:pPr>
              <w:jc w:val="right"/>
              <w:ind w:right="13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5"/>
              <w:spacing w:after="0"/>
              <w:rPr>
                <w:sz w:val="20"/>
                <w:szCs w:val="20"/>
                <w:color w:val="auto"/>
              </w:rPr>
            </w:pPr>
            <w:r>
              <w:rPr>
                <w:rFonts w:ascii="Arial" w:cs="Arial" w:eastAsia="Arial" w:hAnsi="Arial"/>
                <w:sz w:val="14"/>
                <w:szCs w:val="14"/>
                <w:color w:val="auto"/>
              </w:rPr>
              <w:t>527,485</w:t>
            </w:r>
            <w:r>
              <w:rPr>
                <w:rFonts w:ascii="Arial" w:cs="Arial" w:eastAsia="Arial" w:hAnsi="Arial"/>
                <w:sz w:val="22"/>
                <w:szCs w:val="22"/>
                <w:color w:val="auto"/>
                <w:vertAlign w:val="superscript"/>
              </w:rPr>
              <w:t>(3)</w:t>
            </w:r>
          </w:p>
        </w:tc>
        <w:tc>
          <w:tcPr>
            <w:tcW w:w="920" w:type="dxa"/>
            <w:vAlign w:val="bottom"/>
          </w:tcPr>
          <w:p>
            <w:pPr>
              <w:jc w:val="right"/>
              <w:ind w:right="115"/>
              <w:spacing w:after="0"/>
              <w:rPr>
                <w:sz w:val="20"/>
                <w:szCs w:val="20"/>
                <w:color w:val="auto"/>
              </w:rPr>
            </w:pPr>
            <w:r>
              <w:rPr>
                <w:rFonts w:ascii="Arial" w:cs="Arial" w:eastAsia="Arial" w:hAnsi="Arial"/>
                <w:sz w:val="14"/>
                <w:szCs w:val="14"/>
                <w:color w:val="auto"/>
              </w:rPr>
              <w:t>76.73</w:t>
            </w: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4/24/2024</w:t>
            </w:r>
          </w:p>
        </w:tc>
        <w:tc>
          <w:tcPr>
            <w:tcW w:w="120" w:type="dxa"/>
            <w:vAlign w:val="bottom"/>
          </w:tcPr>
          <w:p>
            <w:pPr>
              <w:spacing w:after="0"/>
              <w:rPr>
                <w:sz w:val="24"/>
                <w:szCs w:val="24"/>
                <w:color w:val="auto"/>
              </w:rPr>
            </w:pPr>
          </w:p>
        </w:tc>
        <w:tc>
          <w:tcPr>
            <w:tcW w:w="88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5"/>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6"/>
              <w:spacing w:after="0"/>
              <w:rPr>
                <w:sz w:val="20"/>
                <w:szCs w:val="20"/>
                <w:color w:val="auto"/>
              </w:rPr>
            </w:pPr>
            <w:r>
              <w:rPr>
                <w:rFonts w:ascii="Arial" w:cs="Arial" w:eastAsia="Arial" w:hAnsi="Arial"/>
                <w:sz w:val="14"/>
                <w:szCs w:val="14"/>
                <w:color w:val="auto"/>
              </w:rPr>
              <w:t>105,497</w:t>
            </w:r>
            <w:r>
              <w:rPr>
                <w:rFonts w:ascii="Arial" w:cs="Arial" w:eastAsia="Arial" w:hAnsi="Arial"/>
                <w:sz w:val="22"/>
                <w:szCs w:val="22"/>
                <w:color w:val="auto"/>
                <w:vertAlign w:val="superscript"/>
              </w:rPr>
              <w:t>(4)</w:t>
            </w:r>
          </w:p>
        </w:tc>
        <w:tc>
          <w:tcPr>
            <w:tcW w:w="960" w:type="dxa"/>
            <w:vAlign w:val="bottom"/>
          </w:tcPr>
          <w:p>
            <w:pPr>
              <w:jc w:val="right"/>
              <w:ind w:right="36"/>
              <w:spacing w:after="0"/>
              <w:rPr>
                <w:sz w:val="20"/>
                <w:szCs w:val="20"/>
                <w:color w:val="auto"/>
              </w:rPr>
            </w:pPr>
            <w:r>
              <w:rPr>
                <w:rFonts w:ascii="Arial" w:cs="Arial" w:eastAsia="Arial" w:hAnsi="Arial"/>
                <w:sz w:val="14"/>
                <w:szCs w:val="14"/>
                <w:color w:val="auto"/>
              </w:rPr>
              <w:t>3,798,947</w:t>
            </w:r>
          </w:p>
        </w:tc>
        <w:tc>
          <w:tcPr>
            <w:tcW w:w="0" w:type="dxa"/>
            <w:vAlign w:val="bottom"/>
          </w:tcPr>
          <w:p>
            <w:pPr>
              <w:spacing w:after="0"/>
              <w:rPr>
                <w:sz w:val="1"/>
                <w:szCs w:val="1"/>
                <w:color w:val="auto"/>
              </w:rPr>
            </w:pPr>
          </w:p>
        </w:tc>
      </w:tr>
      <w:tr>
        <w:trPr>
          <w:trHeight w:val="183"/>
        </w:trPr>
        <w:tc>
          <w:tcPr>
            <w:tcW w:w="1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3/1/16</w:t>
            </w:r>
          </w:p>
        </w:tc>
        <w:tc>
          <w:tcPr>
            <w:tcW w:w="1120" w:type="dxa"/>
            <w:vAlign w:val="bottom"/>
            <w:tcBorders>
              <w:bottom w:val="single" w:sz="8" w:color="auto"/>
            </w:tcBorders>
          </w:tcPr>
          <w:p>
            <w:pPr>
              <w:jc w:val="right"/>
              <w:ind w:right="138"/>
              <w:spacing w:after="0" w:line="183" w:lineRule="exact"/>
              <w:rPr>
                <w:sz w:val="20"/>
                <w:szCs w:val="20"/>
                <w:color w:val="auto"/>
              </w:rPr>
            </w:pPr>
            <w:r>
              <w:rPr>
                <w:rFonts w:ascii="Arial" w:cs="Arial" w:eastAsia="Arial" w:hAnsi="Arial"/>
                <w:sz w:val="13"/>
                <w:szCs w:val="13"/>
                <w:color w:val="auto"/>
              </w:rPr>
              <w:t>131,871</w:t>
            </w:r>
            <w:r>
              <w:rPr>
                <w:rFonts w:ascii="Arial" w:cs="Arial" w:eastAsia="Arial" w:hAnsi="Arial"/>
                <w:sz w:val="21"/>
                <w:szCs w:val="21"/>
                <w:color w:val="auto"/>
                <w:vertAlign w:val="superscript"/>
              </w:rPr>
              <w:t>(5)</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3"/>
                <w:szCs w:val="13"/>
                <w:color w:val="auto"/>
              </w:rPr>
              <w:t>131,871</w:t>
            </w:r>
            <w:r>
              <w:rPr>
                <w:rFonts w:ascii="Arial" w:cs="Arial" w:eastAsia="Arial" w:hAnsi="Arial"/>
                <w:sz w:val="21"/>
                <w:szCs w:val="21"/>
                <w:color w:val="auto"/>
                <w:vertAlign w:val="superscript"/>
              </w:rPr>
              <w:t>(5)</w:t>
            </w: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32.95</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3/1/2026</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3"/>
        </w:trPr>
        <w:tc>
          <w:tcPr>
            <w:tcW w:w="1320" w:type="dxa"/>
            <w:vAlign w:val="bottom"/>
          </w:tcPr>
          <w:p>
            <w:pPr>
              <w:ind w:left="40"/>
              <w:spacing w:after="0"/>
              <w:rPr>
                <w:sz w:val="20"/>
                <w:szCs w:val="20"/>
                <w:color w:val="auto"/>
              </w:rPr>
            </w:pPr>
            <w:r>
              <w:rPr>
                <w:rFonts w:ascii="Arial" w:cs="Arial" w:eastAsia="Arial" w:hAnsi="Arial"/>
                <w:sz w:val="14"/>
                <w:szCs w:val="14"/>
                <w:color w:val="auto"/>
              </w:rPr>
              <w:t>Steven Berns</w:t>
            </w:r>
            <w:r>
              <w:rPr>
                <w:rFonts w:ascii="Arial" w:cs="Arial" w:eastAsia="Arial" w:hAnsi="Arial"/>
                <w:sz w:val="22"/>
                <w:szCs w:val="22"/>
                <w:color w:val="auto"/>
                <w:vertAlign w:val="superscript"/>
              </w:rPr>
              <w:t>(6)</w:t>
            </w:r>
          </w:p>
        </w:tc>
        <w:tc>
          <w:tcPr>
            <w:tcW w:w="760" w:type="dxa"/>
            <w:vAlign w:val="bottom"/>
          </w:tcPr>
          <w:p>
            <w:pPr>
              <w:jc w:val="right"/>
              <w:ind w:right="93"/>
              <w:spacing w:after="0"/>
              <w:rPr>
                <w:sz w:val="20"/>
                <w:szCs w:val="20"/>
                <w:color w:val="auto"/>
              </w:rPr>
            </w:pPr>
            <w:r>
              <w:rPr>
                <w:rFonts w:ascii="Arial" w:cs="Arial" w:eastAsia="Arial" w:hAnsi="Arial"/>
                <w:sz w:val="14"/>
                <w:szCs w:val="14"/>
                <w:color w:val="auto"/>
              </w:rPr>
              <w:t>10/1/15</w:t>
            </w:r>
          </w:p>
        </w:tc>
        <w:tc>
          <w:tcPr>
            <w:tcW w:w="1120" w:type="dxa"/>
            <w:vAlign w:val="bottom"/>
          </w:tcPr>
          <w:p>
            <w:pPr>
              <w:jc w:val="right"/>
              <w:ind w:right="138"/>
              <w:spacing w:after="0"/>
              <w:rPr>
                <w:sz w:val="20"/>
                <w:szCs w:val="20"/>
                <w:color w:val="auto"/>
              </w:rPr>
            </w:pPr>
            <w:r>
              <w:rPr>
                <w:rFonts w:ascii="Arial" w:cs="Arial" w:eastAsia="Arial" w:hAnsi="Arial"/>
                <w:sz w:val="14"/>
                <w:szCs w:val="14"/>
                <w:color w:val="auto"/>
              </w:rPr>
              <w:t>79,122</w:t>
            </w:r>
            <w:r>
              <w:rPr>
                <w:rFonts w:ascii="Arial" w:cs="Arial" w:eastAsia="Arial" w:hAnsi="Arial"/>
                <w:sz w:val="22"/>
                <w:szCs w:val="22"/>
                <w:color w:val="auto"/>
                <w:vertAlign w:val="superscript"/>
              </w:rPr>
              <w:t>(7)</w:t>
            </w:r>
          </w:p>
        </w:tc>
        <w:tc>
          <w:tcPr>
            <w:tcW w:w="1080" w:type="dxa"/>
            <w:vAlign w:val="bottom"/>
          </w:tcPr>
          <w:p>
            <w:pPr>
              <w:jc w:val="right"/>
              <w:spacing w:after="0"/>
              <w:rPr>
                <w:sz w:val="20"/>
                <w:szCs w:val="20"/>
                <w:color w:val="auto"/>
              </w:rPr>
            </w:pPr>
            <w:r>
              <w:rPr>
                <w:rFonts w:ascii="Arial" w:cs="Arial" w:eastAsia="Arial" w:hAnsi="Arial"/>
                <w:sz w:val="14"/>
                <w:szCs w:val="14"/>
                <w:color w:val="auto"/>
              </w:rPr>
              <w:t>26,375</w:t>
            </w:r>
            <w:r>
              <w:rPr>
                <w:rFonts w:ascii="Arial" w:cs="Arial" w:eastAsia="Arial" w:hAnsi="Arial"/>
                <w:sz w:val="22"/>
                <w:szCs w:val="22"/>
                <w:color w:val="auto"/>
                <w:vertAlign w:val="superscript"/>
              </w:rPr>
              <w:t>(7)</w:t>
            </w:r>
          </w:p>
        </w:tc>
        <w:tc>
          <w:tcPr>
            <w:tcW w:w="1340" w:type="dxa"/>
            <w:vAlign w:val="bottom"/>
          </w:tcPr>
          <w:p>
            <w:pPr>
              <w:jc w:val="right"/>
              <w:ind w:right="11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5"/>
              <w:spacing w:after="0"/>
              <w:rPr>
                <w:sz w:val="20"/>
                <w:szCs w:val="20"/>
                <w:color w:val="auto"/>
              </w:rPr>
            </w:pPr>
            <w:r>
              <w:rPr>
                <w:rFonts w:ascii="Arial" w:cs="Arial" w:eastAsia="Arial" w:hAnsi="Arial"/>
                <w:sz w:val="14"/>
                <w:szCs w:val="14"/>
                <w:color w:val="auto"/>
              </w:rPr>
              <w:t>28.28</w:t>
            </w: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10/1/2025</w:t>
            </w:r>
          </w:p>
        </w:tc>
        <w:tc>
          <w:tcPr>
            <w:tcW w:w="120" w:type="dxa"/>
            <w:vAlign w:val="bottom"/>
          </w:tcPr>
          <w:p>
            <w:pPr>
              <w:spacing w:after="0"/>
              <w:rPr>
                <w:sz w:val="24"/>
                <w:szCs w:val="24"/>
                <w:color w:val="auto"/>
              </w:rPr>
            </w:pPr>
          </w:p>
        </w:tc>
        <w:tc>
          <w:tcPr>
            <w:tcW w:w="880" w:type="dxa"/>
            <w:vAlign w:val="bottom"/>
          </w:tcPr>
          <w:p>
            <w:pPr>
              <w:jc w:val="right"/>
              <w:ind w:right="135"/>
              <w:spacing w:after="0"/>
              <w:rPr>
                <w:sz w:val="20"/>
                <w:szCs w:val="20"/>
                <w:color w:val="auto"/>
              </w:rPr>
            </w:pPr>
            <w:r>
              <w:rPr>
                <w:rFonts w:ascii="Arial" w:cs="Arial" w:eastAsia="Arial" w:hAnsi="Arial"/>
                <w:sz w:val="14"/>
                <w:szCs w:val="14"/>
                <w:color w:val="auto"/>
              </w:rPr>
              <w:t>10,550</w:t>
            </w:r>
            <w:r>
              <w:rPr>
                <w:rFonts w:ascii="Arial" w:cs="Arial" w:eastAsia="Arial" w:hAnsi="Arial"/>
                <w:sz w:val="22"/>
                <w:szCs w:val="22"/>
                <w:color w:val="auto"/>
                <w:vertAlign w:val="superscript"/>
              </w:rPr>
              <w:t>(8)</w:t>
            </w:r>
          </w:p>
        </w:tc>
        <w:tc>
          <w:tcPr>
            <w:tcW w:w="940" w:type="dxa"/>
            <w:vAlign w:val="bottom"/>
          </w:tcPr>
          <w:p>
            <w:pPr>
              <w:jc w:val="right"/>
              <w:ind w:right="75"/>
              <w:spacing w:after="0"/>
              <w:rPr>
                <w:sz w:val="20"/>
                <w:szCs w:val="20"/>
                <w:color w:val="auto"/>
              </w:rPr>
            </w:pPr>
            <w:r>
              <w:rPr>
                <w:rFonts w:ascii="Arial" w:cs="Arial" w:eastAsia="Arial" w:hAnsi="Arial"/>
                <w:sz w:val="14"/>
                <w:szCs w:val="14"/>
                <w:color w:val="auto"/>
              </w:rPr>
              <w:t>379,906</w:t>
            </w:r>
          </w:p>
        </w:tc>
        <w:tc>
          <w:tcPr>
            <w:tcW w:w="1040" w:type="dxa"/>
            <w:vAlign w:val="bottom"/>
          </w:tcPr>
          <w:p>
            <w:pPr>
              <w:jc w:val="right"/>
              <w:ind w:right="96"/>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760" w:type="dxa"/>
            <w:vAlign w:val="bottom"/>
          </w:tcPr>
          <w:p>
            <w:pPr>
              <w:jc w:val="right"/>
              <w:ind w:right="93"/>
              <w:spacing w:after="0"/>
              <w:rPr>
                <w:sz w:val="20"/>
                <w:szCs w:val="20"/>
                <w:color w:val="auto"/>
              </w:rPr>
            </w:pPr>
            <w:r>
              <w:rPr>
                <w:rFonts w:ascii="Arial" w:cs="Arial" w:eastAsia="Arial" w:hAnsi="Arial"/>
                <w:sz w:val="14"/>
                <w:szCs w:val="14"/>
                <w:color w:val="auto"/>
              </w:rPr>
              <w:t>3/1/16</w:t>
            </w:r>
          </w:p>
        </w:tc>
        <w:tc>
          <w:tcPr>
            <w:tcW w:w="1120" w:type="dxa"/>
            <w:vAlign w:val="bottom"/>
          </w:tcPr>
          <w:p>
            <w:pPr>
              <w:jc w:val="right"/>
              <w:ind w:right="138"/>
              <w:spacing w:after="0"/>
              <w:rPr>
                <w:sz w:val="20"/>
                <w:szCs w:val="20"/>
                <w:color w:val="auto"/>
              </w:rPr>
            </w:pPr>
            <w:r>
              <w:rPr>
                <w:rFonts w:ascii="Arial" w:cs="Arial" w:eastAsia="Arial" w:hAnsi="Arial"/>
                <w:sz w:val="14"/>
                <w:szCs w:val="14"/>
                <w:color w:val="auto"/>
              </w:rPr>
              <w:t>21,099</w:t>
            </w:r>
            <w:r>
              <w:rPr>
                <w:rFonts w:ascii="Arial" w:cs="Arial" w:eastAsia="Arial" w:hAnsi="Arial"/>
                <w:sz w:val="22"/>
                <w:szCs w:val="22"/>
                <w:color w:val="auto"/>
                <w:vertAlign w:val="superscript"/>
              </w:rPr>
              <w:t>(9)</w:t>
            </w:r>
          </w:p>
        </w:tc>
        <w:tc>
          <w:tcPr>
            <w:tcW w:w="1080" w:type="dxa"/>
            <w:vAlign w:val="bottom"/>
          </w:tcPr>
          <w:p>
            <w:pPr>
              <w:jc w:val="right"/>
              <w:spacing w:after="0"/>
              <w:rPr>
                <w:sz w:val="20"/>
                <w:szCs w:val="20"/>
                <w:color w:val="auto"/>
              </w:rPr>
            </w:pPr>
            <w:r>
              <w:rPr>
                <w:rFonts w:ascii="Arial" w:cs="Arial" w:eastAsia="Arial" w:hAnsi="Arial"/>
                <w:sz w:val="14"/>
                <w:szCs w:val="14"/>
                <w:color w:val="auto"/>
              </w:rPr>
              <w:t>21,099</w:t>
            </w:r>
            <w:r>
              <w:rPr>
                <w:rFonts w:ascii="Arial" w:cs="Arial" w:eastAsia="Arial" w:hAnsi="Arial"/>
                <w:sz w:val="22"/>
                <w:szCs w:val="22"/>
                <w:color w:val="auto"/>
                <w:vertAlign w:val="superscript"/>
              </w:rPr>
              <w:t>(9)</w:t>
            </w:r>
          </w:p>
        </w:tc>
        <w:tc>
          <w:tcPr>
            <w:tcW w:w="1340" w:type="dxa"/>
            <w:vAlign w:val="bottom"/>
          </w:tcPr>
          <w:p>
            <w:pPr>
              <w:jc w:val="right"/>
              <w:ind w:right="11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5"/>
              <w:spacing w:after="0"/>
              <w:rPr>
                <w:sz w:val="20"/>
                <w:szCs w:val="20"/>
                <w:color w:val="auto"/>
              </w:rPr>
            </w:pPr>
            <w:r>
              <w:rPr>
                <w:rFonts w:ascii="Arial" w:cs="Arial" w:eastAsia="Arial" w:hAnsi="Arial"/>
                <w:sz w:val="14"/>
                <w:szCs w:val="14"/>
                <w:color w:val="auto"/>
              </w:rPr>
              <w:t>32.95</w:t>
            </w: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03/1/2026</w:t>
            </w:r>
          </w:p>
        </w:tc>
        <w:tc>
          <w:tcPr>
            <w:tcW w:w="120" w:type="dxa"/>
            <w:vAlign w:val="bottom"/>
          </w:tcPr>
          <w:p>
            <w:pPr>
              <w:spacing w:after="0"/>
              <w:rPr>
                <w:sz w:val="23"/>
                <w:szCs w:val="23"/>
                <w:color w:val="auto"/>
              </w:rPr>
            </w:pPr>
          </w:p>
        </w:tc>
        <w:tc>
          <w:tcPr>
            <w:tcW w:w="880" w:type="dxa"/>
            <w:vAlign w:val="bottom"/>
          </w:tcPr>
          <w:p>
            <w:pPr>
              <w:jc w:val="right"/>
              <w:ind w:right="135"/>
              <w:spacing w:after="0"/>
              <w:rPr>
                <w:sz w:val="20"/>
                <w:szCs w:val="20"/>
                <w:color w:val="auto"/>
              </w:rPr>
            </w:pPr>
            <w:r>
              <w:rPr>
                <w:rFonts w:ascii="Arial" w:cs="Arial" w:eastAsia="Arial" w:hAnsi="Arial"/>
                <w:sz w:val="14"/>
                <w:szCs w:val="14"/>
                <w:color w:val="auto"/>
              </w:rPr>
              <w:t>7,912</w:t>
            </w:r>
            <w:r>
              <w:rPr>
                <w:rFonts w:ascii="Arial" w:cs="Arial" w:eastAsia="Arial" w:hAnsi="Arial"/>
                <w:sz w:val="22"/>
                <w:szCs w:val="22"/>
                <w:color w:val="auto"/>
                <w:vertAlign w:val="superscript"/>
              </w:rPr>
              <w:t>(10)</w:t>
            </w:r>
          </w:p>
        </w:tc>
        <w:tc>
          <w:tcPr>
            <w:tcW w:w="940" w:type="dxa"/>
            <w:vAlign w:val="bottom"/>
          </w:tcPr>
          <w:p>
            <w:pPr>
              <w:jc w:val="right"/>
              <w:ind w:right="75"/>
              <w:spacing w:after="0"/>
              <w:rPr>
                <w:sz w:val="20"/>
                <w:szCs w:val="20"/>
                <w:color w:val="auto"/>
              </w:rPr>
            </w:pPr>
            <w:r>
              <w:rPr>
                <w:rFonts w:ascii="Arial" w:cs="Arial" w:eastAsia="Arial" w:hAnsi="Arial"/>
                <w:sz w:val="14"/>
                <w:szCs w:val="14"/>
                <w:color w:val="auto"/>
              </w:rPr>
              <w:t>284,911</w:t>
            </w:r>
          </w:p>
        </w:tc>
        <w:tc>
          <w:tcPr>
            <w:tcW w:w="1040" w:type="dxa"/>
            <w:vAlign w:val="bottom"/>
          </w:tcPr>
          <w:p>
            <w:pPr>
              <w:jc w:val="right"/>
              <w:ind w:right="96"/>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760" w:type="dxa"/>
            <w:vAlign w:val="bottom"/>
          </w:tcPr>
          <w:p>
            <w:pPr>
              <w:jc w:val="right"/>
              <w:ind w:right="93"/>
              <w:spacing w:after="0"/>
              <w:rPr>
                <w:sz w:val="20"/>
                <w:szCs w:val="20"/>
                <w:color w:val="auto"/>
              </w:rPr>
            </w:pPr>
            <w:r>
              <w:rPr>
                <w:rFonts w:ascii="Arial" w:cs="Arial" w:eastAsia="Arial" w:hAnsi="Arial"/>
                <w:sz w:val="14"/>
                <w:szCs w:val="14"/>
                <w:color w:val="auto"/>
              </w:rPr>
              <w:t>3/1/17</w:t>
            </w:r>
          </w:p>
        </w:tc>
        <w:tc>
          <w:tcPr>
            <w:tcW w:w="1120" w:type="dxa"/>
            <w:vAlign w:val="bottom"/>
          </w:tcPr>
          <w:p>
            <w:pPr>
              <w:jc w:val="right"/>
              <w:ind w:right="138"/>
              <w:spacing w:after="0"/>
              <w:rPr>
                <w:sz w:val="20"/>
                <w:szCs w:val="20"/>
                <w:color w:val="auto"/>
              </w:rPr>
            </w:pPr>
            <w:r>
              <w:rPr>
                <w:rFonts w:ascii="Arial" w:cs="Arial" w:eastAsia="Arial" w:hAnsi="Arial"/>
                <w:sz w:val="14"/>
                <w:szCs w:val="14"/>
                <w:color w:val="auto"/>
              </w:rPr>
              <w:t>5,274</w:t>
            </w:r>
            <w:r>
              <w:rPr>
                <w:rFonts w:ascii="Arial" w:cs="Arial" w:eastAsia="Arial" w:hAnsi="Arial"/>
                <w:sz w:val="22"/>
                <w:szCs w:val="22"/>
                <w:color w:val="auto"/>
                <w:vertAlign w:val="superscript"/>
              </w:rPr>
              <w:t>(11)</w:t>
            </w:r>
          </w:p>
        </w:tc>
        <w:tc>
          <w:tcPr>
            <w:tcW w:w="1080" w:type="dxa"/>
            <w:vAlign w:val="bottom"/>
          </w:tcPr>
          <w:p>
            <w:pPr>
              <w:jc w:val="right"/>
              <w:spacing w:after="0"/>
              <w:rPr>
                <w:sz w:val="20"/>
                <w:szCs w:val="20"/>
                <w:color w:val="auto"/>
              </w:rPr>
            </w:pPr>
            <w:r>
              <w:rPr>
                <w:rFonts w:ascii="Arial" w:cs="Arial" w:eastAsia="Arial" w:hAnsi="Arial"/>
                <w:sz w:val="14"/>
                <w:szCs w:val="14"/>
                <w:color w:val="auto"/>
              </w:rPr>
              <w:t>15,825</w:t>
            </w:r>
            <w:r>
              <w:rPr>
                <w:rFonts w:ascii="Arial" w:cs="Arial" w:eastAsia="Arial" w:hAnsi="Arial"/>
                <w:sz w:val="22"/>
                <w:szCs w:val="22"/>
                <w:color w:val="auto"/>
                <w:vertAlign w:val="superscript"/>
              </w:rPr>
              <w:t>(11)</w:t>
            </w:r>
          </w:p>
        </w:tc>
        <w:tc>
          <w:tcPr>
            <w:tcW w:w="1340" w:type="dxa"/>
            <w:vAlign w:val="bottom"/>
          </w:tcPr>
          <w:p>
            <w:pPr>
              <w:jc w:val="right"/>
              <w:ind w:right="11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5"/>
              <w:spacing w:after="0"/>
              <w:rPr>
                <w:sz w:val="20"/>
                <w:szCs w:val="20"/>
                <w:color w:val="auto"/>
              </w:rPr>
            </w:pPr>
            <w:r>
              <w:rPr>
                <w:rFonts w:ascii="Arial" w:cs="Arial" w:eastAsia="Arial" w:hAnsi="Arial"/>
                <w:sz w:val="14"/>
                <w:szCs w:val="14"/>
                <w:color w:val="auto"/>
              </w:rPr>
              <w:t>42.67</w:t>
            </w: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03/1/2027</w:t>
            </w:r>
          </w:p>
        </w:tc>
        <w:tc>
          <w:tcPr>
            <w:tcW w:w="120" w:type="dxa"/>
            <w:vAlign w:val="bottom"/>
          </w:tcPr>
          <w:p>
            <w:pPr>
              <w:spacing w:after="0"/>
              <w:rPr>
                <w:sz w:val="23"/>
                <w:szCs w:val="23"/>
                <w:color w:val="auto"/>
              </w:rPr>
            </w:pPr>
          </w:p>
        </w:tc>
        <w:tc>
          <w:tcPr>
            <w:tcW w:w="880" w:type="dxa"/>
            <w:vAlign w:val="bottom"/>
          </w:tcPr>
          <w:p>
            <w:pPr>
              <w:jc w:val="right"/>
              <w:ind w:right="135"/>
              <w:spacing w:after="0"/>
              <w:rPr>
                <w:sz w:val="20"/>
                <w:szCs w:val="20"/>
                <w:color w:val="auto"/>
              </w:rPr>
            </w:pPr>
            <w:r>
              <w:rPr>
                <w:rFonts w:ascii="Arial" w:cs="Arial" w:eastAsia="Arial" w:hAnsi="Arial"/>
                <w:sz w:val="14"/>
                <w:szCs w:val="14"/>
                <w:color w:val="auto"/>
                <w:w w:val="95"/>
              </w:rPr>
              <w:t>11,868</w:t>
            </w:r>
            <w:r>
              <w:rPr>
                <w:rFonts w:ascii="Arial" w:cs="Arial" w:eastAsia="Arial" w:hAnsi="Arial"/>
                <w:sz w:val="22"/>
                <w:szCs w:val="22"/>
                <w:color w:val="auto"/>
                <w:w w:val="95"/>
                <w:vertAlign w:val="superscript"/>
              </w:rPr>
              <w:t>(12)</w:t>
            </w:r>
          </w:p>
        </w:tc>
        <w:tc>
          <w:tcPr>
            <w:tcW w:w="940" w:type="dxa"/>
            <w:vAlign w:val="bottom"/>
          </w:tcPr>
          <w:p>
            <w:pPr>
              <w:jc w:val="right"/>
              <w:ind w:right="75"/>
              <w:spacing w:after="0"/>
              <w:rPr>
                <w:sz w:val="20"/>
                <w:szCs w:val="20"/>
                <w:color w:val="auto"/>
              </w:rPr>
            </w:pPr>
            <w:r>
              <w:rPr>
                <w:rFonts w:ascii="Arial" w:cs="Arial" w:eastAsia="Arial" w:hAnsi="Arial"/>
                <w:sz w:val="14"/>
                <w:szCs w:val="14"/>
                <w:color w:val="auto"/>
              </w:rPr>
              <w:t>427,367</w:t>
            </w:r>
          </w:p>
        </w:tc>
        <w:tc>
          <w:tcPr>
            <w:tcW w:w="1040" w:type="dxa"/>
            <w:vAlign w:val="bottom"/>
          </w:tcPr>
          <w:p>
            <w:pPr>
              <w:jc w:val="right"/>
              <w:ind w:right="96"/>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3/1/18</w:t>
            </w: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3"/>
                <w:szCs w:val="13"/>
                <w:color w:val="auto"/>
              </w:rPr>
              <w:t>34,393</w:t>
            </w:r>
            <w:r>
              <w:rPr>
                <w:rFonts w:ascii="Arial" w:cs="Arial" w:eastAsia="Arial" w:hAnsi="Arial"/>
                <w:sz w:val="21"/>
                <w:szCs w:val="21"/>
                <w:color w:val="auto"/>
                <w:vertAlign w:val="superscript"/>
              </w:rPr>
              <w:t>(13)</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1,238,492</w:t>
            </w: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1320" w:type="dxa"/>
            <w:vAlign w:val="bottom"/>
          </w:tcPr>
          <w:p>
            <w:pPr>
              <w:ind w:left="40"/>
              <w:spacing w:after="0"/>
              <w:rPr>
                <w:sz w:val="20"/>
                <w:szCs w:val="20"/>
                <w:color w:val="auto"/>
              </w:rPr>
            </w:pPr>
            <w:r>
              <w:rPr>
                <w:rFonts w:ascii="Arial" w:cs="Arial" w:eastAsia="Arial" w:hAnsi="Arial"/>
                <w:sz w:val="14"/>
                <w:szCs w:val="14"/>
                <w:color w:val="auto"/>
                <w:w w:val="98"/>
              </w:rPr>
              <w:t>Martin Brodbeck</w:t>
            </w:r>
            <w:r>
              <w:rPr>
                <w:rFonts w:ascii="Arial" w:cs="Arial" w:eastAsia="Arial" w:hAnsi="Arial"/>
                <w:sz w:val="22"/>
                <w:szCs w:val="22"/>
                <w:color w:val="auto"/>
                <w:w w:val="98"/>
                <w:vertAlign w:val="superscript"/>
              </w:rPr>
              <w:t>(14)</w:t>
            </w:r>
          </w:p>
        </w:tc>
        <w:tc>
          <w:tcPr>
            <w:tcW w:w="760" w:type="dxa"/>
            <w:vAlign w:val="bottom"/>
          </w:tcPr>
          <w:p>
            <w:pPr>
              <w:jc w:val="right"/>
              <w:ind w:right="93"/>
              <w:spacing w:after="0"/>
              <w:rPr>
                <w:sz w:val="20"/>
                <w:szCs w:val="20"/>
                <w:color w:val="auto"/>
              </w:rPr>
            </w:pPr>
            <w:r>
              <w:rPr>
                <w:rFonts w:ascii="Arial" w:cs="Arial" w:eastAsia="Arial" w:hAnsi="Arial"/>
                <w:sz w:val="14"/>
                <w:szCs w:val="14"/>
                <w:color w:val="auto"/>
              </w:rPr>
              <w:t>2/1/17</w:t>
            </w:r>
          </w:p>
        </w:tc>
        <w:tc>
          <w:tcPr>
            <w:tcW w:w="1120" w:type="dxa"/>
            <w:vAlign w:val="bottom"/>
          </w:tcPr>
          <w:p>
            <w:pPr>
              <w:jc w:val="right"/>
              <w:ind w:right="138"/>
              <w:spacing w:after="0"/>
              <w:rPr>
                <w:sz w:val="20"/>
                <w:szCs w:val="20"/>
                <w:color w:val="auto"/>
              </w:rPr>
            </w:pPr>
            <w:r>
              <w:rPr>
                <w:rFonts w:ascii="Arial" w:cs="Arial" w:eastAsia="Arial" w:hAnsi="Arial"/>
                <w:sz w:val="14"/>
                <w:szCs w:val="14"/>
                <w:color w:val="auto"/>
              </w:rPr>
              <w:t>9,230</w:t>
            </w:r>
            <w:r>
              <w:rPr>
                <w:rFonts w:ascii="Arial" w:cs="Arial" w:eastAsia="Arial" w:hAnsi="Arial"/>
                <w:sz w:val="22"/>
                <w:szCs w:val="22"/>
                <w:color w:val="auto"/>
                <w:vertAlign w:val="superscript"/>
              </w:rPr>
              <w:t>(15)</w:t>
            </w:r>
          </w:p>
        </w:tc>
        <w:tc>
          <w:tcPr>
            <w:tcW w:w="1080" w:type="dxa"/>
            <w:vAlign w:val="bottom"/>
          </w:tcPr>
          <w:p>
            <w:pPr>
              <w:jc w:val="right"/>
              <w:spacing w:after="0"/>
              <w:rPr>
                <w:sz w:val="20"/>
                <w:szCs w:val="20"/>
                <w:color w:val="auto"/>
              </w:rPr>
            </w:pPr>
            <w:r>
              <w:rPr>
                <w:rFonts w:ascii="Arial" w:cs="Arial" w:eastAsia="Arial" w:hAnsi="Arial"/>
                <w:sz w:val="14"/>
                <w:szCs w:val="14"/>
                <w:color w:val="auto"/>
              </w:rPr>
              <w:t>27,693</w:t>
            </w:r>
            <w:r>
              <w:rPr>
                <w:rFonts w:ascii="Arial" w:cs="Arial" w:eastAsia="Arial" w:hAnsi="Arial"/>
                <w:sz w:val="22"/>
                <w:szCs w:val="22"/>
                <w:color w:val="auto"/>
                <w:vertAlign w:val="superscript"/>
              </w:rPr>
              <w:t>(15)</w:t>
            </w:r>
          </w:p>
        </w:tc>
        <w:tc>
          <w:tcPr>
            <w:tcW w:w="1340" w:type="dxa"/>
            <w:vAlign w:val="bottom"/>
          </w:tcPr>
          <w:p>
            <w:pPr>
              <w:jc w:val="right"/>
              <w:ind w:right="11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5"/>
              <w:spacing w:after="0"/>
              <w:rPr>
                <w:sz w:val="20"/>
                <w:szCs w:val="20"/>
                <w:color w:val="auto"/>
              </w:rPr>
            </w:pPr>
            <w:r>
              <w:rPr>
                <w:rFonts w:ascii="Arial" w:cs="Arial" w:eastAsia="Arial" w:hAnsi="Arial"/>
                <w:sz w:val="14"/>
                <w:szCs w:val="14"/>
                <w:color w:val="auto"/>
              </w:rPr>
              <w:t>50.29</w:t>
            </w: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2/1/2027</w:t>
            </w:r>
          </w:p>
        </w:tc>
        <w:tc>
          <w:tcPr>
            <w:tcW w:w="120" w:type="dxa"/>
            <w:vAlign w:val="bottom"/>
          </w:tcPr>
          <w:p>
            <w:pPr>
              <w:spacing w:after="0"/>
              <w:rPr>
                <w:sz w:val="24"/>
                <w:szCs w:val="24"/>
                <w:color w:val="auto"/>
              </w:rPr>
            </w:pPr>
          </w:p>
        </w:tc>
        <w:tc>
          <w:tcPr>
            <w:tcW w:w="880" w:type="dxa"/>
            <w:vAlign w:val="bottom"/>
          </w:tcPr>
          <w:p>
            <w:pPr>
              <w:jc w:val="right"/>
              <w:ind w:right="135"/>
              <w:spacing w:after="0"/>
              <w:rPr>
                <w:sz w:val="20"/>
                <w:szCs w:val="20"/>
                <w:color w:val="auto"/>
              </w:rPr>
            </w:pPr>
            <w:r>
              <w:rPr>
                <w:rFonts w:ascii="Arial" w:cs="Arial" w:eastAsia="Arial" w:hAnsi="Arial"/>
                <w:sz w:val="14"/>
                <w:szCs w:val="14"/>
                <w:color w:val="auto"/>
                <w:w w:val="95"/>
              </w:rPr>
              <w:t>23,736</w:t>
            </w:r>
            <w:r>
              <w:rPr>
                <w:rFonts w:ascii="Arial" w:cs="Arial" w:eastAsia="Arial" w:hAnsi="Arial"/>
                <w:sz w:val="22"/>
                <w:szCs w:val="22"/>
                <w:color w:val="auto"/>
                <w:w w:val="95"/>
                <w:vertAlign w:val="superscript"/>
              </w:rPr>
              <w:t>(16)</w:t>
            </w:r>
          </w:p>
        </w:tc>
        <w:tc>
          <w:tcPr>
            <w:tcW w:w="940" w:type="dxa"/>
            <w:vAlign w:val="bottom"/>
          </w:tcPr>
          <w:p>
            <w:pPr>
              <w:jc w:val="right"/>
              <w:ind w:right="75"/>
              <w:spacing w:after="0"/>
              <w:rPr>
                <w:sz w:val="20"/>
                <w:szCs w:val="20"/>
                <w:color w:val="auto"/>
              </w:rPr>
            </w:pPr>
            <w:r>
              <w:rPr>
                <w:rFonts w:ascii="Arial" w:cs="Arial" w:eastAsia="Arial" w:hAnsi="Arial"/>
                <w:sz w:val="14"/>
                <w:szCs w:val="14"/>
                <w:color w:val="auto"/>
              </w:rPr>
              <w:t>854,733</w:t>
            </w:r>
          </w:p>
        </w:tc>
        <w:tc>
          <w:tcPr>
            <w:tcW w:w="1040" w:type="dxa"/>
            <w:vAlign w:val="bottom"/>
          </w:tcPr>
          <w:p>
            <w:pPr>
              <w:jc w:val="right"/>
              <w:ind w:right="96"/>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3/1/18</w:t>
            </w: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3"/>
                <w:szCs w:val="13"/>
                <w:color w:val="auto"/>
              </w:rPr>
              <w:t>34,393</w:t>
            </w:r>
            <w:r>
              <w:rPr>
                <w:rFonts w:ascii="Arial" w:cs="Arial" w:eastAsia="Arial" w:hAnsi="Arial"/>
                <w:sz w:val="21"/>
                <w:szCs w:val="21"/>
                <w:color w:val="auto"/>
                <w:vertAlign w:val="superscript"/>
              </w:rPr>
              <w:t>(17)</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1,238,492</w:t>
            </w: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1320" w:type="dxa"/>
            <w:vAlign w:val="bottom"/>
          </w:tcPr>
          <w:p>
            <w:pPr>
              <w:ind w:left="40"/>
              <w:spacing w:after="0"/>
              <w:rPr>
                <w:sz w:val="20"/>
                <w:szCs w:val="20"/>
                <w:color w:val="auto"/>
              </w:rPr>
            </w:pPr>
            <w:r>
              <w:rPr>
                <w:rFonts w:ascii="Arial" w:cs="Arial" w:eastAsia="Arial" w:hAnsi="Arial"/>
                <w:sz w:val="14"/>
                <w:szCs w:val="14"/>
                <w:color w:val="auto"/>
              </w:rPr>
              <w:t>Lisa Nadler</w:t>
            </w:r>
          </w:p>
        </w:tc>
        <w:tc>
          <w:tcPr>
            <w:tcW w:w="760" w:type="dxa"/>
            <w:vAlign w:val="bottom"/>
          </w:tcPr>
          <w:p>
            <w:pPr>
              <w:jc w:val="right"/>
              <w:ind w:right="93"/>
              <w:spacing w:after="0"/>
              <w:rPr>
                <w:sz w:val="20"/>
                <w:szCs w:val="20"/>
                <w:color w:val="auto"/>
              </w:rPr>
            </w:pPr>
            <w:r>
              <w:rPr>
                <w:rFonts w:ascii="Arial" w:cs="Arial" w:eastAsia="Arial" w:hAnsi="Arial"/>
                <w:sz w:val="14"/>
                <w:szCs w:val="14"/>
                <w:color w:val="auto"/>
              </w:rPr>
              <w:t>8/1/17</w:t>
            </w:r>
          </w:p>
        </w:tc>
        <w:tc>
          <w:tcPr>
            <w:tcW w:w="1120" w:type="dxa"/>
            <w:vAlign w:val="bottom"/>
          </w:tcPr>
          <w:p>
            <w:pPr>
              <w:jc w:val="right"/>
              <w:ind w:right="138"/>
              <w:spacing w:after="0"/>
              <w:rPr>
                <w:sz w:val="20"/>
                <w:szCs w:val="20"/>
                <w:color w:val="auto"/>
              </w:rPr>
            </w:pPr>
            <w:r>
              <w:rPr>
                <w:rFonts w:ascii="Arial" w:cs="Arial" w:eastAsia="Arial" w:hAnsi="Arial"/>
                <w:sz w:val="14"/>
                <w:szCs w:val="14"/>
                <w:color w:val="auto"/>
              </w:rPr>
              <w:t>1,582</w:t>
            </w:r>
            <w:r>
              <w:rPr>
                <w:rFonts w:ascii="Arial" w:cs="Arial" w:eastAsia="Arial" w:hAnsi="Arial"/>
                <w:sz w:val="22"/>
                <w:szCs w:val="22"/>
                <w:color w:val="auto"/>
                <w:vertAlign w:val="superscript"/>
              </w:rPr>
              <w:t>(18)</w:t>
            </w:r>
          </w:p>
        </w:tc>
        <w:tc>
          <w:tcPr>
            <w:tcW w:w="1080" w:type="dxa"/>
            <w:vAlign w:val="bottom"/>
          </w:tcPr>
          <w:p>
            <w:pPr>
              <w:jc w:val="right"/>
              <w:spacing w:after="0"/>
              <w:rPr>
                <w:sz w:val="20"/>
                <w:szCs w:val="20"/>
                <w:color w:val="auto"/>
              </w:rPr>
            </w:pPr>
            <w:r>
              <w:rPr>
                <w:rFonts w:ascii="Arial" w:cs="Arial" w:eastAsia="Arial" w:hAnsi="Arial"/>
                <w:sz w:val="14"/>
                <w:szCs w:val="14"/>
                <w:color w:val="auto"/>
              </w:rPr>
              <w:t>4,474</w:t>
            </w:r>
            <w:r>
              <w:rPr>
                <w:rFonts w:ascii="Arial" w:cs="Arial" w:eastAsia="Arial" w:hAnsi="Arial"/>
                <w:sz w:val="22"/>
                <w:szCs w:val="22"/>
                <w:color w:val="auto"/>
                <w:vertAlign w:val="superscript"/>
              </w:rPr>
              <w:t>(18)</w:t>
            </w:r>
          </w:p>
        </w:tc>
        <w:tc>
          <w:tcPr>
            <w:tcW w:w="1340" w:type="dxa"/>
            <w:vAlign w:val="bottom"/>
          </w:tcPr>
          <w:p>
            <w:pPr>
              <w:jc w:val="right"/>
              <w:ind w:right="11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5"/>
              <w:spacing w:after="0"/>
              <w:rPr>
                <w:sz w:val="20"/>
                <w:szCs w:val="20"/>
                <w:color w:val="auto"/>
              </w:rPr>
            </w:pPr>
            <w:r>
              <w:rPr>
                <w:rFonts w:ascii="Arial" w:cs="Arial" w:eastAsia="Arial" w:hAnsi="Arial"/>
                <w:sz w:val="14"/>
                <w:szCs w:val="14"/>
                <w:color w:val="auto"/>
              </w:rPr>
              <w:t>39.53</w:t>
            </w: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8/1/2027</w:t>
            </w:r>
          </w:p>
        </w:tc>
        <w:tc>
          <w:tcPr>
            <w:tcW w:w="120" w:type="dxa"/>
            <w:vAlign w:val="bottom"/>
          </w:tcPr>
          <w:p>
            <w:pPr>
              <w:spacing w:after="0"/>
              <w:rPr>
                <w:sz w:val="24"/>
                <w:szCs w:val="24"/>
                <w:color w:val="auto"/>
              </w:rPr>
            </w:pPr>
          </w:p>
        </w:tc>
        <w:tc>
          <w:tcPr>
            <w:tcW w:w="880" w:type="dxa"/>
            <w:vAlign w:val="bottom"/>
          </w:tcPr>
          <w:p>
            <w:pPr>
              <w:jc w:val="right"/>
              <w:ind w:right="135"/>
              <w:spacing w:after="0"/>
              <w:rPr>
                <w:sz w:val="20"/>
                <w:szCs w:val="20"/>
                <w:color w:val="auto"/>
              </w:rPr>
            </w:pPr>
            <w:r>
              <w:rPr>
                <w:rFonts w:ascii="Arial" w:cs="Arial" w:eastAsia="Arial" w:hAnsi="Arial"/>
                <w:sz w:val="14"/>
                <w:szCs w:val="14"/>
                <w:color w:val="auto"/>
                <w:w w:val="95"/>
              </w:rPr>
              <w:t>17,954</w:t>
            </w:r>
            <w:r>
              <w:rPr>
                <w:rFonts w:ascii="Arial" w:cs="Arial" w:eastAsia="Arial" w:hAnsi="Arial"/>
                <w:sz w:val="22"/>
                <w:szCs w:val="22"/>
                <w:color w:val="auto"/>
                <w:w w:val="95"/>
                <w:vertAlign w:val="superscript"/>
              </w:rPr>
              <w:t>(19)</w:t>
            </w:r>
          </w:p>
        </w:tc>
        <w:tc>
          <w:tcPr>
            <w:tcW w:w="940" w:type="dxa"/>
            <w:vAlign w:val="bottom"/>
          </w:tcPr>
          <w:p>
            <w:pPr>
              <w:jc w:val="right"/>
              <w:ind w:right="75"/>
              <w:spacing w:after="0"/>
              <w:rPr>
                <w:sz w:val="20"/>
                <w:szCs w:val="20"/>
                <w:color w:val="auto"/>
              </w:rPr>
            </w:pPr>
            <w:r>
              <w:rPr>
                <w:rFonts w:ascii="Arial" w:cs="Arial" w:eastAsia="Arial" w:hAnsi="Arial"/>
                <w:sz w:val="14"/>
                <w:szCs w:val="14"/>
                <w:color w:val="auto"/>
              </w:rPr>
              <w:t>646,524</w:t>
            </w:r>
          </w:p>
        </w:tc>
        <w:tc>
          <w:tcPr>
            <w:tcW w:w="1040" w:type="dxa"/>
            <w:vAlign w:val="bottom"/>
          </w:tcPr>
          <w:p>
            <w:pPr>
              <w:jc w:val="right"/>
              <w:ind w:right="96"/>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3/1/18</w:t>
            </w: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3"/>
                <w:szCs w:val="13"/>
                <w:color w:val="auto"/>
              </w:rPr>
              <w:t>27,514</w:t>
            </w:r>
            <w:r>
              <w:rPr>
                <w:rFonts w:ascii="Arial" w:cs="Arial" w:eastAsia="Arial" w:hAnsi="Arial"/>
                <w:sz w:val="21"/>
                <w:szCs w:val="21"/>
                <w:color w:val="auto"/>
                <w:vertAlign w:val="superscript"/>
              </w:rPr>
              <w:t>(20)</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990,779</w:t>
            </w: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Lou Weiss</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4/2/18</w:t>
            </w: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22,312</w:t>
            </w:r>
            <w:r>
              <w:rPr>
                <w:rFonts w:ascii="Arial" w:cs="Arial" w:eastAsia="Arial" w:hAnsi="Arial"/>
                <w:sz w:val="22"/>
                <w:szCs w:val="22"/>
                <w:color w:val="auto"/>
                <w:vertAlign w:val="superscript"/>
              </w:rPr>
              <w:t>(21)</w:t>
            </w: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45.31</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4/2/2028</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5"/>
              </w:rPr>
              <w:t>21,243</w:t>
            </w:r>
            <w:r>
              <w:rPr>
                <w:rFonts w:ascii="Arial" w:cs="Arial" w:eastAsia="Arial" w:hAnsi="Arial"/>
                <w:sz w:val="22"/>
                <w:szCs w:val="22"/>
                <w:color w:val="auto"/>
                <w:w w:val="95"/>
                <w:vertAlign w:val="superscript"/>
              </w:rPr>
              <w:t>(22)</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764,960</w:t>
            </w: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right="260" w:hanging="652"/>
        <w:spacing w:after="0" w:line="247"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 August 2018, each NEO’s outstanding RSU and option awards, as applicable, as well as strike price for such option awards, were adjusted pursuant to the Special Dividend Adjustment. For more information regarding the Special Dividend Adjustment, see “Compensation Discussion and Analysis - Section 3 - Elements of 2018 Compensation - Special Dividend Adjustment” elsewhere in this Proxy Statement. The share numbers and exercise prices, as applicable, reported above reflect the number of shares underlying the awards and exercise prices after taking into account the Special Dividend Adjustment.</w:t>
      </w:r>
    </w:p>
    <w:p>
      <w:pPr>
        <w:spacing w:after="0" w:line="39" w:lineRule="exact"/>
        <w:rPr>
          <w:rFonts w:ascii="Arial" w:cs="Arial" w:eastAsia="Arial" w:hAnsi="Arial"/>
          <w:sz w:val="14"/>
          <w:szCs w:val="14"/>
          <w:color w:val="auto"/>
        </w:rPr>
      </w:pPr>
    </w:p>
    <w:p>
      <w:pPr>
        <w:ind w:left="660" w:hanging="652"/>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Assumes a price per share of our Common Stock of $36.01, which represents the closing price per share of our Common Stock on the NYSE on December 31, 2018.</w:t>
      </w:r>
    </w:p>
    <w:p>
      <w:pPr>
        <w:spacing w:after="0" w:line="55" w:lineRule="exact"/>
        <w:rPr>
          <w:rFonts w:ascii="Arial" w:cs="Arial" w:eastAsia="Arial" w:hAnsi="Arial"/>
          <w:sz w:val="14"/>
          <w:szCs w:val="14"/>
          <w:color w:val="auto"/>
        </w:rPr>
      </w:pPr>
    </w:p>
    <w:p>
      <w:pPr>
        <w:ind w:left="660" w:right="40" w:hanging="652"/>
        <w:spacing w:after="0" w:line="247"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Oringer received a grant of 500,000 stock options on April 24, 2014, which is scheduled to vest in full on the fifth anniversary of the date of grant; provided, however, that the option will not be exercisable, in whole or part, unless and until the average closing price for our Common Stock equals or exceeds $161.88 during any 90 consecutive calendar day period occurring between the five year anniversary of the date of grant and the earlier of Mr. Oringer’s termination of service with the Company or April 23, 2024 (the expiration date of the stock options).</w:t>
      </w:r>
    </w:p>
    <w:p>
      <w:pPr>
        <w:spacing w:after="0" w:line="39" w:lineRule="exact"/>
        <w:rPr>
          <w:rFonts w:ascii="Arial" w:cs="Arial" w:eastAsia="Arial" w:hAnsi="Arial"/>
          <w:sz w:val="14"/>
          <w:szCs w:val="14"/>
          <w:color w:val="auto"/>
        </w:rPr>
      </w:pPr>
    </w:p>
    <w:p>
      <w:pPr>
        <w:ind w:left="660" w:right="40" w:hanging="652"/>
        <w:spacing w:after="0" w:line="247"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Oringer received a grant of 100,000 RSUs on April 24, 2014, which is scheduled to vest upon the satisfaction of both of the following requirements: (x) his continued service until the five year anniversary of the date of grant and (y) the average closing price for the Company’s Common Stock equals or exceeds $161.88 during any 90 consecutive calendar day period occurring between the five year anniversary of the date of grant and the earlier of Mr. Oringer’s termination of service with the Company or April 23, 2024, inclusive.</w:t>
      </w:r>
    </w:p>
    <w:p>
      <w:pPr>
        <w:spacing w:after="0" w:line="39" w:lineRule="exact"/>
        <w:rPr>
          <w:rFonts w:ascii="Arial" w:cs="Arial" w:eastAsia="Arial" w:hAnsi="Arial"/>
          <w:sz w:val="14"/>
          <w:szCs w:val="14"/>
          <w:color w:val="auto"/>
        </w:rPr>
      </w:pPr>
    </w:p>
    <w:p>
      <w:pPr>
        <w:ind w:left="660" w:hanging="652"/>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option is scheduled to vest in four equal annual installments beginning March 1, 2017.</w:t>
      </w:r>
    </w:p>
    <w:p>
      <w:pPr>
        <w:spacing w:after="0" w:line="55" w:lineRule="exact"/>
        <w:rPr>
          <w:rFonts w:ascii="Arial" w:cs="Arial" w:eastAsia="Arial" w:hAnsi="Arial"/>
          <w:sz w:val="14"/>
          <w:szCs w:val="14"/>
          <w:color w:val="auto"/>
        </w:rPr>
      </w:pPr>
    </w:p>
    <w:p>
      <w:pPr>
        <w:ind w:left="660" w:right="280" w:hanging="652"/>
        <w:spacing w:after="0" w:line="258"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 connection with his prior service on our Board, Mr. Berns’ beneficially owns 2,102 RSUs that are vested as of December 31, 2018 but will not settle until Mr. Berns’ separation of service from the Company.</w:t>
      </w:r>
    </w:p>
    <w:p>
      <w:pPr>
        <w:spacing w:after="0" w:line="32" w:lineRule="exact"/>
        <w:rPr>
          <w:rFonts w:ascii="Arial" w:cs="Arial" w:eastAsia="Arial" w:hAnsi="Arial"/>
          <w:sz w:val="14"/>
          <w:szCs w:val="14"/>
          <w:color w:val="auto"/>
        </w:rPr>
      </w:pPr>
    </w:p>
    <w:p>
      <w:pPr>
        <w:ind w:left="660" w:hanging="652"/>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option is scheduled to vest in four equal annual installments beginning October 1, 2016.</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RSU is scheduled to vest in four equal annual installments beginning October 1, 2016.</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option is scheduled to vest in four equal annual installments beginning March 1, 2017.</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RSU is scheduled to vest in four equal annual installments beginning March 1, 2017.</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option is scheduled to vest in four equal annual installments beginning March 1,2018.</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RSU is scheduled to vest in four equal annual installments beginning March 1, 2018.</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RSU is scheduled to vest in four equal annual installments beginning March 1, 2019.</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Brodbeck resigned from the Company in March 2019. Upon termination of his employment, Mr. Brodbeck forfeited all unvested equity.</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option was scheduled to vest in four equal annual installments beginning February 1, 2018.</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RSU was scheduled to vest in four equal annual installments beginning February 1, 2018.</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71"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This RSU was scheduled to vest in four equal annual installments beginning March 1, 2019.</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This option is scheduled to vest in four equal annual installments beginning August 1, 2018.</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RSU is scheduled to vest in four equal annual installments beginning August 1, 2018.</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This RSU was scheduled to vest in four equal annual installments beginning March 1, 2019.</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This option is scheduled to vest in four equal annual installments beginning April 2, 2019.</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RSU is scheduled to vest in four equal annual installments beginning April 2, 2019.</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125" w:right="1440"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Option Exercises and Stock Vested in 2018</w:t>
      </w:r>
    </w:p>
    <w:p>
      <w:pPr>
        <w:spacing w:after="0" w:line="15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presents information concerning each exercise of stock options and vesting of stock awards during fiscal 2018 for each of our named executive officers.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Option Awards</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auto"/>
            </w:tcBorders>
            <w:gridSpan w:val="3"/>
          </w:tcPr>
          <w:p>
            <w:pPr>
              <w:jc w:val="right"/>
              <w:ind w:right="1177"/>
              <w:spacing w:after="0"/>
              <w:rPr>
                <w:sz w:val="20"/>
                <w:szCs w:val="20"/>
                <w:color w:val="auto"/>
              </w:rPr>
            </w:pPr>
            <w:r>
              <w:rPr>
                <w:rFonts w:ascii="Arial" w:cs="Arial" w:eastAsia="Arial" w:hAnsi="Arial"/>
                <w:sz w:val="14"/>
                <w:szCs w:val="14"/>
                <w:b w:val="1"/>
                <w:bCs w:val="1"/>
                <w:color w:val="auto"/>
              </w:rPr>
              <w:t>Stock Awards</w:t>
            </w:r>
          </w:p>
        </w:tc>
      </w:tr>
      <w:tr>
        <w:trPr>
          <w:trHeight w:val="175"/>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left="268"/>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820" w:type="dxa"/>
            <w:vAlign w:val="bottom"/>
          </w:tcPr>
          <w:p>
            <w:pPr>
              <w:spacing w:after="0"/>
              <w:rPr>
                <w:sz w:val="15"/>
                <w:szCs w:val="15"/>
                <w:color w:val="auto"/>
              </w:rPr>
            </w:pPr>
          </w:p>
        </w:tc>
      </w:tr>
      <w:tr>
        <w:trPr>
          <w:trHeight w:val="162"/>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left="268"/>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820" w:type="dxa"/>
            <w:vAlign w:val="bottom"/>
          </w:tcPr>
          <w:p>
            <w:pPr>
              <w:spacing w:after="0"/>
              <w:rPr>
                <w:sz w:val="14"/>
                <w:szCs w:val="14"/>
                <w:color w:val="auto"/>
              </w:rPr>
            </w:pPr>
          </w:p>
        </w:tc>
      </w:tr>
      <w:tr>
        <w:trPr>
          <w:trHeight w:val="162"/>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left="248"/>
              <w:spacing w:after="0"/>
              <w:rPr>
                <w:sz w:val="20"/>
                <w:szCs w:val="20"/>
                <w:color w:val="auto"/>
              </w:rPr>
            </w:pPr>
            <w:r>
              <w:rPr>
                <w:rFonts w:ascii="Arial" w:cs="Arial" w:eastAsia="Arial" w:hAnsi="Arial"/>
                <w:sz w:val="14"/>
                <w:szCs w:val="14"/>
                <w:b w:val="1"/>
                <w:bCs w:val="1"/>
                <w:color w:val="auto"/>
              </w:rPr>
              <w:t>Acquired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left="268"/>
              <w:spacing w:after="0"/>
              <w:rPr>
                <w:sz w:val="20"/>
                <w:szCs w:val="20"/>
                <w:color w:val="auto"/>
              </w:rPr>
            </w:pPr>
            <w:r>
              <w:rPr>
                <w:rFonts w:ascii="Arial" w:cs="Arial" w:eastAsia="Arial" w:hAnsi="Arial"/>
                <w:sz w:val="14"/>
                <w:szCs w:val="14"/>
                <w:b w:val="1"/>
                <w:bCs w:val="1"/>
                <w:color w:val="auto"/>
              </w:rPr>
              <w:t>Value Realized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Acquired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Value Realized</w:t>
            </w:r>
          </w:p>
        </w:tc>
      </w:tr>
      <w:tr>
        <w:trPr>
          <w:trHeight w:val="162"/>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left="248"/>
              <w:spacing w:after="0"/>
              <w:rPr>
                <w:sz w:val="20"/>
                <w:szCs w:val="20"/>
                <w:color w:val="auto"/>
              </w:rPr>
            </w:pPr>
            <w:r>
              <w:rPr>
                <w:rFonts w:ascii="Arial" w:cs="Arial" w:eastAsia="Arial" w:hAnsi="Arial"/>
                <w:sz w:val="14"/>
                <w:szCs w:val="14"/>
                <w:b w:val="1"/>
                <w:bCs w:val="1"/>
                <w:color w:val="auto"/>
              </w:rPr>
              <w:t>on Exercise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left="268"/>
              <w:spacing w:after="0"/>
              <w:rPr>
                <w:sz w:val="20"/>
                <w:szCs w:val="20"/>
                <w:color w:val="auto"/>
              </w:rPr>
            </w:pPr>
            <w:r>
              <w:rPr>
                <w:rFonts w:ascii="Arial" w:cs="Arial" w:eastAsia="Arial" w:hAnsi="Arial"/>
                <w:sz w:val="14"/>
                <w:szCs w:val="14"/>
                <w:b w:val="1"/>
                <w:bCs w:val="1"/>
                <w:color w:val="auto"/>
              </w:rPr>
              <w:t>on Exercise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on Vesting</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on Vesting</w:t>
            </w:r>
          </w:p>
        </w:tc>
      </w:tr>
      <w:tr>
        <w:trPr>
          <w:trHeight w:val="202"/>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t>
            </w:r>
            <w:r>
              <w:rPr>
                <w:rFonts w:ascii="Arial" w:cs="Arial" w:eastAsia="Arial" w:hAnsi="Arial"/>
                <w:sz w:val="17"/>
                <w:szCs w:val="17"/>
                <w:b w:val="1"/>
                <w:bCs w:val="1"/>
                <w:color w:val="auto"/>
                <w:w w:val="96"/>
                <w:vertAlign w:val="superscript"/>
              </w:rPr>
              <w:t>(2)</w:t>
            </w:r>
          </w:p>
        </w:tc>
      </w:tr>
      <w:tr>
        <w:trPr>
          <w:trHeight w:val="244"/>
        </w:trPr>
        <w:tc>
          <w:tcPr>
            <w:tcW w:w="4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Jonathan Oringer</w:t>
            </w:r>
          </w:p>
        </w:tc>
        <w:tc>
          <w:tcPr>
            <w:tcW w:w="11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r>
      <w:tr>
        <w:trPr>
          <w:trHeight w:val="270"/>
        </w:trPr>
        <w:tc>
          <w:tcPr>
            <w:tcW w:w="4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Steven Berns</w:t>
            </w:r>
          </w:p>
        </w:tc>
        <w:tc>
          <w:tcPr>
            <w:tcW w:w="11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18,049</w:t>
            </w:r>
            <w:r>
              <w:rPr>
                <w:rFonts w:ascii="Arial" w:cs="Arial" w:eastAsia="Arial" w:hAnsi="Arial"/>
                <w:sz w:val="21"/>
                <w:szCs w:val="21"/>
                <w:color w:val="auto"/>
                <w:vertAlign w:val="superscript"/>
              </w:rPr>
              <w:t>(3)</w:t>
            </w:r>
          </w:p>
        </w:tc>
        <w:tc>
          <w:tcPr>
            <w:tcW w:w="1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946,098</w:t>
            </w:r>
          </w:p>
        </w:tc>
      </w:tr>
      <w:tr>
        <w:trPr>
          <w:trHeight w:val="264"/>
        </w:trPr>
        <w:tc>
          <w:tcPr>
            <w:tcW w:w="4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Martin Brodbeck</w:t>
            </w:r>
          </w:p>
        </w:tc>
        <w:tc>
          <w:tcPr>
            <w:tcW w:w="11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7,500</w:t>
            </w:r>
            <w:r>
              <w:rPr>
                <w:rFonts w:ascii="Arial" w:cs="Arial" w:eastAsia="Arial" w:hAnsi="Arial"/>
                <w:sz w:val="21"/>
                <w:szCs w:val="21"/>
                <w:color w:val="auto"/>
                <w:vertAlign w:val="superscript"/>
              </w:rPr>
              <w:t>(4)</w:t>
            </w: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333,900</w:t>
            </w:r>
          </w:p>
        </w:tc>
      </w:tr>
      <w:tr>
        <w:trPr>
          <w:trHeight w:val="264"/>
        </w:trPr>
        <w:tc>
          <w:tcPr>
            <w:tcW w:w="4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Lisa Nadler</w:t>
            </w:r>
          </w:p>
        </w:tc>
        <w:tc>
          <w:tcPr>
            <w:tcW w:w="11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5,672</w:t>
            </w:r>
            <w:r>
              <w:rPr>
                <w:rFonts w:ascii="Arial" w:cs="Arial" w:eastAsia="Arial" w:hAnsi="Arial"/>
                <w:sz w:val="21"/>
                <w:szCs w:val="21"/>
                <w:color w:val="auto"/>
                <w:vertAlign w:val="superscript"/>
              </w:rPr>
              <w:t>(5)</w:t>
            </w: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276,000</w:t>
            </w:r>
          </w:p>
        </w:tc>
      </w:tr>
      <w:tr>
        <w:trPr>
          <w:trHeight w:val="250"/>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Lou Weiss</w:t>
            </w:r>
          </w:p>
        </w:tc>
        <w:tc>
          <w:tcPr>
            <w:tcW w:w="1180" w:type="dxa"/>
            <w:vAlign w:val="bottom"/>
          </w:tcPr>
          <w:p>
            <w:pPr>
              <w:spacing w:after="0"/>
              <w:rPr>
                <w:sz w:val="21"/>
                <w:szCs w:val="21"/>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7"/>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034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9" w:lineRule="exact"/>
        <w:rPr>
          <w:sz w:val="20"/>
          <w:szCs w:val="20"/>
          <w:color w:val="auto"/>
        </w:rPr>
      </w:pPr>
    </w:p>
    <w:p>
      <w:pPr>
        <w:ind w:left="340" w:right="100" w:hanging="332"/>
        <w:spacing w:after="0" w:line="260"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value realized on exercise represents the difference between the market value of our Common Stock at the time the applicable option was exercised and the exercise price of the option.</w:t>
      </w:r>
    </w:p>
    <w:p>
      <w:pPr>
        <w:spacing w:after="0" w:line="33" w:lineRule="exact"/>
        <w:rPr>
          <w:rFonts w:ascii="Arial" w:cs="Arial" w:eastAsia="Arial" w:hAnsi="Arial"/>
          <w:sz w:val="16"/>
          <w:szCs w:val="16"/>
          <w:color w:val="auto"/>
        </w:rPr>
      </w:pPr>
    </w:p>
    <w:p>
      <w:pPr>
        <w:ind w:left="340" w:right="380" w:hanging="332"/>
        <w:spacing w:after="0" w:line="260"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Value realized was calculated by multiplying the number of shares that vested by the per share closing price of the Company’s Common Stock on the vesting date. The values do not include the payment of taxes by the NEOs.</w:t>
      </w:r>
    </w:p>
    <w:p>
      <w:pPr>
        <w:spacing w:after="0" w:line="33"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After shares were withheld by the Company to satisfy tax withholding obligations that arose upon the vesting of Mr. Berns’ restricted stock units, Mr. Berns’ received 11,027 shares.</w:t>
      </w:r>
    </w:p>
    <w:p>
      <w:pPr>
        <w:spacing w:after="0" w:line="33"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After shares were withheld by the Company to satisfy tax withholding obligations that arose upon the vesting of Mr. Brodbeck’s restricted stock units, Mr. Brodbeck received 4,813 shares.</w:t>
      </w:r>
    </w:p>
    <w:p>
      <w:pPr>
        <w:spacing w:after="0" w:line="33" w:lineRule="exact"/>
        <w:rPr>
          <w:rFonts w:ascii="Arial" w:cs="Arial" w:eastAsia="Arial" w:hAnsi="Arial"/>
          <w:sz w:val="16"/>
          <w:szCs w:val="16"/>
          <w:color w:val="auto"/>
        </w:rPr>
      </w:pPr>
    </w:p>
    <w:p>
      <w:pPr>
        <w:ind w:left="340" w:right="280" w:hanging="332"/>
        <w:spacing w:after="0" w:line="260"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After shares were withheld by the Company to satisfy tax withholding obligations that arose upon the vesting of Ms. Nadler’s restricted stock units, Ms. Nadler received 3,745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Pot</w:t>
      </w:r>
      <w:r>
        <w:rPr>
          <w:rFonts w:ascii="Arial" w:cs="Arial" w:eastAsia="Arial" w:hAnsi="Arial"/>
          <w:sz w:val="22"/>
          <w:szCs w:val="22"/>
          <w:b w:val="1"/>
          <w:bCs w:val="1"/>
          <w:color w:val="EE2724"/>
        </w:rPr>
        <w:t>ential Payments Upon Termination or Change in Control</w:t>
      </w:r>
    </w:p>
    <w:p>
      <w:pPr>
        <w:spacing w:after="0" w:line="23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tables below reflect the amount of compensation that would have been owed to each of our NEOs in the event of employment termination or a termination upon a change of control on December 31, 2018.</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additional information, see “Employment Agreements and Compensatory Arrangements” above for a more detailed description of potential payments and benefits to our named executive officers upon termination and/or a change of control.</w:t>
      </w:r>
    </w:p>
    <w:p>
      <w:pPr>
        <w:spacing w:after="0" w:line="19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Regardless of the reason for a named executive officer’s termination of employment, he or she may be entitled to receive amounts earned during the term of employment. Such amounts include, through the date of termination:</w:t>
      </w:r>
    </w:p>
    <w:p>
      <w:pPr>
        <w:spacing w:after="0" w:line="196" w:lineRule="exact"/>
        <w:rPr>
          <w:sz w:val="20"/>
          <w:szCs w:val="20"/>
          <w:color w:val="auto"/>
        </w:rPr>
      </w:pPr>
    </w:p>
    <w:p>
      <w:pPr>
        <w:ind w:left="1300" w:hanging="320"/>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earned but unpaid salary;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benefits;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unreimbursed business expenses; and</w:t>
      </w:r>
    </w:p>
    <w:p>
      <w:pPr>
        <w:spacing w:after="0" w:line="117" w:lineRule="exact"/>
        <w:rPr>
          <w:rFonts w:ascii="Arial" w:cs="Arial" w:eastAsia="Arial" w:hAnsi="Arial"/>
          <w:sz w:val="18"/>
          <w:szCs w:val="18"/>
          <w:color w:val="auto"/>
        </w:rPr>
      </w:pPr>
    </w:p>
    <w:p>
      <w:pPr>
        <w:ind w:left="660" w:right="4320" w:firstLine="320"/>
        <w:spacing w:after="0" w:line="424" w:lineRule="auto"/>
        <w:tabs>
          <w:tab w:leader="none" w:pos="1308"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ability to exercise vested stock options for a limited period of time. The amounts in the table below were calculated using the following assumptions:</w:t>
      </w:r>
    </w:p>
    <w:p>
      <w:pPr>
        <w:spacing w:after="0" w:line="65" w:lineRule="exact"/>
        <w:rPr>
          <w:rFonts w:ascii="Arial" w:cs="Arial" w:eastAsia="Arial" w:hAnsi="Arial"/>
          <w:sz w:val="17"/>
          <w:szCs w:val="17"/>
          <w:color w:val="auto"/>
        </w:rPr>
      </w:pPr>
    </w:p>
    <w:p>
      <w:pPr>
        <w:ind w:left="1300" w:right="240" w:hanging="320"/>
        <w:spacing w:after="0" w:line="262"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tables do not include the value of vested but unexercised stock options and vested restricted stock units as of December 31, 2018; and</w:t>
      </w:r>
    </w:p>
    <w:p>
      <w:pPr>
        <w:spacing w:after="0" w:line="88" w:lineRule="exact"/>
        <w:rPr>
          <w:rFonts w:ascii="Arial" w:cs="Arial" w:eastAsia="Arial" w:hAnsi="Arial"/>
          <w:sz w:val="18"/>
          <w:szCs w:val="18"/>
          <w:color w:val="auto"/>
        </w:rPr>
      </w:pPr>
    </w:p>
    <w:p>
      <w:pPr>
        <w:ind w:left="1300" w:right="320" w:hanging="320"/>
        <w:spacing w:after="0" w:line="262"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benefit continuation expense was calculated using the Company’s costs for medical, dental, and life insurance coverage for each named executive officer as in effect on January 1, 2019, except where otherwise specified.</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Because the payments to be made to the named executive officers depend on several factors, the actual amounts to be paid out upon a named executive officer’s termination of employment can be determined only at the time of his or her actual separation from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Continued</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Participation in</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Cash</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Acceleration</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Medical &amp;</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 of Executive</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Severance</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Pro-Rata Bonus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Equity</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Dental Benefit</w:t>
            </w: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Outplacement</w:t>
            </w:r>
          </w:p>
        </w:tc>
        <w:tc>
          <w:tcPr>
            <w:tcW w:w="1140" w:type="dxa"/>
            <w:vAlign w:val="bottom"/>
          </w:tcPr>
          <w:p>
            <w:pPr>
              <w:spacing w:after="0"/>
              <w:rPr>
                <w:sz w:val="14"/>
                <w:szCs w:val="14"/>
                <w:color w:val="auto"/>
              </w:rPr>
            </w:pPr>
          </w:p>
        </w:tc>
      </w:tr>
      <w:tr>
        <w:trPr>
          <w:trHeight w:val="20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Cause of Termination</w:t>
            </w:r>
          </w:p>
        </w:tc>
        <w:tc>
          <w:tcPr>
            <w:tcW w:w="14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Payment ($)</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Awards ($)</w:t>
            </w:r>
            <w:r>
              <w:rPr>
                <w:rFonts w:ascii="Arial" w:cs="Arial" w:eastAsia="Arial" w:hAnsi="Arial"/>
                <w:sz w:val="17"/>
                <w:szCs w:val="17"/>
                <w:b w:val="1"/>
                <w:bCs w:val="1"/>
                <w:color w:val="auto"/>
                <w:w w:val="98"/>
                <w:vertAlign w:val="superscript"/>
              </w:rPr>
              <w:t>(2)</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Benefits ($)</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 ($)</w:t>
            </w:r>
          </w:p>
        </w:tc>
      </w:tr>
      <w:tr>
        <w:trPr>
          <w:trHeight w:val="238"/>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Jonathan Oringer</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2"/>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17"/>
                <w:szCs w:val="17"/>
                <w:color w:val="auto"/>
                <w:vertAlign w:val="superscript"/>
              </w:rPr>
              <w:t>(3)</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4,004,525</w:t>
            </w:r>
          </w:p>
        </w:tc>
        <w:tc>
          <w:tcPr>
            <w:tcW w:w="100" w:type="dxa"/>
            <w:vAlign w:val="bottom"/>
          </w:tcPr>
          <w:p>
            <w:pPr>
              <w:spacing w:after="0"/>
              <w:rPr>
                <w:sz w:val="24"/>
                <w:szCs w:val="24"/>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17,593</w:t>
            </w:r>
          </w:p>
        </w:tc>
        <w:tc>
          <w:tcPr>
            <w:tcW w:w="100" w:type="dxa"/>
            <w:vAlign w:val="bottom"/>
          </w:tcPr>
          <w:p>
            <w:pPr>
              <w:spacing w:after="0"/>
              <w:rPr>
                <w:sz w:val="24"/>
                <w:szCs w:val="2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4,027,118</w:t>
            </w:r>
          </w:p>
        </w:tc>
      </w:tr>
      <w:tr>
        <w:trPr>
          <w:trHeight w:val="218"/>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Termination by Company without “cause”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201,761</w:t>
            </w:r>
          </w:p>
        </w:tc>
        <w:tc>
          <w:tcPr>
            <w:tcW w:w="1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17,593</w:t>
            </w:r>
          </w:p>
        </w:tc>
        <w:tc>
          <w:tcPr>
            <w:tcW w:w="100" w:type="dxa"/>
            <w:vAlign w:val="bottom"/>
          </w:tcPr>
          <w:p>
            <w:pPr>
              <w:spacing w:after="0"/>
              <w:rPr>
                <w:sz w:val="18"/>
                <w:szCs w:val="18"/>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224,354</w:t>
            </w:r>
          </w:p>
        </w:tc>
      </w:tr>
      <w:tr>
        <w:trPr>
          <w:trHeight w:val="276"/>
        </w:trPr>
        <w:tc>
          <w:tcPr>
            <w:tcW w:w="3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Death or disability</w:t>
            </w: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Steven Berns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1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17"/>
                <w:szCs w:val="17"/>
                <w:color w:val="auto"/>
                <w:vertAlign w:val="superscript"/>
              </w:rPr>
              <w:t>(3)</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480,000</w:t>
            </w:r>
          </w:p>
        </w:tc>
        <w:tc>
          <w:tcPr>
            <w:tcW w:w="120" w:type="dxa"/>
            <w:vAlign w:val="bottom"/>
          </w:tcPr>
          <w:p>
            <w:pPr>
              <w:spacing w:after="0"/>
              <w:rPr>
                <w:sz w:val="24"/>
                <w:szCs w:val="2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2,599,117</w:t>
            </w:r>
          </w:p>
        </w:tc>
        <w:tc>
          <w:tcPr>
            <w:tcW w:w="100" w:type="dxa"/>
            <w:vAlign w:val="bottom"/>
          </w:tcPr>
          <w:p>
            <w:pPr>
              <w:spacing w:after="0"/>
              <w:rPr>
                <w:sz w:val="24"/>
                <w:szCs w:val="24"/>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23,934</w:t>
            </w:r>
          </w:p>
        </w:tc>
        <w:tc>
          <w:tcPr>
            <w:tcW w:w="100" w:type="dxa"/>
            <w:vAlign w:val="bottom"/>
          </w:tcPr>
          <w:p>
            <w:pPr>
              <w:spacing w:after="0"/>
              <w:rPr>
                <w:sz w:val="24"/>
                <w:szCs w:val="2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3,708,051</w:t>
            </w:r>
          </w:p>
        </w:tc>
      </w:tr>
      <w:tr>
        <w:trPr>
          <w:trHeight w:val="162"/>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Termination by Company without “cause”/by</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employee for “good reason”</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480,000</w:t>
            </w:r>
          </w:p>
        </w:tc>
        <w:tc>
          <w:tcPr>
            <w:tcW w:w="120" w:type="dxa"/>
            <w:vAlign w:val="bottom"/>
          </w:tcPr>
          <w:p>
            <w:pPr>
              <w:spacing w:after="0"/>
              <w:rPr>
                <w:sz w:val="14"/>
                <w:szCs w:val="1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1,210,589</w:t>
            </w:r>
          </w:p>
        </w:tc>
        <w:tc>
          <w:tcPr>
            <w:tcW w:w="100" w:type="dxa"/>
            <w:vAlign w:val="bottom"/>
          </w:tcPr>
          <w:p>
            <w:pPr>
              <w:spacing w:after="0"/>
              <w:rPr>
                <w:sz w:val="14"/>
                <w:szCs w:val="14"/>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23,934</w:t>
            </w:r>
          </w:p>
        </w:tc>
        <w:tc>
          <w:tcPr>
            <w:tcW w:w="10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2,319,523</w:t>
            </w:r>
          </w:p>
        </w:tc>
      </w:tr>
      <w:tr>
        <w:trPr>
          <w:trHeight w:val="276"/>
        </w:trPr>
        <w:tc>
          <w:tcPr>
            <w:tcW w:w="3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Death or disability</w:t>
            </w: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Martin Brodbeck</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22"/>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17"/>
                <w:szCs w:val="17"/>
                <w:color w:val="auto"/>
                <w:vertAlign w:val="superscript"/>
              </w:rPr>
              <w:t>(3)</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24"/>
                <w:szCs w:val="2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297,263</w:t>
            </w:r>
          </w:p>
        </w:tc>
        <w:tc>
          <w:tcPr>
            <w:tcW w:w="100" w:type="dxa"/>
            <w:vAlign w:val="bottom"/>
          </w:tcPr>
          <w:p>
            <w:pPr>
              <w:spacing w:after="0"/>
              <w:rPr>
                <w:sz w:val="24"/>
                <w:szCs w:val="24"/>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13,361</w:t>
            </w:r>
          </w:p>
        </w:tc>
        <w:tc>
          <w:tcPr>
            <w:tcW w:w="10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810,624</w:t>
            </w:r>
          </w:p>
        </w:tc>
      </w:tr>
      <w:tr>
        <w:trPr>
          <w:trHeight w:val="218"/>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Termination by Company without “cause”</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297,263</w:t>
            </w:r>
          </w:p>
        </w:tc>
        <w:tc>
          <w:tcPr>
            <w:tcW w:w="1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13,361</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810,624</w:t>
            </w:r>
          </w:p>
        </w:tc>
      </w:tr>
      <w:tr>
        <w:trPr>
          <w:trHeight w:val="276"/>
        </w:trPr>
        <w:tc>
          <w:tcPr>
            <w:tcW w:w="3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Death or disability</w:t>
            </w: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Lisa Nadler</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22"/>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17"/>
                <w:szCs w:val="17"/>
                <w:color w:val="auto"/>
                <w:vertAlign w:val="superscript"/>
              </w:rPr>
              <w:t>(3)</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24"/>
                <w:szCs w:val="2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231,580</w:t>
            </w:r>
          </w:p>
        </w:tc>
        <w:tc>
          <w:tcPr>
            <w:tcW w:w="100" w:type="dxa"/>
            <w:vAlign w:val="bottom"/>
          </w:tcPr>
          <w:p>
            <w:pPr>
              <w:spacing w:after="0"/>
              <w:rPr>
                <w:sz w:val="24"/>
                <w:szCs w:val="24"/>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12,413</w:t>
            </w:r>
          </w:p>
        </w:tc>
        <w:tc>
          <w:tcPr>
            <w:tcW w:w="10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743,993</w:t>
            </w:r>
          </w:p>
        </w:tc>
      </w:tr>
      <w:tr>
        <w:trPr>
          <w:trHeight w:val="218"/>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Termination by Company without “cause”</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231,580</w:t>
            </w:r>
          </w:p>
        </w:tc>
        <w:tc>
          <w:tcPr>
            <w:tcW w:w="1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12,413</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743,993</w:t>
            </w:r>
          </w:p>
        </w:tc>
      </w:tr>
      <w:tr>
        <w:trPr>
          <w:trHeight w:val="276"/>
        </w:trPr>
        <w:tc>
          <w:tcPr>
            <w:tcW w:w="3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Death or disability</w:t>
            </w: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Lou Weiss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22"/>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17"/>
                <w:szCs w:val="17"/>
                <w:color w:val="auto"/>
                <w:vertAlign w:val="superscript"/>
              </w:rPr>
              <w:t>(3)</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225,000</w:t>
            </w:r>
          </w:p>
        </w:tc>
        <w:tc>
          <w:tcPr>
            <w:tcW w:w="1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225,000</w:t>
            </w:r>
          </w:p>
        </w:tc>
        <w:tc>
          <w:tcPr>
            <w:tcW w:w="120" w:type="dxa"/>
            <w:vAlign w:val="bottom"/>
          </w:tcPr>
          <w:p>
            <w:pPr>
              <w:spacing w:after="0"/>
              <w:rPr>
                <w:sz w:val="24"/>
                <w:szCs w:val="2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95,607</w:t>
            </w:r>
          </w:p>
        </w:tc>
        <w:tc>
          <w:tcPr>
            <w:tcW w:w="100" w:type="dxa"/>
            <w:vAlign w:val="bottom"/>
          </w:tcPr>
          <w:p>
            <w:pPr>
              <w:spacing w:after="0"/>
              <w:rPr>
                <w:sz w:val="24"/>
                <w:szCs w:val="24"/>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13,086</w:t>
            </w:r>
          </w:p>
        </w:tc>
        <w:tc>
          <w:tcPr>
            <w:tcW w:w="10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558,693</w:t>
            </w:r>
          </w:p>
        </w:tc>
      </w:tr>
      <w:tr>
        <w:trPr>
          <w:trHeight w:val="218"/>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Termination by Company without “cause”</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225,000</w:t>
            </w:r>
          </w:p>
        </w:tc>
        <w:tc>
          <w:tcPr>
            <w:tcW w:w="12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190,479</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13,086</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428,565</w:t>
            </w:r>
          </w:p>
        </w:tc>
      </w:tr>
      <w:tr>
        <w:trPr>
          <w:trHeight w:val="276"/>
        </w:trPr>
        <w:tc>
          <w:tcPr>
            <w:tcW w:w="3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Death or disability</w:t>
            </w: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bl>
    <w:p>
      <w:pPr>
        <w:spacing w:after="0" w:line="164" w:lineRule="exact"/>
        <w:rPr>
          <w:sz w:val="20"/>
          <w:szCs w:val="20"/>
          <w:color w:val="auto"/>
        </w:rPr>
      </w:pPr>
    </w:p>
    <w:p>
      <w:pPr>
        <w:ind w:left="340" w:right="20" w:hanging="332"/>
        <w:spacing w:after="0" w:line="248"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Aside from Mr. Oringer, each NEO's employment agreement provides for a pro rata bonus for the year of termination, other than a termination in connection with a change in control, if performance targets are met and bonuses are paid to similarly situated executives, with such bonuses to be paid at the time such other bonuses are paid. Mr. Oringer's Severance and CiC Agreement provides for a bonus payment equal to 100% of his target for the year of termination, Mr. Berns, Mr. Brodbeck, Ms. Nadler and Mr. Weiss's employment agreements provide for a bonus payment equal to 100% of each of their targets for the year of termination in connection with a change in control. With respect to Mr. Weiss, as the termination event is assumed to occur on December 31, 2018, the amounts reflected in the "Pro-Rata Bonus" column for a termination other than in connection with a change in control reflect 100% of the pro-rata target bonus for Mr. Weiss’ partial year of service.</w:t>
      </w:r>
    </w:p>
    <w:p>
      <w:pPr>
        <w:spacing w:after="0" w:line="46" w:lineRule="exact"/>
        <w:rPr>
          <w:rFonts w:ascii="Arial" w:cs="Arial" w:eastAsia="Arial" w:hAnsi="Arial"/>
          <w:sz w:val="16"/>
          <w:szCs w:val="16"/>
          <w:color w:val="auto"/>
        </w:rPr>
      </w:pPr>
    </w:p>
    <w:p>
      <w:pPr>
        <w:ind w:left="340" w:right="60" w:hanging="332"/>
        <w:spacing w:after="0" w:line="250"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the value of unvested equity awards, based on the closing market price of our common stock of $36.01 per share on December 31, 2018, that would vest on an accelerated basis upon the occurrence of certain events. For Mr. Oringer, includes acceleration of vesting for performance-based RSUs assuming target performance was achieved on the assumed date of termination on December 31, 2018 and does not include any amount for acceleration of vesting of performance-based stock options because the exercise price of such stock options was greater than the closing market price of our Common Stock on December 31, 2018.</w:t>
      </w:r>
    </w:p>
    <w:p>
      <w:pPr>
        <w:spacing w:after="0" w:line="41" w:lineRule="exact"/>
        <w:rPr>
          <w:rFonts w:ascii="Arial" w:cs="Arial" w:eastAsia="Arial" w:hAnsi="Arial"/>
          <w:sz w:val="16"/>
          <w:szCs w:val="16"/>
          <w:color w:val="auto"/>
        </w:rPr>
      </w:pPr>
    </w:p>
    <w:p>
      <w:pPr>
        <w:ind w:left="340" w:right="180" w:hanging="332"/>
        <w:spacing w:after="0" w:line="260"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change in control severance benefits based on a double-trigger arrangement, which assumes a “change in control” of the Company followed by the termination by the Company of an NEO without “cause” or by the NEO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2160"/>
        <w:spacing w:after="0"/>
        <w:rPr>
          <w:sz w:val="20"/>
          <w:szCs w:val="20"/>
          <w:color w:val="auto"/>
        </w:rPr>
      </w:pPr>
      <w:r>
        <w:rPr>
          <w:rFonts w:ascii="Arial" w:cs="Arial" w:eastAsia="Arial" w:hAnsi="Arial"/>
          <w:sz w:val="25"/>
          <w:szCs w:val="25"/>
          <w:b w:val="1"/>
          <w:bCs w:val="1"/>
          <w:color w:val="EE2724"/>
        </w:rPr>
        <w:t>CERTAIN RELATIONSHIPS AND RELATED TRANSACTIONS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Review, Approval or Ratification of Related Person Transactions</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Audit Committee is responsible for the review, approval, or ratification of “related person transactions” between the Company or its subsidiaries and related persons. Under SEC rules, a related person is a director, nominee for director or executive officer since the beginning of the last fiscal year, or a more than five percent stockholder, and their immediate family members. These transactions may include employment or consulting relationships with a related person or contracts under which we receive goods or services from (or provide goods and services to) a related person or a company for which the related person is an employee or otherwise affiliated. The Board has adopted written policies and procedures that apply to any transaction or series of transactions in which we or one of our subsidiaries is a participant and a related person has a direct or indirect material interest. Generally for a transaction to be approved, the Audit Committee must be informed or have knowledge of (i) the related person’s relationship to the Company and interest in the transaction; (ii) the material facts of the proposed transaction, including a description of the nature and potential aggregate value of the proposed transaction; (iii) the benefits, if any, to the Company of the proposed transaction; (iv) if applicable, the availability of other sources of comparable products or services; and (v) an assessment of whether the proposed transaction or situation is on terms that are comparable to the terms available to an unrelated third party or to employees generally.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Transactions with Related Persons</w:t>
      </w:r>
    </w:p>
    <w:p>
      <w:pPr>
        <w:spacing w:after="0" w:line="23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Since January 1, 2018, there has not been, nor is there currently proposed, any transaction or series of similar transactions to which we have been or will be a party and in which:</w:t>
      </w:r>
    </w:p>
    <w:p>
      <w:pPr>
        <w:spacing w:after="0" w:line="196" w:lineRule="exact"/>
        <w:rPr>
          <w:sz w:val="20"/>
          <w:szCs w:val="20"/>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25" w:lineRule="exact"/>
        <w:rPr>
          <w:rFonts w:ascii="Arial" w:cs="Arial" w:eastAsia="Arial" w:hAnsi="Arial"/>
          <w:sz w:val="18"/>
          <w:szCs w:val="18"/>
          <w:color w:val="auto"/>
        </w:rPr>
      </w:pPr>
    </w:p>
    <w:p>
      <w:pPr>
        <w:ind w:left="980" w:right="360" w:hanging="324"/>
        <w:spacing w:after="0" w:line="262"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director, nominee for director, executive officer, beneficial holder of more than 5% of our capital stock or any member of their immediate family had or will have a direct or indirect material interest.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Indemnification of our Directors and Officers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Charter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(1) any breach of the director’s duty of loyalty to us or our stockholders; (2) any act or omission not in good faith or that involves intentional misconduct or a knowing violation of law; (3) unlawful payments of dividends or unlawful stock repurchases or redemptions as provided in Section 174 of the Delaware General Corporation Law; or (4) any transaction from which the director derived an improper personal benefit.</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Charter and Bylaws provide that we are required to indemnify our directors and officers, in each case to the fullest extent permitted by Delaware law. Our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into agreements to indemnify our directors, executive officers and other employees as determined by our Board.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125"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0000"/>
        </w:rPr>
        <w:t>PROPOSAL THREE</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0000"/>
        </w:rPr>
        <w:t>RATIFICATION OF THE APPOINTMENT OF OUR INDEPENDENT REGISTERED PUBLIC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0000"/>
        </w:rPr>
        <w:t>ACCOUNTING FIRM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Selection of the Accounting Firm</w:t>
      </w:r>
    </w:p>
    <w:p>
      <w:pPr>
        <w:spacing w:after="0" w:line="19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Audit Committee has appointed PricewaterhouseCoopers LLP (“PricewaterhouseCoopers”) as our independent registered public accounting firm to perform the audit of our financial statements for fiscal 2019, and we are asking our stockholders to ratify this appointment. PricewaterhouseCoopers has been our independent registered public accounting firm since September 2011.</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The Audit Committee also reviews the performance of the independent registered public accounting firm annually.</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matter of good corporate governance, the Board, upon recommendation of the Audit Committee, has determined to submit to stockholders for ratification the appointment of PricewaterhouseCoopers. In the event that a majority of the shares of Common Stock represented by proxy or by attending the meeting at the 2019 Annual Meeting and entitled to vote on Proposal Three does not ratify this appointment of PricewaterhouseCoopers, the Audit Committee may reconsider the appointment of PricewaterhouseCoopers.</w:t>
      </w:r>
    </w:p>
    <w:p>
      <w:pPr>
        <w:spacing w:after="0" w:line="1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expect that a representative of PricewaterhouseCoopers will be present at the 2019 Annual Meeting and will have an opportunity to make a statement if he or she desires and will be available to respond to appropriate questions.</w:t>
      </w:r>
    </w:p>
    <w:p>
      <w:pPr>
        <w:spacing w:after="0" w:line="97" w:lineRule="exact"/>
        <w:rPr>
          <w:sz w:val="20"/>
          <w:szCs w:val="20"/>
          <w:color w:val="auto"/>
        </w:rPr>
      </w:pPr>
    </w:p>
    <w:p>
      <w:pPr>
        <w:jc w:val="center"/>
        <w:spacing w:after="0" w:line="258" w:lineRule="auto"/>
        <w:rPr>
          <w:sz w:val="20"/>
          <w:szCs w:val="20"/>
          <w:color w:val="auto"/>
        </w:rPr>
      </w:pPr>
      <w:r>
        <w:rPr>
          <w:rFonts w:ascii="Arial" w:cs="Arial" w:eastAsia="Arial" w:hAnsi="Arial"/>
          <w:sz w:val="22"/>
          <w:szCs w:val="22"/>
          <w:b w:val="1"/>
          <w:bCs w:val="1"/>
          <w:color w:val="EE2724"/>
        </w:rPr>
        <w:t>OUR BOARD UNANIMOUSLY RECOMMENDS A VOTE “FOR” THE RATIFICATION OF PRICEWATERHOUSECOOPERS LLP AS OUR INDEPENDENT REGISTERED PUBLIC ACCOUNTING FIRM FOR FISCAL 2019.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980"/>
        <w:spacing w:after="0" w:line="274" w:lineRule="auto"/>
        <w:rPr>
          <w:sz w:val="20"/>
          <w:szCs w:val="20"/>
          <w:color w:val="auto"/>
        </w:rPr>
      </w:pPr>
      <w:r>
        <w:rPr>
          <w:rFonts w:ascii="Arial" w:cs="Arial" w:eastAsia="Arial" w:hAnsi="Arial"/>
          <w:sz w:val="22"/>
          <w:szCs w:val="22"/>
          <w:b w:val="1"/>
          <w:bCs w:val="1"/>
          <w:color w:val="EE2724"/>
        </w:rPr>
        <w:t>Policy on Audit Committee Pre-Approval of Audit and Permissible Non-Audit Services of Independent Registered Public Accounting Firm</w:t>
      </w:r>
    </w:p>
    <w:p>
      <w:pPr>
        <w:spacing w:after="0" w:line="21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Audit Committee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Notwithstanding the foregoing, pre-approval is not required with respect to the provision of services, other than audit, review or attest services, by the independent registered public accounting firm if the aggregate amount of all such services is no more than 5% of the total amount paid by us to the independent auditor during the fiscal year in which the services are provided, such services were not recognized by us at the time of the engagement to be non-audit services and such services are promptly brought to the attention of the Audit Committee and approved prior to completion of the audit by the Audit Committee or by the Chairman of the Audit Committee.</w:t>
      </w:r>
    </w:p>
    <w:p>
      <w:pPr>
        <w:spacing w:after="0" w:line="2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From time to time, our Audit Committee may pre-approve services that are expected to be provided to us by the independent registered public accounting firm during the following twelve months. At the time such pre-approval is granted, the Audit Committee must identify the particular pre-approved services in a sufficient level of detail so that our management will not be called upon to make a judgment as to whether a proposed service fits within the pre-approved services and, at each regularly scheduled meeting of the Audit Committee following such approval, management or the independent registered public accounting firm shall report to the Audit Committee regarding each service actually provided to us pursuant to such pre-approval.</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1" w:name="page62"/>
    <w:bookmarkEnd w:id="61"/>
    <w:p>
      <w:pPr>
        <w:ind w:right="180"/>
        <w:spacing w:after="0" w:line="256" w:lineRule="auto"/>
        <w:rPr>
          <w:sz w:val="20"/>
          <w:szCs w:val="20"/>
          <w:color w:val="auto"/>
        </w:rPr>
      </w:pPr>
      <w:r>
        <w:rPr>
          <w:rFonts w:ascii="Arial" w:cs="Arial" w:eastAsia="Arial" w:hAnsi="Arial"/>
          <w:sz w:val="18"/>
          <w:szCs w:val="18"/>
          <w:color w:val="auto"/>
        </w:rPr>
        <w:t>The Audit Committee has delegated to its chairman the authority to grant pre-approvals of audit or non-audit services to be provided by the independent registered public accounting firm. Any approval of services by the chairman of the Audit Committee is reported to the Audit Committee at its next regularly scheduled meeting.</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EE2724"/>
        </w:rPr>
        <w:t>Principal Accountant Fees and Services</w:t>
      </w:r>
    </w:p>
    <w:p>
      <w:pPr>
        <w:spacing w:after="0" w:line="197"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following is a summary of the fees billed to us by PricewaterhouseCoopers for professional services rendered for the fiscal years ended December 31, 2018 and December 31, 2017:</w:t>
      </w:r>
    </w:p>
    <w:p>
      <w:pPr>
        <w:spacing w:after="0" w:line="306"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Fiscal</w:t>
            </w:r>
          </w:p>
        </w:tc>
        <w:tc>
          <w:tcPr>
            <w:tcW w:w="380" w:type="dxa"/>
            <w:vAlign w:val="bottom"/>
          </w:tcPr>
          <w:p>
            <w:pPr>
              <w:spacing w:after="0"/>
              <w:rPr>
                <w:sz w:val="15"/>
                <w:szCs w:val="15"/>
                <w:color w:val="auto"/>
              </w:rPr>
            </w:pPr>
          </w:p>
        </w:tc>
        <w:tc>
          <w:tcPr>
            <w:tcW w:w="1340" w:type="dxa"/>
            <w:vAlign w:val="bottom"/>
          </w:tcPr>
          <w:p>
            <w:pPr>
              <w:jc w:val="right"/>
              <w:ind w:right="575"/>
              <w:spacing w:after="0"/>
              <w:rPr>
                <w:sz w:val="20"/>
                <w:szCs w:val="20"/>
                <w:color w:val="auto"/>
              </w:rPr>
            </w:pPr>
            <w:r>
              <w:rPr>
                <w:rFonts w:ascii="Arial" w:cs="Arial" w:eastAsia="Arial" w:hAnsi="Arial"/>
                <w:sz w:val="14"/>
                <w:szCs w:val="14"/>
                <w:b w:val="1"/>
                <w:bCs w:val="1"/>
                <w:color w:val="auto"/>
              </w:rPr>
              <w:t>Fiscal</w:t>
            </w:r>
          </w:p>
        </w:tc>
      </w:tr>
      <w:tr>
        <w:trPr>
          <w:trHeight w:val="21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Fee Category</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2017</w:t>
            </w:r>
          </w:p>
        </w:tc>
      </w:tr>
      <w:tr>
        <w:trPr>
          <w:trHeight w:val="25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2,476,000</w:t>
            </w:r>
          </w:p>
        </w:tc>
      </w:tr>
      <w:tr>
        <w:trPr>
          <w:trHeight w:val="263"/>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Audit-Related Fees</w:t>
            </w:r>
          </w:p>
        </w:tc>
        <w:tc>
          <w:tcPr>
            <w:tcW w:w="4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381,708</w:t>
            </w:r>
          </w:p>
        </w:tc>
      </w:tr>
      <w:tr>
        <w:trPr>
          <w:trHeight w:val="26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 Other Fees</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r>
      <w:tr>
        <w:trPr>
          <w:trHeight w:val="257"/>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Fees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2,910,598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2,861,578</w:t>
            </w:r>
          </w:p>
        </w:tc>
      </w:tr>
    </w:tbl>
    <w:p>
      <w:pPr>
        <w:spacing w:after="0" w:line="197"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annual audit of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presented in our annual report on Form 10-K, review of the interim consolidated financial statements presented in our quarterly reports on Form 10-Q, and services that PricewaterhouseCoopers normally provides in connection with statutory and regulatory filings or engagements.</w:t>
      </w:r>
    </w:p>
    <w:p>
      <w:pPr>
        <w:spacing w:after="0" w:line="140" w:lineRule="exact"/>
        <w:rPr>
          <w:sz w:val="20"/>
          <w:szCs w:val="20"/>
          <w:color w:val="auto"/>
        </w:rPr>
      </w:pPr>
    </w:p>
    <w:p>
      <w:pPr>
        <w:ind w:right="1400" w:firstLine="648"/>
        <w:spacing w:after="0" w:line="282"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For the years ended December 31, 2018 and December 31, 2017, there were no fees billed by</w:t>
      </w:r>
      <w:r>
        <w:rPr>
          <w:rFonts w:ascii="Arial" w:cs="Arial" w:eastAsia="Arial" w:hAnsi="Arial"/>
          <w:sz w:val="18"/>
          <w:szCs w:val="18"/>
          <w:i w:val="1"/>
          <w:iCs w:val="1"/>
          <w:color w:val="auto"/>
        </w:rPr>
        <w:t xml:space="preserve"> </w:t>
      </w:r>
      <w:r>
        <w:rPr>
          <w:rFonts w:ascii="Arial" w:cs="Arial" w:eastAsia="Arial" w:hAnsi="Arial"/>
          <w:sz w:val="18"/>
          <w:szCs w:val="18"/>
          <w:color w:val="auto"/>
        </w:rPr>
        <w:t>PricewaterhouseCoopers for audit-related services.</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for the years ended December 31, 2018 and December 31, 2017 include fees billed by PricewaterhouseCoopers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tax compliance services.</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For the years ended December 31, 2018 and December 31, 2017, all other fees consisted of fees related to a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research software product.</w:t>
      </w:r>
    </w:p>
    <w:p>
      <w:pPr>
        <w:spacing w:after="0" w:line="180"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The Audit Committee determined that PricewaterhouseCoopers’s provision of these services, and the fees that we paid for these services, are compatible with maintaining the independence of the independent registered public accounting firm. The Audit Committee approved all services that PricewaterhouseCoopers provided in the fiscal years ended December 31, 2018 and 2017.</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382" w:right="4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EE2724"/>
        </w:rPr>
        <w:t>AUDIT COMMITTEE REPORT</w:t>
      </w:r>
    </w:p>
    <w:p>
      <w:pPr>
        <w:spacing w:after="0" w:line="25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Audit Committee consists of the three directors whose names appear below. Each member of the Audit Committee meets the definition of “independent director” and otherwise is qualified to be a member of the Audit Committee under the NYSE listing requirements.</w:t>
      </w:r>
    </w:p>
    <w:p>
      <w:pPr>
        <w:spacing w:after="0" w:line="19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Audit Committee’s general role is to assist the Board in monitoring the Company’s financial reporting process and related matters. Its specific responsibilities are set forth in its charter. The Audit Committee reviews its charter at least annually.</w:t>
      </w:r>
    </w:p>
    <w:p>
      <w:pPr>
        <w:spacing w:after="0" w:line="19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As required by its charter, the Audit Committee reviewed the Company’s audited financial statements for the fiscal year ended December 31, 2018, or fiscal 2018, and met with management, as well as with representatives of PricewaterhouseCoopers, the Company’s independent registered public accounting firm, to discuss the audited financial statements. The Audit Committee also discussed with members of PricewaterhouseCoopers the matters required to be discussed by the Statement on Auditing Standards 16, </w:t>
      </w:r>
      <w:r>
        <w:rPr>
          <w:rFonts w:ascii="Arial" w:cs="Arial" w:eastAsia="Arial" w:hAnsi="Arial"/>
          <w:sz w:val="18"/>
          <w:szCs w:val="18"/>
          <w:i w:val="1"/>
          <w:iCs w:val="1"/>
          <w:color w:val="auto"/>
        </w:rPr>
        <w:t>Communication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as adopted by the Public Company Accounting Oversight Board, or PCAOB.</w:t>
      </w:r>
    </w:p>
    <w:p>
      <w:pPr>
        <w:spacing w:after="0" w:line="20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addition, the Audit Committee received the written disclosures and letter from PricewaterhouseCoopers required by the applicable requirements of the PCAOB regarding PricewaterhouseCoopers’s communications with the Audit Committee concerning independence and discussed with members of PricewaterhouseCoopers its independence from management and the Company.</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in connection with the standards for independence promulgated by the SEC, the Audit Committee reviewed the services provided by PricewaterhouseCoopers, the fees the Company paid for these services, and whether the provision of the services is compatible with maintaining the independence of the independent registered public accounting firm. The Audit Committee deemed that the provision of the services is compatible with maintaining that independence.</w:t>
      </w:r>
    </w:p>
    <w:p>
      <w:pPr>
        <w:spacing w:after="0" w:line="20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Based on the review and discussions described above, the Audit Committee recommended to the Board that the Company’s audited financial statements for fiscal 2018 be included in the Company’s Annual Report on Form 10-K for the fiscal year ended December 31, 2018.</w:t>
      </w: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Members of the Shutterstock, Inc. Audit Committee</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Jeff Epstein </w:t>
      </w:r>
      <w:r>
        <w:rPr>
          <w:rFonts w:ascii="Arial" w:cs="Arial" w:eastAsia="Arial" w:hAnsi="Arial"/>
          <w:sz w:val="18"/>
          <w:szCs w:val="18"/>
          <w:i w:val="1"/>
          <w:iCs w:val="1"/>
          <w:color w:val="auto"/>
        </w:rPr>
        <w:t>(Chairman)</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Thomas R. Evans</w:t>
      </w:r>
    </w:p>
    <w:p>
      <w:pPr>
        <w:ind w:left="5540"/>
        <w:spacing w:after="0"/>
        <w:rPr>
          <w:sz w:val="20"/>
          <w:szCs w:val="20"/>
          <w:color w:val="auto"/>
        </w:rPr>
      </w:pPr>
      <w:r>
        <w:rPr>
          <w:rFonts w:ascii="Arial" w:cs="Arial" w:eastAsia="Arial" w:hAnsi="Arial"/>
          <w:sz w:val="18"/>
          <w:szCs w:val="18"/>
          <w:color w:val="auto"/>
        </w:rPr>
        <w:t>Paul J. Hennessy</w:t>
      </w:r>
    </w:p>
    <w:p>
      <w:pPr>
        <w:spacing w:after="0" w:line="1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Audit Committee report above does not constitute “soliciting material” and will not be deemed “filed” or incorporated by reference into any of our filings under the Securities Act or the Exchange Act that might incorporate our SEC filings by reference, in whole or in part, notwithstanding anything to the contrary set forth in those filings.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7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EE2724"/>
        </w:rPr>
        <w:t>EQUITY COMPENSATION PLAN INFORMATION</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provides information as of December 31, 2018 about the securities authorized for issuance under our Amended and Restated 2012 Plan and our 2012 Employee Stock Purchase Plan (the “2012 ESPP”). Each of the Amended and Restated 2012 Plan and the 2012 ESPP was adopted with the approval of our stockholders. In December 2016, the Board determined to suspend the 2012 ESPP unless and until the Board deems it is appropriate, in its sole discretion, to reinstate the plan.</w:t>
      </w:r>
    </w:p>
    <w:p>
      <w:pPr>
        <w:spacing w:after="0" w:line="354" w:lineRule="exact"/>
        <w:rPr>
          <w:sz w:val="20"/>
          <w:szCs w:val="20"/>
          <w:color w:val="auto"/>
        </w:rPr>
      </w:pPr>
    </w:p>
    <w:tbl>
      <w:tblPr>
        <w:tblLayout w:type="fixed"/>
        <w:tblInd w:w="110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securities to be</w:t>
            </w: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issued upon</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exercise of</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issuance under equity</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 price of</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warrants and</w:t>
            </w: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outstanding options,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rights</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warrants and rights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28"/>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approved by</w:t>
            </w:r>
          </w:p>
        </w:tc>
        <w:tc>
          <w:tcPr>
            <w:tcW w:w="1360" w:type="dxa"/>
            <w:vAlign w:val="bottom"/>
            <w:vMerge w:val="restart"/>
          </w:tcPr>
          <w:p>
            <w:pPr>
              <w:jc w:val="right"/>
              <w:ind w:right="2"/>
              <w:spacing w:after="0"/>
              <w:rPr>
                <w:sz w:val="20"/>
                <w:szCs w:val="20"/>
                <w:color w:val="auto"/>
              </w:rPr>
            </w:pPr>
            <w:r>
              <w:rPr>
                <w:rFonts w:ascii="Arial" w:cs="Arial" w:eastAsia="Arial" w:hAnsi="Arial"/>
                <w:sz w:val="18"/>
                <w:szCs w:val="18"/>
                <w:color w:val="auto"/>
              </w:rPr>
              <w:t>2,189,780</w:t>
            </w:r>
            <w:r>
              <w:rPr>
                <w:rFonts w:ascii="Arial" w:cs="Arial" w:eastAsia="Arial" w:hAnsi="Arial"/>
                <w:sz w:val="21"/>
                <w:szCs w:val="21"/>
                <w:color w:val="auto"/>
                <w:vertAlign w:val="superscript"/>
              </w:rPr>
              <w:t>(1)</w:t>
            </w:r>
          </w:p>
        </w:tc>
        <w:tc>
          <w:tcPr>
            <w:tcW w:w="120" w:type="dxa"/>
            <w:vAlign w:val="bottom"/>
          </w:tcPr>
          <w:p>
            <w:pPr>
              <w:spacing w:after="0"/>
              <w:rPr>
                <w:sz w:val="19"/>
                <w:szCs w:val="19"/>
                <w:color w:val="auto"/>
              </w:rPr>
            </w:pPr>
          </w:p>
        </w:tc>
        <w:tc>
          <w:tcPr>
            <w:tcW w:w="1740" w:type="dxa"/>
            <w:vAlign w:val="bottom"/>
            <w:vMerge w:val="restart"/>
          </w:tcPr>
          <w:p>
            <w:pPr>
              <w:jc w:val="right"/>
              <w:ind w:right="20"/>
              <w:spacing w:after="0"/>
              <w:rPr>
                <w:sz w:val="20"/>
                <w:szCs w:val="20"/>
                <w:color w:val="auto"/>
              </w:rPr>
            </w:pPr>
            <w:r>
              <w:rPr>
                <w:rFonts w:ascii="Arial" w:cs="Arial" w:eastAsia="Arial" w:hAnsi="Arial"/>
                <w:sz w:val="18"/>
                <w:szCs w:val="18"/>
                <w:color w:val="auto"/>
              </w:rPr>
              <w:t>54.46</w:t>
            </w:r>
            <w:r>
              <w:rPr>
                <w:rFonts w:ascii="Arial" w:cs="Arial" w:eastAsia="Arial" w:hAnsi="Arial"/>
                <w:sz w:val="21"/>
                <w:szCs w:val="21"/>
                <w:color w:val="auto"/>
                <w:vertAlign w:val="superscript"/>
              </w:rPr>
              <w:t>(2)</w:t>
            </w:r>
          </w:p>
        </w:tc>
        <w:tc>
          <w:tcPr>
            <w:tcW w:w="100" w:type="dxa"/>
            <w:vAlign w:val="bottom"/>
          </w:tcPr>
          <w:p>
            <w:pPr>
              <w:spacing w:after="0"/>
              <w:rPr>
                <w:sz w:val="19"/>
                <w:szCs w:val="19"/>
                <w:color w:val="auto"/>
              </w:rPr>
            </w:pPr>
          </w:p>
        </w:tc>
        <w:tc>
          <w:tcPr>
            <w:tcW w:w="2300" w:type="dxa"/>
            <w:vAlign w:val="bottom"/>
            <w:vMerge w:val="restart"/>
          </w:tcPr>
          <w:p>
            <w:pPr>
              <w:jc w:val="right"/>
              <w:ind w:right="1"/>
              <w:spacing w:after="0"/>
              <w:rPr>
                <w:sz w:val="20"/>
                <w:szCs w:val="20"/>
                <w:color w:val="auto"/>
              </w:rPr>
            </w:pPr>
            <w:r>
              <w:rPr>
                <w:rFonts w:ascii="Arial" w:cs="Arial" w:eastAsia="Arial" w:hAnsi="Arial"/>
                <w:sz w:val="18"/>
                <w:szCs w:val="18"/>
                <w:color w:val="auto"/>
              </w:rPr>
              <w:t>13,376,656</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57"/>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security holders</w:t>
            </w:r>
          </w:p>
        </w:tc>
        <w:tc>
          <w:tcPr>
            <w:tcW w:w="13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compensation plans not approved</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security holders</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3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6"/>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ind w:right="2"/>
              <w:spacing w:after="0"/>
              <w:rPr>
                <w:sz w:val="20"/>
                <w:szCs w:val="20"/>
                <w:color w:val="auto"/>
              </w:rPr>
            </w:pPr>
            <w:r>
              <w:rPr>
                <w:rFonts w:ascii="Arial" w:cs="Arial" w:eastAsia="Arial" w:hAnsi="Arial"/>
                <w:sz w:val="18"/>
                <w:szCs w:val="18"/>
                <w:color w:val="auto"/>
              </w:rPr>
              <w:t>2,189,780</w:t>
            </w:r>
            <w:r>
              <w:rPr>
                <w:rFonts w:ascii="Arial" w:cs="Arial" w:eastAsia="Arial" w:hAnsi="Arial"/>
                <w:sz w:val="21"/>
                <w:szCs w:val="21"/>
                <w:color w:val="auto"/>
                <w:vertAlign w:val="superscript"/>
              </w:rPr>
              <w:t>(1)</w:t>
            </w:r>
          </w:p>
        </w:tc>
        <w:tc>
          <w:tcPr>
            <w:tcW w:w="120" w:type="dxa"/>
            <w:vAlign w:val="bottom"/>
          </w:tcPr>
          <w:p>
            <w:pPr>
              <w:spacing w:after="0"/>
              <w:rPr>
                <w:sz w:val="24"/>
                <w:szCs w:val="24"/>
                <w:color w:val="auto"/>
              </w:rPr>
            </w:pPr>
          </w:p>
        </w:tc>
        <w:tc>
          <w:tcPr>
            <w:tcW w:w="1740" w:type="dxa"/>
            <w:vAlign w:val="bottom"/>
          </w:tcPr>
          <w:p>
            <w:pPr>
              <w:jc w:val="right"/>
              <w:ind w:right="20"/>
              <w:spacing w:after="0"/>
              <w:rPr>
                <w:sz w:val="20"/>
                <w:szCs w:val="20"/>
                <w:color w:val="auto"/>
              </w:rPr>
            </w:pPr>
            <w:r>
              <w:rPr>
                <w:rFonts w:ascii="Arial" w:cs="Arial" w:eastAsia="Arial" w:hAnsi="Arial"/>
                <w:sz w:val="18"/>
                <w:szCs w:val="18"/>
                <w:color w:val="auto"/>
              </w:rPr>
              <w:t>54.46</w:t>
            </w:r>
            <w:r>
              <w:rPr>
                <w:rFonts w:ascii="Arial" w:cs="Arial" w:eastAsia="Arial" w:hAnsi="Arial"/>
                <w:sz w:val="21"/>
                <w:szCs w:val="21"/>
                <w:color w:val="auto"/>
                <w:vertAlign w:val="superscript"/>
              </w:rPr>
              <w:t>(2)</w:t>
            </w:r>
          </w:p>
        </w:tc>
        <w:tc>
          <w:tcPr>
            <w:tcW w:w="100" w:type="dxa"/>
            <w:vAlign w:val="bottom"/>
          </w:tcPr>
          <w:p>
            <w:pPr>
              <w:spacing w:after="0"/>
              <w:rPr>
                <w:sz w:val="24"/>
                <w:szCs w:val="24"/>
                <w:color w:val="auto"/>
              </w:rPr>
            </w:pPr>
          </w:p>
        </w:tc>
        <w:tc>
          <w:tcPr>
            <w:tcW w:w="2300" w:type="dxa"/>
            <w:vAlign w:val="bottom"/>
          </w:tcPr>
          <w:p>
            <w:pPr>
              <w:jc w:val="right"/>
              <w:ind w:right="1"/>
              <w:spacing w:after="0"/>
              <w:rPr>
                <w:sz w:val="20"/>
                <w:szCs w:val="20"/>
                <w:color w:val="auto"/>
              </w:rPr>
            </w:pPr>
            <w:r>
              <w:rPr>
                <w:rFonts w:ascii="Arial" w:cs="Arial" w:eastAsia="Arial" w:hAnsi="Arial"/>
                <w:sz w:val="18"/>
                <w:szCs w:val="18"/>
                <w:color w:val="auto"/>
              </w:rPr>
              <w:t>13,376,656</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8890</wp:posOffset>
            </wp:positionV>
            <wp:extent cx="35674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2" w:lineRule="exact"/>
        <w:rPr>
          <w:sz w:val="20"/>
          <w:szCs w:val="20"/>
          <w:color w:val="auto"/>
        </w:rPr>
      </w:pPr>
    </w:p>
    <w:p>
      <w:pPr>
        <w:ind w:left="1120" w:right="1040" w:firstLine="2"/>
        <w:spacing w:after="0" w:line="253" w:lineRule="auto"/>
        <w:tabs>
          <w:tab w:leader="none" w:pos="1363"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1,126,455 shares of our Common Stock to be issued upon the exercise of outstanding stock options under the Amended and Restated 2012 Plan and 1,036,325 shares of our Common Stock to be issued upon the vesting of RSUs granted under the 2012 Stock Plan.</w:t>
      </w:r>
    </w:p>
    <w:p>
      <w:pPr>
        <w:spacing w:after="0" w:line="201" w:lineRule="exact"/>
        <w:rPr>
          <w:rFonts w:ascii="Arial" w:cs="Arial" w:eastAsia="Arial" w:hAnsi="Arial"/>
          <w:sz w:val="16"/>
          <w:szCs w:val="16"/>
          <w:color w:val="auto"/>
        </w:rPr>
      </w:pPr>
    </w:p>
    <w:p>
      <w:pPr>
        <w:ind w:left="1120" w:right="1140" w:firstLine="2"/>
        <w:spacing w:after="0" w:line="260" w:lineRule="auto"/>
        <w:tabs>
          <w:tab w:leader="none" w:pos="1363" w:val="left"/>
        </w:tabs>
        <w:numPr>
          <w:ilvl w:val="0"/>
          <w:numId w:val="87"/>
        </w:numPr>
        <w:rPr>
          <w:rFonts w:ascii="Arial" w:cs="Arial" w:eastAsia="Arial" w:hAnsi="Arial"/>
          <w:sz w:val="16"/>
          <w:szCs w:val="16"/>
          <w:color w:val="auto"/>
        </w:rPr>
      </w:pPr>
      <w:r>
        <w:rPr>
          <w:rFonts w:ascii="Arial" w:cs="Arial" w:eastAsia="Arial" w:hAnsi="Arial"/>
          <w:sz w:val="16"/>
          <w:szCs w:val="16"/>
          <w:color w:val="auto"/>
        </w:rPr>
        <w:t>Weighted-average exercise price relates to outstanding stock options. RSUs are deemed to have an exercise price of zero and are excluded from the calculation.</w:t>
      </w:r>
    </w:p>
    <w:p>
      <w:pPr>
        <w:spacing w:after="0" w:line="195" w:lineRule="exact"/>
        <w:rPr>
          <w:rFonts w:ascii="Arial" w:cs="Arial" w:eastAsia="Arial" w:hAnsi="Arial"/>
          <w:sz w:val="16"/>
          <w:szCs w:val="16"/>
          <w:color w:val="auto"/>
        </w:rPr>
      </w:pPr>
    </w:p>
    <w:p>
      <w:pPr>
        <w:ind w:left="1120" w:right="1100" w:firstLine="2"/>
        <w:spacing w:after="0" w:line="248" w:lineRule="auto"/>
        <w:tabs>
          <w:tab w:leader="none" w:pos="1363"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number of shares available for issuance under the Amended and Restated 2012 Plan will increase automatically annually commencing January 1, 2013 by an amount equal to the lesser of 1,500,000 shares of Common Stock, 3% of the outstanding shares of Common Stock as of the last day of the immediately preceding fiscal year, or such other amount as determined by the Board. On January 1, 2018, the shares available for issuance under the Amended and Restated 2012 Plan increased by 1,041,360 shares. The number of shares available for issuance under the 2012 ESPP will increase automatically each year commencing January 1, 2013 by an amount equal to the lesser of 1,000,000 shares of Common Stock, 3% of the outstanding shares of our Common Stock as of the last day of the immediately preceding fiscal year, or such other amount as determined by the Company’s board of directors. On January 1, 2016, the shares available for issuance under the 2012 ESPP increased by 1,000,000 shares. Since December 2016, the Company has not increased the number of shares available for issuance under the 2012 ESPP in accordance with the Board’s determination to suspend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60"/>
          </w:cols>
          <w:pgMar w:left="240" w:top="125" w:right="3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EE2724"/>
        </w:rPr>
        <w:t>OTHER MATTERS</w:t>
      </w:r>
    </w:p>
    <w:p>
      <w:pPr>
        <w:spacing w:after="0" w:line="25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knows of no other matters that will be presented for consideration at the 2019 Annual Meeting. If any other matters are properly brought before the meeting, it is the intention of the persons named in the accompanying proxy to vote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1191895" cy="4629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918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Heidi Garfield</w:t>
      </w:r>
    </w:p>
    <w:p>
      <w:pPr>
        <w:ind w:left="5420"/>
        <w:spacing w:after="0"/>
        <w:rPr>
          <w:sz w:val="20"/>
          <w:szCs w:val="20"/>
          <w:color w:val="auto"/>
        </w:rPr>
      </w:pPr>
      <w:r>
        <w:rPr>
          <w:rFonts w:ascii="Arial" w:cs="Arial" w:eastAsia="Arial" w:hAnsi="Arial"/>
          <w:sz w:val="18"/>
          <w:szCs w:val="18"/>
          <w:i w:val="1"/>
          <w:iCs w:val="1"/>
          <w:color w:val="auto"/>
        </w:rPr>
        <w:t>Vice President, General Counsel and Corporate Secretary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184150</wp:posOffset>
            </wp:positionV>
            <wp:extent cx="5848985" cy="75723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88900</wp:posOffset>
            </wp:positionV>
            <wp:extent cx="5848985" cy="7546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o"/>
      <w:numFmt w:val="bullet"/>
      <w:start w:val="1"/>
    </w:lvl>
  </w:abstractNum>
  <w:abstractNum w:abstractNumId="1">
    <w:nsid w:val="2CD89A32"/>
    <w:multiLevelType w:val="hybridMultilevel"/>
    <w:lvl w:ilvl="0">
      <w:lvlJc w:val="left"/>
      <w:lvlText w:val="x"/>
      <w:numFmt w:val="bullet"/>
      <w:start w:val="1"/>
    </w:lvl>
  </w:abstractNum>
  <w:abstractNum w:abstractNumId="2">
    <w:nsid w:val="57E4CCAF"/>
    <w:multiLevelType w:val="hybridMultilevel"/>
    <w:lvl w:ilvl="0">
      <w:lvlJc w:val="left"/>
      <w:lvlText w:val="o"/>
      <w:numFmt w:val="bullet"/>
      <w:start w:val="1"/>
    </w:lvl>
  </w:abstractNum>
  <w:abstractNum w:abstractNumId="3">
    <w:nsid w:val="7A6D8D3C"/>
    <w:multiLevelType w:val="hybridMultilevel"/>
    <w:lvl w:ilvl="0">
      <w:lvlJc w:val="left"/>
      <w:lvlText w:val="x"/>
      <w:numFmt w:val="bullet"/>
      <w:start w:val="1"/>
    </w:lvl>
  </w:abstractNum>
  <w:abstractNum w:abstractNumId="4">
    <w:nsid w:val="4B588F54"/>
    <w:multiLevelType w:val="hybridMultilevel"/>
    <w:lvl w:ilvl="0">
      <w:lvlJc w:val="left"/>
      <w:lvlText w:val="o"/>
      <w:numFmt w:val="bullet"/>
      <w:start w:val="1"/>
    </w:lvl>
    <w:lvl w:ilvl="1">
      <w:lvlJc w:val="left"/>
      <w:lvlText w:val="(%2)"/>
      <w:numFmt w:val="decimal"/>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2"/>
    </w:lvl>
  </w:abstractNum>
  <w:abstractNum w:abstractNumId="7">
    <w:nsid w:val="38437FDB"/>
    <w:multiLevelType w:val="hybridMultilevel"/>
    <w:lvl w:ilvl="0">
      <w:lvlJc w:val="left"/>
      <w:lvlText w:val="%1."/>
      <w:numFmt w:val="decimal"/>
      <w:start w:val="2"/>
    </w:lvl>
    <w:lvl w:ilvl="1">
      <w:lvlJc w:val="left"/>
      <w:lvlText w:val="•"/>
      <w:numFmt w:val="bullet"/>
      <w:start w:val="1"/>
    </w:lvl>
  </w:abstractNum>
  <w:abstractNum w:abstractNumId="8">
    <w:nsid w:val="7644A45C"/>
    <w:multiLevelType w:val="hybridMultilevel"/>
    <w:lvl w:ilvl="0">
      <w:lvlJc w:val="left"/>
      <w:lvlText w:val="%1."/>
      <w:numFmt w:val="decimal"/>
      <w:start w:val="4"/>
    </w:lvl>
  </w:abstractNum>
  <w:abstractNum w:abstractNumId="9">
    <w:nsid w:val="32FFF902"/>
    <w:multiLevelType w:val="hybridMultilevel"/>
    <w:lvl w:ilvl="0">
      <w:lvlJc w:val="left"/>
      <w:lvlText w:val="%1."/>
      <w:numFmt w:val="decimal"/>
      <w:start w:val="5"/>
    </w:lvl>
  </w:abstractNum>
  <w:abstractNum w:abstractNumId="10">
    <w:nsid w:val="684A481A"/>
    <w:multiLevelType w:val="hybridMultilevel"/>
    <w:lvl w:ilvl="0">
      <w:lvlJc w:val="left"/>
      <w:lvlText w:val="%1."/>
      <w:numFmt w:val="decimal"/>
      <w:start w:val="6"/>
    </w:lvl>
  </w:abstractNum>
  <w:abstractNum w:abstractNumId="11">
    <w:nsid w:val="579478FE"/>
    <w:multiLevelType w:val="hybridMultilevel"/>
    <w:lvl w:ilvl="0">
      <w:lvlJc w:val="left"/>
      <w:lvlText w:val="%1."/>
      <w:numFmt w:val="decimal"/>
      <w:start w:val="7"/>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1."/>
      <w:numFmt w:val="decimal"/>
      <w:start w:val="8"/>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1."/>
      <w:numFmt w:val="decimal"/>
      <w:start w:val="9"/>
    </w:lvl>
  </w:abstractNum>
  <w:abstractNum w:abstractNumId="16">
    <w:nsid w:val="75C6C33A"/>
    <w:multiLevelType w:val="hybridMultilevel"/>
    <w:lvl w:ilvl="0">
      <w:lvlJc w:val="left"/>
      <w:lvlText w:val="%1."/>
      <w:numFmt w:val="decimal"/>
      <w:start w:val="10"/>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1."/>
      <w:numFmt w:val="decimal"/>
      <w:start w:val="11"/>
    </w:lvl>
  </w:abstractNum>
  <w:abstractNum w:abstractNumId="19">
    <w:nsid w:val="520EEDD1"/>
    <w:multiLevelType w:val="hybridMultilevel"/>
    <w:lvl w:ilvl="0">
      <w:lvlJc w:val="left"/>
      <w:lvlText w:val="%1."/>
      <w:numFmt w:val="decimal"/>
      <w:start w:val="12"/>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decimal"/>
      <w:start w:val="12"/>
    </w:lvl>
    <w:lvl w:ilvl="1">
      <w:lvlJc w:val="left"/>
      <w:lvlText w:val="•"/>
      <w:numFmt w:val="bullet"/>
      <w:start w:val="1"/>
    </w:lvl>
  </w:abstractNum>
  <w:abstractNum w:abstractNumId="22">
    <w:nsid w:val="23F9C13C"/>
    <w:multiLevelType w:val="hybridMultilevel"/>
    <w:lvl w:ilvl="0">
      <w:lvlJc w:val="left"/>
      <w:lvlText w:val="%1."/>
      <w:numFmt w:val="decimal"/>
      <w:start w:val="14"/>
    </w:lvl>
  </w:abstractNum>
  <w:abstractNum w:abstractNumId="23">
    <w:nsid w:val="649BB77C"/>
    <w:multiLevelType w:val="hybridMultilevel"/>
    <w:lvl w:ilvl="0">
      <w:lvlJc w:val="left"/>
      <w:lvlText w:val="%1."/>
      <w:numFmt w:val="decimal"/>
      <w:start w:val="15"/>
    </w:lvl>
  </w:abstractNum>
  <w:abstractNum w:abstractNumId="24">
    <w:nsid w:val="275AC794"/>
    <w:multiLevelType w:val="hybridMultilevel"/>
    <w:lvl w:ilvl="0">
      <w:lvlJc w:val="left"/>
      <w:lvlText w:val="%1."/>
      <w:numFmt w:val="decimal"/>
      <w:start w:val="16"/>
    </w:lvl>
  </w:abstractNum>
  <w:abstractNum w:abstractNumId="25">
    <w:nsid w:val="39386575"/>
    <w:multiLevelType w:val="hybridMultilevel"/>
    <w:lvl w:ilvl="0">
      <w:lvlJc w:val="left"/>
      <w:lvlText w:val="%1."/>
      <w:numFmt w:val="decimal"/>
      <w:start w:val="17"/>
    </w:lvl>
  </w:abstractNum>
  <w:abstractNum w:abstractNumId="26">
    <w:nsid w:val="1CF10FD8"/>
    <w:multiLevelType w:val="hybridMultilevel"/>
    <w:lvl w:ilvl="0">
      <w:lvlJc w:val="left"/>
      <w:lvlText w:val="%1."/>
      <w:numFmt w:val="decimal"/>
      <w:start w:val="17"/>
    </w:lvl>
    <w:lvl w:ilvl="1">
      <w:lvlJc w:val="left"/>
      <w:lvlText w:val="•"/>
      <w:numFmt w:val="bullet"/>
      <w:start w:val="1"/>
    </w:lvl>
  </w:abstractNum>
  <w:abstractNum w:abstractNumId="27">
    <w:nsid w:val="180115BE"/>
    <w:multiLevelType w:val="hybridMultilevel"/>
    <w:lvl w:ilvl="0">
      <w:lvlJc w:val="left"/>
      <w:lvlText w:val="%1."/>
      <w:numFmt w:val="decimal"/>
      <w:start w:val="19"/>
    </w:lvl>
  </w:abstractNum>
  <w:abstractNum w:abstractNumId="28">
    <w:nsid w:val="235BA861"/>
    <w:multiLevelType w:val="hybridMultilevel"/>
    <w:lvl w:ilvl="0">
      <w:lvlJc w:val="left"/>
      <w:lvlText w:val="%1."/>
      <w:numFmt w:val="decimal"/>
      <w:start w:val="20"/>
    </w:lvl>
  </w:abstractNum>
  <w:abstractNum w:abstractNumId="29">
    <w:nsid w:val="47398C89"/>
    <w:multiLevelType w:val="hybridMultilevel"/>
    <w:lvl w:ilvl="0">
      <w:lvlJc w:val="left"/>
      <w:lvlText w:val="%1."/>
      <w:numFmt w:val="decimal"/>
      <w:start w:val="21"/>
    </w:lvl>
  </w:abstractNum>
  <w:abstractNum w:abstractNumId="30">
    <w:nsid w:val="354FE9F9"/>
    <w:multiLevelType w:val="hybridMultilevel"/>
    <w:lvl w:ilvl="0">
      <w:lvlJc w:val="left"/>
      <w:lvlText w:val="%1."/>
      <w:numFmt w:val="decimal"/>
      <w:start w:val="22"/>
    </w:lvl>
  </w:abstractNum>
  <w:abstractNum w:abstractNumId="31">
    <w:nsid w:val="15B5AF5C"/>
    <w:multiLevelType w:val="hybridMultilevel"/>
    <w:lvl w:ilvl="0">
      <w:lvlJc w:val="left"/>
      <w:lvlText w:val="%1."/>
      <w:numFmt w:val="decimal"/>
      <w:start w:val="23"/>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1."/>
      <w:numFmt w:val="decimal"/>
      <w:start w:val="24"/>
    </w:lvl>
  </w:abstractNum>
  <w:abstractNum w:abstractNumId="34">
    <w:nsid w:val="10233C99"/>
    <w:multiLevelType w:val="hybridMultilevel"/>
    <w:lvl w:ilvl="0">
      <w:lvlJc w:val="left"/>
      <w:lvlText w:val="%1."/>
      <w:numFmt w:val="decimal"/>
      <w:start w:val="25"/>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ü"/>
      <w:numFmt w:val="bullet"/>
      <w:start w:val="1"/>
    </w:lvl>
  </w:abstractNum>
  <w:abstractNum w:abstractNumId="52">
    <w:nsid w:val="5F5E7FD0"/>
    <w:multiLevelType w:val="hybridMultilevel"/>
    <w:lvl w:ilvl="0">
      <w:lvlJc w:val="left"/>
      <w:lvlText w:val="û"/>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amp;"/>
      <w:numFmt w:val="bullet"/>
      <w:start w:val="1"/>
    </w:lvl>
  </w:abstractNum>
  <w:abstractNum w:abstractNumId="57">
    <w:nsid w:val="168E121F"/>
    <w:multiLevelType w:val="hybridMultilevel"/>
    <w:lvl w:ilvl="0">
      <w:lvlJc w:val="left"/>
      <w:lvlText w:val="(%1)"/>
      <w:numFmt w:val="lowerLetter"/>
      <w:start w:val="25"/>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1)"/>
      <w:numFmt w:val="decimal"/>
      <w:start w:val="1"/>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1)"/>
      <w:numFmt w:val="decimal"/>
      <w:start w:val="17"/>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1)"/>
      <w:numFmt w:val="decimal"/>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2019-12-03T06:00:42Z</dcterms:created>
  <dcterms:modified xsi:type="dcterms:W3CDTF">2019-12-03T06:00:42Z</dcterms:modified>
</cp:coreProperties>
</file>