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7612_8k.htm"/>
      <w:bookmarkStart w:id="1" w:name="ksef20077612_8k"/>
      <w:bookmarkStart w:id="2" w:name="ef20077612_8k.htm"/>
      <w:bookmarkStart w:id="3" w:name="ksef20077612_8k"/>
      <w:bookmarkEnd w:id="2"/>
      <w:bookmarkEnd w:id="3"/>
    </w:p>
    <w:p>
      <w:pPr>
        <w:pStyle w:val="TextBody"/>
        <w:bidi w:val="0"/>
        <w:spacing w:before="0" w:after="0"/>
        <w:jc w:val="center"/>
        <w:rPr>
          <w:rFonts w:ascii="Times New Roman" w:hAnsi="Times New Roman"/>
          <w:color w:val="000000"/>
          <w:sz w:val="28"/>
        </w:rPr>
      </w:pPr>
      <w:r>
        <w:rPr>
          <w:rFonts w:ascii="Times New Roman" w:hAnsi="Times New Roman"/>
          <w:b/>
          <w:color w:val="000000"/>
          <w:sz w:val="28"/>
        </w:rPr>
        <w:t>UNITED STATES</w:t>
      </w:r>
      <w:r>
        <w:rPr>
          <w:rFonts w:ascii="Times New Roman" w:hAnsi="Times New Roman"/>
          <w:color w:val="000000"/>
          <w:sz w:val="28"/>
        </w:rPr>
        <w:t xml:space="preserve"> </w:t>
      </w:r>
    </w:p>
    <w:p>
      <w:pPr>
        <w:pStyle w:val="TextBody"/>
        <w:bidi w:val="0"/>
        <w:spacing w:before="0" w:after="0"/>
        <w:jc w:val="center"/>
        <w:rPr>
          <w:rFonts w:ascii="Times New Roman" w:hAnsi="Times New Roman"/>
          <w:color w:val="000000"/>
          <w:sz w:val="28"/>
        </w:rPr>
      </w:pPr>
      <w:r>
        <w:rPr>
          <w:rFonts w:ascii="Times New Roman" w:hAnsi="Times New Roman"/>
          <w:b/>
          <w:color w:val="000000"/>
          <w:sz w:val="28"/>
        </w:rPr>
        <w:t>SECURITIES AND EXCHANGE COMMISSION</w:t>
      </w:r>
      <w:r>
        <w:rPr>
          <w:rFonts w:ascii="Times New Roman" w:hAnsi="Times New Roman"/>
          <w:color w:val="000000"/>
          <w:sz w:val="28"/>
        </w:rPr>
        <w:t xml:space="preserve"> </w:t>
      </w:r>
    </w:p>
    <w:p>
      <w:pPr>
        <w:pStyle w:val="TextBody"/>
        <w:bidi w:val="0"/>
        <w:spacing w:before="0" w:after="0"/>
        <w:jc w:val="center"/>
        <w:rPr>
          <w:rFonts w:ascii="Times New Roman" w:hAnsi="Times New Roman"/>
          <w:color w:val="000000"/>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center"/>
        <w:rPr>
          <w:rFonts w:ascii="Times New Roman" w:hAnsi="Times New Roman"/>
          <w:color w:val="000000"/>
          <w:sz w:val="36"/>
        </w:rPr>
      </w:pPr>
      <w:r>
        <w:rPr>
          <w:rFonts w:ascii="Times New Roman" w:hAnsi="Times New Roman"/>
          <w:b/>
          <w:color w:val="000000"/>
          <w:sz w:val="36"/>
        </w:rPr>
        <w:t>FORM 8-K</w:t>
      </w:r>
      <w:r>
        <w:rPr>
          <w:rFonts w:ascii="Times New Roman" w:hAnsi="Times New Roman"/>
          <w:color w:val="000000"/>
          <w:sz w:val="36"/>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CURRENT REPORT</w:t>
      </w:r>
      <w:r>
        <w:rPr>
          <w:rFonts w:ascii="Times New Roman" w:hAnsi="Times New Roman"/>
          <w:color w:val="000000"/>
          <w:sz w:val="20"/>
        </w:rPr>
        <w:t xml:space="preserve"> </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Pursuant to Section 13 or 15(d)</w:t>
      </w:r>
      <w:r>
        <w:rPr>
          <w:rFonts w:ascii="Times New Roman" w:hAnsi="Times New Roman"/>
          <w:color w:val="000000"/>
          <w:sz w:val="20"/>
        </w:rPr>
        <w:t xml:space="preserve"> </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of the Securities Exchange Act of 1934</w:t>
      </w:r>
      <w:r>
        <w:rPr>
          <w:rFonts w:ascii="Times New Roman" w:hAnsi="Times New Roman"/>
          <w:color w:val="000000"/>
          <w:sz w:val="2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xml:space="preserve">Date of Report (Date of earliest event reported): July 7, 2026 </w:t>
      </w:r>
    </w:p>
    <w:p>
      <w:pPr>
        <w:pStyle w:val="TextBody"/>
        <w:bidi w:val="0"/>
        <w:spacing w:before="0" w:after="0"/>
        <w:jc w:val="left"/>
        <w:rPr>
          <w:color w:val="000000"/>
        </w:rPr>
      </w:pPr>
      <w:r>
        <w:rPr>
          <w:color w:val="000000"/>
        </w:rPr>
        <w:t xml:space="preserve">  </w:t>
      </w:r>
    </w:p>
    <w:p>
      <w:pPr>
        <w:pStyle w:val="TextBody"/>
        <w:bidi w:val="0"/>
        <w:spacing w:before="0" w:after="0"/>
        <w:jc w:val="center"/>
        <w:rPr>
          <w:rFonts w:ascii="Times New Roman" w:hAnsi="Times New Roman"/>
          <w:color w:val="000000"/>
          <w:sz w:val="48"/>
        </w:rPr>
      </w:pPr>
      <w:r>
        <w:rPr>
          <w:rFonts w:ascii="Times New Roman" w:hAnsi="Times New Roman"/>
          <w:b/>
          <w:color w:val="000000"/>
          <w:sz w:val="48"/>
        </w:rPr>
        <w:t>Shutterstock, Inc.</w:t>
      </w:r>
      <w:r>
        <w:rPr>
          <w:rFonts w:ascii="Times New Roman" w:hAnsi="Times New Roman"/>
          <w:color w:val="000000"/>
          <w:sz w:val="48"/>
        </w:rPr>
        <w:t xml:space="preserve">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xml:space="preserve">(Exact name of registrant as specified in its charter) </w:t>
      </w:r>
    </w:p>
    <w:p>
      <w:pPr>
        <w:pStyle w:val="TextBody"/>
        <w:bidi w:val="0"/>
        <w:spacing w:before="0" w:after="0"/>
        <w:jc w:val="left"/>
        <w:rPr>
          <w:color w:val="000000"/>
        </w:rPr>
      </w:pP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964"/>
        <w:gridCol w:w="199"/>
        <w:gridCol w:w="2611"/>
        <w:gridCol w:w="199"/>
        <w:gridCol w:w="3232"/>
      </w:tblGrid>
      <w:tr>
        <w:trPr/>
        <w:tc>
          <w:tcPr>
            <w:tcW w:w="396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232" w:type="dxa"/>
            <w:tcBorders/>
            <w:vAlign w:val="center"/>
          </w:tcPr>
          <w:p>
            <w:pPr>
              <w:pStyle w:val="TableContents"/>
              <w:bidi w:val="0"/>
              <w:spacing w:before="0" w:after="283"/>
              <w:jc w:val="left"/>
              <w:rPr>
                <w:sz w:val="4"/>
                <w:szCs w:val="4"/>
              </w:rPr>
            </w:pPr>
            <w:r>
              <w:rPr>
                <w:sz w:val="4"/>
                <w:szCs w:val="4"/>
              </w:rPr>
            </w:r>
          </w:p>
        </w:tc>
      </w:tr>
      <w:tr>
        <w:trPr/>
        <w:tc>
          <w:tcPr>
            <w:tcW w:w="3964" w:type="dxa"/>
            <w:tcBorders>
              <w:bottom w:val="single" w:sz="12" w:space="0" w:color="000000"/>
            </w:tcBorders>
            <w:tcMar>
              <w:top w:w="0" w:type="dxa"/>
              <w:left w:w="0" w:type="dxa"/>
              <w:right w:w="0" w:type="dxa"/>
            </w:tcMar>
            <w:vAlign w:val="center"/>
          </w:tcPr>
          <w:p>
            <w:pPr>
              <w:pStyle w:val="TableContents"/>
              <w:bidi w:val="0"/>
              <w:spacing w:before="0" w:after="0"/>
              <w:jc w:val="center"/>
              <w:rPr>
                <w:color w:val="000000"/>
              </w:rPr>
            </w:pPr>
            <w:r>
              <w:rPr>
                <w:b/>
                <w:color w:val="000000"/>
              </w:rPr>
              <w:t>Delaware</w:t>
            </w:r>
            <w:r>
              <w:rPr>
                <w:color w:val="000000"/>
              </w:rPr>
              <w:t xml:space="preserve"> </w:t>
            </w:r>
          </w:p>
        </w:tc>
        <w:tc>
          <w:tcPr>
            <w:tcW w:w="199" w:type="dxa"/>
            <w:tcBorders/>
            <w:vAlign w:val="center"/>
          </w:tcPr>
          <w:p>
            <w:pPr>
              <w:pStyle w:val="TableContents"/>
              <w:bidi w:val="0"/>
              <w:spacing w:before="0" w:after="0"/>
              <w:jc w:val="left"/>
              <w:rPr>
                <w:color w:val="000000"/>
              </w:rPr>
            </w:pPr>
            <w:r>
              <w:rPr>
                <w:color w:val="000000"/>
              </w:rPr>
              <w:t xml:space="preserve">  </w:t>
            </w:r>
          </w:p>
        </w:tc>
        <w:tc>
          <w:tcPr>
            <w:tcW w:w="2611" w:type="dxa"/>
            <w:tcBorders>
              <w:bottom w:val="single" w:sz="12" w:space="0" w:color="000000"/>
            </w:tcBorders>
            <w:tcMar>
              <w:top w:w="0" w:type="dxa"/>
              <w:left w:w="0" w:type="dxa"/>
              <w:right w:w="0" w:type="dxa"/>
            </w:tcMar>
            <w:vAlign w:val="center"/>
          </w:tcPr>
          <w:p>
            <w:pPr>
              <w:pStyle w:val="TableContents"/>
              <w:bidi w:val="0"/>
              <w:spacing w:before="0" w:after="0"/>
              <w:jc w:val="center"/>
              <w:rPr>
                <w:color w:val="000000"/>
              </w:rPr>
            </w:pPr>
            <w:r>
              <w:rPr>
                <w:b/>
                <w:color w:val="000000"/>
              </w:rPr>
              <w:t>001-35669</w:t>
            </w:r>
            <w:r>
              <w:rPr>
                <w:color w:val="000000"/>
              </w:rPr>
              <w:t xml:space="preserve"> </w:t>
            </w:r>
          </w:p>
        </w:tc>
        <w:tc>
          <w:tcPr>
            <w:tcW w:w="199" w:type="dxa"/>
            <w:tcBorders/>
            <w:vAlign w:val="center"/>
          </w:tcPr>
          <w:p>
            <w:pPr>
              <w:pStyle w:val="TableContents"/>
              <w:bidi w:val="0"/>
              <w:spacing w:before="0" w:after="0"/>
              <w:jc w:val="left"/>
              <w:rPr>
                <w:color w:val="000000"/>
              </w:rPr>
            </w:pPr>
            <w:r>
              <w:rPr>
                <w:color w:val="000000"/>
              </w:rPr>
              <w:t xml:space="preserve">  </w:t>
            </w:r>
          </w:p>
        </w:tc>
        <w:tc>
          <w:tcPr>
            <w:tcW w:w="3232" w:type="dxa"/>
            <w:tcBorders>
              <w:bottom w:val="single" w:sz="12" w:space="0" w:color="000000"/>
            </w:tcBorders>
            <w:tcMar>
              <w:top w:w="0" w:type="dxa"/>
              <w:left w:w="0" w:type="dxa"/>
              <w:right w:w="0" w:type="dxa"/>
            </w:tcMar>
            <w:vAlign w:val="center"/>
          </w:tcPr>
          <w:p>
            <w:pPr>
              <w:pStyle w:val="TableContents"/>
              <w:bidi w:val="0"/>
              <w:spacing w:before="0" w:after="0"/>
              <w:jc w:val="center"/>
              <w:rPr>
                <w:color w:val="000000"/>
              </w:rPr>
            </w:pPr>
            <w:r>
              <w:rPr>
                <w:b/>
                <w:color w:val="000000"/>
              </w:rPr>
              <w:t>80-0812659</w:t>
            </w:r>
            <w:r>
              <w:rPr>
                <w:color w:val="000000"/>
              </w:rPr>
              <w:t xml:space="preserve"> </w:t>
            </w:r>
          </w:p>
        </w:tc>
      </w:tr>
      <w:tr>
        <w:trPr/>
        <w:tc>
          <w:tcPr>
            <w:tcW w:w="3964" w:type="dxa"/>
            <w:tcBorders/>
            <w:vAlign w:val="center"/>
          </w:tcPr>
          <w:p>
            <w:pPr>
              <w:pStyle w:val="TableContents"/>
              <w:bidi w:val="0"/>
              <w:spacing w:before="0" w:after="0"/>
              <w:jc w:val="center"/>
              <w:rPr>
                <w:color w:val="000000"/>
              </w:rPr>
            </w:pPr>
            <w:r>
              <w:rPr>
                <w:color w:val="000000"/>
              </w:rPr>
              <w:t xml:space="preserve">(State or other jurisdiction of incorporation) </w:t>
            </w:r>
          </w:p>
        </w:tc>
        <w:tc>
          <w:tcPr>
            <w:tcW w:w="199" w:type="dxa"/>
            <w:tcBorders/>
            <w:vAlign w:val="center"/>
          </w:tcPr>
          <w:p>
            <w:pPr>
              <w:pStyle w:val="TableContents"/>
              <w:bidi w:val="0"/>
              <w:spacing w:before="0" w:after="0"/>
              <w:jc w:val="left"/>
              <w:rPr>
                <w:color w:val="000000"/>
              </w:rPr>
            </w:pPr>
            <w:r>
              <w:rPr>
                <w:color w:val="000000"/>
              </w:rPr>
              <w:t xml:space="preserve">  </w:t>
            </w:r>
          </w:p>
        </w:tc>
        <w:tc>
          <w:tcPr>
            <w:tcW w:w="2611" w:type="dxa"/>
            <w:tcBorders/>
            <w:vAlign w:val="center"/>
          </w:tcPr>
          <w:p>
            <w:pPr>
              <w:pStyle w:val="TableContents"/>
              <w:bidi w:val="0"/>
              <w:spacing w:before="0" w:after="0"/>
              <w:jc w:val="center"/>
              <w:rPr>
                <w:color w:val="000000"/>
              </w:rPr>
            </w:pPr>
            <w:r>
              <w:rPr>
                <w:color w:val="000000"/>
              </w:rPr>
              <w:t xml:space="preserve">(Commission File Number) </w:t>
            </w:r>
          </w:p>
        </w:tc>
        <w:tc>
          <w:tcPr>
            <w:tcW w:w="199" w:type="dxa"/>
            <w:tcBorders/>
            <w:vAlign w:val="center"/>
          </w:tcPr>
          <w:p>
            <w:pPr>
              <w:pStyle w:val="TableContents"/>
              <w:bidi w:val="0"/>
              <w:spacing w:before="0" w:after="0"/>
              <w:jc w:val="left"/>
              <w:rPr>
                <w:color w:val="000000"/>
              </w:rPr>
            </w:pPr>
            <w:r>
              <w:rPr>
                <w:color w:val="000000"/>
              </w:rPr>
              <w:t xml:space="preserve">  </w:t>
            </w:r>
          </w:p>
        </w:tc>
        <w:tc>
          <w:tcPr>
            <w:tcW w:w="3232" w:type="dxa"/>
            <w:tcBorders/>
            <w:vAlign w:val="center"/>
          </w:tcPr>
          <w:p>
            <w:pPr>
              <w:pStyle w:val="TableContents"/>
              <w:bidi w:val="0"/>
              <w:spacing w:before="0" w:after="0"/>
              <w:jc w:val="center"/>
              <w:rPr>
                <w:color w:val="000000"/>
              </w:rPr>
            </w:pPr>
            <w:r>
              <w:rPr>
                <w:color w:val="000000"/>
              </w:rPr>
              <w:t xml:space="preserve">(IRS Employer Identification No.) </w:t>
            </w:r>
          </w:p>
        </w:tc>
      </w:tr>
    </w:tbl>
    <w:p>
      <w:pPr>
        <w:pStyle w:val="TextBody"/>
        <w:bidi w:val="0"/>
        <w:spacing w:before="0" w:after="0"/>
        <w:jc w:val="left"/>
        <w:rPr>
          <w:color w:val="000000"/>
        </w:rPr>
      </w:pPr>
      <w:r>
        <w:rPr>
          <w:color w:val="000000"/>
        </w:rPr>
        <w:t xml:space="preserve">  </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350 Fifth Avenue, 20th Floor</w:t>
      </w:r>
      <w:r>
        <w:rPr>
          <w:rFonts w:ascii="Times New Roman" w:hAnsi="Times New Roman"/>
          <w:color w:val="000000"/>
          <w:sz w:val="20"/>
        </w:rPr>
        <w:t xml:space="preserve"> </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New York, NY 10118</w:t>
      </w:r>
      <w:r>
        <w:rPr>
          <w:rFonts w:ascii="Times New Roman" w:hAnsi="Times New Roman"/>
          <w:color w:val="000000"/>
          <w:sz w:val="20"/>
        </w:rPr>
        <w:t xml:space="preserve">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xml:space="preserve">(Address of principal executive offices, including zip code) </w:t>
      </w:r>
    </w:p>
    <w:p>
      <w:pPr>
        <w:pStyle w:val="TextBody"/>
        <w:bidi w:val="0"/>
        <w:spacing w:before="0" w:after="0"/>
        <w:jc w:val="left"/>
        <w:rPr>
          <w:color w:val="000000"/>
        </w:rPr>
      </w:pPr>
      <w:r>
        <w:rPr>
          <w:color w:val="000000"/>
        </w:rPr>
        <w:t xml:space="preserve">  </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(646) 710-3417</w:t>
      </w:r>
      <w:r>
        <w:rPr>
          <w:rFonts w:ascii="Times New Roman" w:hAnsi="Times New Roman"/>
          <w:color w:val="000000"/>
          <w:sz w:val="20"/>
        </w:rPr>
        <w:t xml:space="preserve">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xml:space="preserve">(Registrant’s telephone number, including area code) </w:t>
      </w:r>
    </w:p>
    <w:p>
      <w:pPr>
        <w:pStyle w:val="TextBody"/>
        <w:bidi w:val="0"/>
        <w:spacing w:before="0" w:after="0"/>
        <w:jc w:val="left"/>
        <w:rPr>
          <w:color w:val="000000"/>
        </w:rPr>
      </w:pPr>
      <w:r>
        <w:rPr>
          <w:color w:val="000000"/>
        </w:rPr>
        <w:t xml:space="preserve">  </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xml:space="preserve">(Former name, former address and former fiscal year, if changed since last report) </w:t>
      </w:r>
    </w:p>
    <w:p>
      <w:pPr>
        <w:pStyle w:val="TextBody"/>
        <w:bidi w:val="0"/>
        <w:spacing w:before="0" w:after="0"/>
        <w:jc w:val="left"/>
        <w:rPr>
          <w:color w:val="000000"/>
        </w:rPr>
      </w:pPr>
      <w:r>
        <w:rPr>
          <w:color w:val="00000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color w:val="000000"/>
        </w:rPr>
      </w:pPr>
      <w:r>
        <w:rPr>
          <w:color w:val="000000"/>
        </w:rPr>
        <w:t xml:space="preserve">  </w:t>
      </w:r>
    </w:p>
    <w:p>
      <w:pPr>
        <w:pStyle w:val="TextBody"/>
        <w:bidi w:val="0"/>
        <w:spacing w:before="0" w:after="0"/>
        <w:ind w:left="0" w:right="0" w:hanging="360"/>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286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left"/>
        <w:rPr>
          <w:color w:val="000000"/>
        </w:rPr>
      </w:pPr>
      <w:r>
        <w:rPr>
          <w:color w:val="000000"/>
        </w:rPr>
        <w:t xml:space="preserve">  </w:t>
      </w:r>
    </w:p>
    <w:p>
      <w:pPr>
        <w:pStyle w:val="TextBody"/>
        <w:bidi w:val="0"/>
        <w:spacing w:before="0" w:after="0"/>
        <w:ind w:left="0" w:right="0" w:hanging="360"/>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286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left"/>
        <w:rPr>
          <w:color w:val="000000"/>
        </w:rPr>
      </w:pPr>
      <w:r>
        <w:rPr>
          <w:color w:val="000000"/>
        </w:rPr>
        <w:t xml:space="preserve">  </w:t>
      </w:r>
    </w:p>
    <w:p>
      <w:pPr>
        <w:pStyle w:val="TextBody"/>
        <w:bidi w:val="0"/>
        <w:spacing w:before="0" w:after="0"/>
        <w:ind w:left="0" w:right="0" w:hanging="360"/>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left"/>
        <w:rPr>
          <w:color w:val="000000"/>
        </w:rPr>
      </w:pPr>
      <w:r>
        <w:rPr>
          <w:color w:val="000000"/>
        </w:rPr>
        <w:t xml:space="preserve">  </w:t>
      </w:r>
    </w:p>
    <w:p>
      <w:pPr>
        <w:pStyle w:val="TextBody"/>
        <w:bidi w:val="0"/>
        <w:spacing w:before="0" w:after="0"/>
        <w:ind w:left="0" w:right="0" w:hanging="360"/>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p>
      <w:pPr>
        <w:pStyle w:val="TextBody"/>
        <w:bidi w:val="0"/>
        <w:spacing w:before="0" w:after="0"/>
        <w:jc w:val="left"/>
        <w:rPr>
          <w:color w:val="000000"/>
        </w:rPr>
      </w:pP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4000"/>
        <w:gridCol w:w="1740"/>
        <w:gridCol w:w="4465"/>
      </w:tblGrid>
      <w:tr>
        <w:trPr/>
        <w:tc>
          <w:tcPr>
            <w:tcW w:w="400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4465" w:type="dxa"/>
            <w:tcBorders/>
            <w:vAlign w:val="center"/>
          </w:tcPr>
          <w:p>
            <w:pPr>
              <w:pStyle w:val="TableContents"/>
              <w:bidi w:val="0"/>
              <w:spacing w:before="0" w:after="283"/>
              <w:jc w:val="left"/>
              <w:rPr>
                <w:sz w:val="4"/>
                <w:szCs w:val="4"/>
              </w:rPr>
            </w:pPr>
            <w:r>
              <w:rPr>
                <w:sz w:val="4"/>
                <w:szCs w:val="4"/>
              </w:rPr>
            </w:r>
          </w:p>
        </w:tc>
      </w:tr>
      <w:tr>
        <w:trPr/>
        <w:tc>
          <w:tcPr>
            <w:tcW w:w="4000" w:type="dxa"/>
            <w:tcBorders>
              <w:bottom w:val="single" w:sz="12" w:space="0" w:color="000000"/>
            </w:tcBorders>
            <w:tcMar>
              <w:top w:w="0" w:type="dxa"/>
              <w:left w:w="0" w:type="dxa"/>
              <w:right w:w="0" w:type="dxa"/>
            </w:tcMar>
            <w:vAlign w:val="center"/>
          </w:tcPr>
          <w:p>
            <w:pPr>
              <w:pStyle w:val="TableContents"/>
              <w:bidi w:val="0"/>
              <w:spacing w:before="0" w:after="0"/>
              <w:jc w:val="center"/>
              <w:rPr>
                <w:color w:val="000000"/>
              </w:rPr>
            </w:pPr>
            <w:r>
              <w:rPr>
                <w:b/>
                <w:color w:val="000000"/>
              </w:rPr>
              <w:t>Class</w:t>
            </w:r>
            <w:r>
              <w:rPr>
                <w:color w:val="000000"/>
              </w:rPr>
              <w:t xml:space="preserve"> </w:t>
            </w:r>
          </w:p>
        </w:tc>
        <w:tc>
          <w:tcPr>
            <w:tcW w:w="1740" w:type="dxa"/>
            <w:tcBorders>
              <w:bottom w:val="single" w:sz="12" w:space="0" w:color="000000"/>
            </w:tcBorders>
            <w:tcMar>
              <w:top w:w="0" w:type="dxa"/>
              <w:left w:w="0" w:type="dxa"/>
              <w:right w:w="0" w:type="dxa"/>
            </w:tcMar>
            <w:vAlign w:val="center"/>
          </w:tcPr>
          <w:p>
            <w:pPr>
              <w:pStyle w:val="TableContents"/>
              <w:bidi w:val="0"/>
              <w:spacing w:before="0" w:after="0"/>
              <w:jc w:val="center"/>
              <w:rPr>
                <w:color w:val="000000"/>
              </w:rPr>
            </w:pPr>
            <w:r>
              <w:rPr>
                <w:b/>
                <w:color w:val="000000"/>
              </w:rPr>
              <w:t>Trading symbol</w:t>
            </w:r>
            <w:r>
              <w:rPr>
                <w:color w:val="000000"/>
              </w:rPr>
              <w:t xml:space="preserve"> </w:t>
            </w:r>
          </w:p>
        </w:tc>
        <w:tc>
          <w:tcPr>
            <w:tcW w:w="4465" w:type="dxa"/>
            <w:tcBorders>
              <w:bottom w:val="single" w:sz="12" w:space="0" w:color="000000"/>
            </w:tcBorders>
            <w:tcMar>
              <w:top w:w="0" w:type="dxa"/>
              <w:left w:w="0" w:type="dxa"/>
              <w:right w:w="0" w:type="dxa"/>
            </w:tcMar>
            <w:vAlign w:val="center"/>
          </w:tcPr>
          <w:p>
            <w:pPr>
              <w:pStyle w:val="TableContents"/>
              <w:bidi w:val="0"/>
              <w:spacing w:before="0" w:after="0"/>
              <w:jc w:val="center"/>
              <w:rPr>
                <w:color w:val="000000"/>
              </w:rPr>
            </w:pPr>
            <w:r>
              <w:rPr>
                <w:b/>
                <w:color w:val="000000"/>
              </w:rPr>
              <w:t>Name of each exchange on which registered</w:t>
            </w:r>
            <w:r>
              <w:rPr>
                <w:color w:val="000000"/>
              </w:rPr>
              <w:t xml:space="preserve"> </w:t>
            </w:r>
          </w:p>
        </w:tc>
      </w:tr>
      <w:tr>
        <w:trPr/>
        <w:tc>
          <w:tcPr>
            <w:tcW w:w="4000" w:type="dxa"/>
            <w:tcBorders/>
            <w:vAlign w:val="center"/>
          </w:tcPr>
          <w:p>
            <w:pPr>
              <w:pStyle w:val="TableContents"/>
              <w:bidi w:val="0"/>
              <w:spacing w:before="0" w:after="0"/>
              <w:jc w:val="center"/>
              <w:rPr>
                <w:color w:val="000000"/>
              </w:rPr>
            </w:pPr>
            <w:r>
              <w:rPr>
                <w:color w:val="000000"/>
              </w:rPr>
              <w:t xml:space="preserve">Common Stock, $0.01 par value per share </w:t>
            </w:r>
          </w:p>
        </w:tc>
        <w:tc>
          <w:tcPr>
            <w:tcW w:w="1740" w:type="dxa"/>
            <w:tcBorders/>
            <w:vAlign w:val="center"/>
          </w:tcPr>
          <w:p>
            <w:pPr>
              <w:pStyle w:val="TableContents"/>
              <w:bidi w:val="0"/>
              <w:spacing w:before="0" w:after="0"/>
              <w:jc w:val="center"/>
              <w:rPr>
                <w:color w:val="000000"/>
              </w:rPr>
            </w:pPr>
            <w:r>
              <w:rPr>
                <w:color w:val="000000"/>
              </w:rPr>
              <w:t xml:space="preserve">SSTK </w:t>
            </w:r>
          </w:p>
        </w:tc>
        <w:tc>
          <w:tcPr>
            <w:tcW w:w="4465" w:type="dxa"/>
            <w:tcBorders/>
            <w:vAlign w:val="center"/>
          </w:tcPr>
          <w:p>
            <w:pPr>
              <w:pStyle w:val="TableContents"/>
              <w:bidi w:val="0"/>
              <w:spacing w:before="0" w:after="0"/>
              <w:jc w:val="center"/>
              <w:rPr>
                <w:color w:val="000000"/>
              </w:rPr>
            </w:pPr>
            <w:r>
              <w:rPr>
                <w:color w:val="000000"/>
              </w:rPr>
              <w:t xml:space="preserve">New York Stock Exchange </w:t>
            </w:r>
          </w:p>
        </w:tc>
      </w:tr>
    </w:tbl>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color w:val="000000"/>
        </w:rPr>
      </w:pPr>
      <w:r>
        <w:rPr>
          <w:color w:val="000000"/>
        </w:rPr>
        <w:t> </w:t>
      </w:r>
    </w:p>
    <w:p>
      <w:pPr>
        <w:pStyle w:val="HorizontalLine"/>
        <w:pBdr>
          <w:bottom w:val="double" w:sz="2" w:space="0" w:color="808080"/>
        </w:pBdr>
        <w:bidi w:val="0"/>
        <w:spacing w:before="0" w:after="283"/>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1440"/>
        <w:jc w:val="left"/>
        <w:rPr>
          <w:rFonts w:ascii="Times New Roman" w:hAnsi="Times New Roman"/>
          <w:color w:val="000000"/>
          <w:sz w:val="20"/>
        </w:rPr>
      </w:pPr>
      <w:r>
        <w:rPr>
          <w:rFonts w:ascii="Times New Roman" w:hAnsi="Times New Roman"/>
          <w:b/>
          <w:color w:val="000000"/>
          <w:sz w:val="20"/>
        </w:rPr>
        <w:t>Termination of a Material Definitive Agreement.</w:t>
      </w:r>
      <w:r>
        <w:rPr>
          <w:rFonts w:ascii="Times New Roman" w:hAnsi="Times New Roman"/>
          <w:color w:val="000000"/>
          <w:sz w:val="20"/>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rPr>
                              <w:t>Item 1.02</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1.02</w:t>
                      </w:r>
                      <w:r>
                        <w:rPr/>
                        <w:t xml:space="preserve">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As previously announced, on January 6, 2025, Shutterstock, Inc. (the “Company”), entered into an Agreement and Plan of Merger (the “Merger Agreement”), by and among Getty Images Holdings, Inc. (“Getty Images”), the Company and certain other parties. After reviewing the proposed merger, the U.K. Competition and Markets Authority (the “CMA”) conditioned its required clearance of the transactions contemplated by the Merger Agreement upon a sale of the Company’s editorial business. </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On June 30, 2026, Getty Images filed a Current Report on Form 8-K announcing that its Board of Directors unanimously resolved (a) not to proceed with the process to sell the Company’s editorial business under the supervision of the CMA, and (b) to terminate the Merger Agreement following the passage of the Second Extended End Date (as defined in the Merger Agreement) on July 6, 2026, assuming no material change in the aforementioned circumstances prior to July 7, 2026. </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On July 7, 2026, the Merger Agreement was terminated. </w:t>
      </w:r>
    </w:p>
    <w:p>
      <w:pPr>
        <w:pStyle w:val="TextBody"/>
        <w:bidi w:val="0"/>
        <w:spacing w:before="0" w:after="0"/>
        <w:jc w:val="left"/>
        <w:rPr>
          <w:color w:val="000000"/>
        </w:rPr>
      </w:pPr>
      <w:r>
        <w:rPr>
          <w:color w:val="000000"/>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color w:val="000000"/>
        </w:rPr>
      </w:pPr>
      <w:r>
        <w:rPr>
          <w:color w:val="000000"/>
        </w:rPr>
        <w:t xml:space="preserve">  </w:t>
      </w:r>
    </w:p>
    <w:tbl>
      <w:tblPr>
        <w:tblW w:w="4953" w:type="dxa"/>
        <w:jc w:val="left"/>
        <w:tblInd w:w="0" w:type="dxa"/>
        <w:tblLayout w:type="fixed"/>
        <w:tblCellMar>
          <w:top w:w="28" w:type="dxa"/>
          <w:left w:w="28" w:type="dxa"/>
          <w:bottom w:w="28" w:type="dxa"/>
          <w:right w:w="28" w:type="dxa"/>
        </w:tblCellMar>
      </w:tblPr>
      <w:tblGrid>
        <w:gridCol w:w="2041"/>
        <w:gridCol w:w="511"/>
        <w:gridCol w:w="2401"/>
      </w:tblGrid>
      <w:tr>
        <w:trPr/>
        <w:tc>
          <w:tcPr>
            <w:tcW w:w="204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2401" w:type="dxa"/>
            <w:tcBorders/>
            <w:vAlign w:val="center"/>
          </w:tcPr>
          <w:p>
            <w:pPr>
              <w:pStyle w:val="TableContents"/>
              <w:bidi w:val="0"/>
              <w:spacing w:before="0" w:after="283"/>
              <w:jc w:val="left"/>
              <w:rPr/>
            </w:pPr>
            <w:r>
              <w:rPr/>
              <w:t> </w:t>
            </w:r>
          </w:p>
        </w:tc>
      </w:tr>
      <w:tr>
        <w:trPr/>
        <w:tc>
          <w:tcPr>
            <w:tcW w:w="2041" w:type="dxa"/>
            <w:tcBorders/>
            <w:vAlign w:val="center"/>
          </w:tcPr>
          <w:p>
            <w:pPr>
              <w:pStyle w:val="TableContents"/>
              <w:bidi w:val="0"/>
              <w:spacing w:before="0" w:after="283"/>
              <w:jc w:val="left"/>
              <w:rPr/>
            </w:pPr>
            <w:r>
              <w:rPr/>
              <w:t> </w:t>
            </w:r>
          </w:p>
        </w:tc>
        <w:tc>
          <w:tcPr>
            <w:tcW w:w="2912" w:type="dxa"/>
            <w:gridSpan w:val="2"/>
            <w:tcBorders/>
            <w:vAlign w:val="center"/>
          </w:tcPr>
          <w:p>
            <w:pPr>
              <w:pStyle w:val="TableContents"/>
              <w:bidi w:val="0"/>
              <w:spacing w:before="0" w:after="283"/>
              <w:jc w:val="left"/>
              <w:rPr/>
            </w:pPr>
            <w:r>
              <w:rPr>
                <w:b/>
              </w:rPr>
              <w:t>SHUTTERSTOCK, INC.</w:t>
            </w:r>
            <w:r>
              <w:rPr/>
              <w:t xml:space="preserve"> </w:t>
            </w:r>
          </w:p>
        </w:tc>
      </w:tr>
      <w:tr>
        <w:trPr/>
        <w:tc>
          <w:tcPr>
            <w:tcW w:w="204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2401" w:type="dxa"/>
            <w:tcBorders/>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xml:space="preserve">Dated: July 8, 2026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xml:space="preserve">By: </w:t>
            </w:r>
          </w:p>
        </w:tc>
        <w:tc>
          <w:tcPr>
            <w:tcW w:w="240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Rik Powell </w:t>
            </w:r>
          </w:p>
        </w:tc>
      </w:tr>
      <w:tr>
        <w:trPr/>
        <w:tc>
          <w:tcPr>
            <w:tcW w:w="204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2401" w:type="dxa"/>
            <w:tcBorders/>
            <w:vAlign w:val="center"/>
          </w:tcPr>
          <w:p>
            <w:pPr>
              <w:pStyle w:val="TableContents"/>
              <w:bidi w:val="0"/>
              <w:spacing w:before="0" w:after="0"/>
              <w:jc w:val="left"/>
              <w:rPr/>
            </w:pPr>
            <w:r>
              <w:rPr/>
              <w:t xml:space="preserve">Rik Powell </w:t>
            </w:r>
          </w:p>
        </w:tc>
      </w:tr>
      <w:tr>
        <w:trPr/>
        <w:tc>
          <w:tcPr>
            <w:tcW w:w="204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2401" w:type="dxa"/>
            <w:tcBorders/>
            <w:vAlign w:val="center"/>
          </w:tcPr>
          <w:p>
            <w:pPr>
              <w:pStyle w:val="TableContents"/>
              <w:bidi w:val="0"/>
              <w:spacing w:before="0" w:after="0"/>
              <w:jc w:val="left"/>
              <w:rPr/>
            </w:pPr>
            <w:r>
              <w:rPr/>
              <w:t xml:space="preserve">Chief Financial Officer </w:t>
            </w:r>
          </w:p>
        </w:tc>
      </w:tr>
    </w:tbl>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520</Words>
  <Characters>2827</Characters>
  <CharactersWithSpaces>3419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