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395605</wp:posOffset>
            </wp:positionH>
            <wp:positionV relativeFrom="page">
              <wp:posOffset>890905</wp:posOffset>
            </wp:positionV>
            <wp:extent cx="70084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8495" cy="6985"/>
                    </a:xfrm>
                    <a:prstGeom prst="rect">
                      <a:avLst/>
                    </a:prstGeom>
                    <a:noFill/>
                  </pic:spPr>
                </pic:pic>
              </a:graphicData>
            </a:graphic>
          </wp:anchor>
        </w:drawing>
        <w:drawing>
          <wp:anchor simplePos="0" relativeHeight="251657728" behindDoc="1" locked="0" layoutInCell="0" allowOverlap="1">
            <wp:simplePos x="0" y="0"/>
            <wp:positionH relativeFrom="page">
              <wp:posOffset>395605</wp:posOffset>
            </wp:positionH>
            <wp:positionV relativeFrom="page">
              <wp:posOffset>857250</wp:posOffset>
            </wp:positionV>
            <wp:extent cx="70084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8495" cy="1333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8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1046480</wp:posOffset>
            </wp:positionH>
            <wp:positionV relativeFrom="paragraph">
              <wp:posOffset>83820</wp:posOffset>
            </wp:positionV>
            <wp:extent cx="4682490" cy="390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82490" cy="390525"/>
                    </a:xfrm>
                    <a:prstGeom prst="rect">
                      <a:avLst/>
                    </a:prstGeom>
                    <a:noFill/>
                  </pic:spPr>
                </pic:pic>
              </a:graphicData>
            </a:graphic>
          </wp:anchor>
        </w:drawing>
      </w:r>
    </w:p>
    <w:p>
      <w:pPr>
        <w:spacing w:after="0" w:line="11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FORM8-K/A</w:t>
      </w:r>
    </w:p>
    <w:p>
      <w:pPr>
        <w:spacing w:after="0" w:line="7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80"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28"/>
          <w:szCs w:val="28"/>
          <w:b w:val="1"/>
          <w:bCs w:val="1"/>
          <w:color w:val="auto"/>
          <w:vertAlign w:val="superscript"/>
        </w:rPr>
        <w:t>July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1046480</wp:posOffset>
            </wp:positionH>
            <wp:positionV relativeFrom="paragraph">
              <wp:posOffset>-17780</wp:posOffset>
            </wp:positionV>
            <wp:extent cx="46755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75505" cy="6985"/>
                    </a:xfrm>
                    <a:prstGeom prst="rect">
                      <a:avLst/>
                    </a:prstGeom>
                    <a:noFill/>
                  </pic:spPr>
                </pic:pic>
              </a:graphicData>
            </a:graphic>
          </wp:anchor>
        </w:drawing>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1046480</wp:posOffset>
            </wp:positionH>
            <wp:positionV relativeFrom="paragraph">
              <wp:posOffset>55880</wp:posOffset>
            </wp:positionV>
            <wp:extent cx="46755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75505" cy="6985"/>
                    </a:xfrm>
                    <a:prstGeom prst="rect">
                      <a:avLst/>
                    </a:prstGeom>
                    <a:noFill/>
                  </pic:spPr>
                </pic:pic>
              </a:graphicData>
            </a:graphic>
          </wp:anchor>
        </w:drawing>
      </w:r>
    </w:p>
    <w:p>
      <w:pPr>
        <w:spacing w:after="0" w:line="8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1046480</wp:posOffset>
            </wp:positionH>
            <wp:positionV relativeFrom="paragraph">
              <wp:posOffset>28575</wp:posOffset>
            </wp:positionV>
            <wp:extent cx="46755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75505" cy="6985"/>
                    </a:xfrm>
                    <a:prstGeom prst="rect">
                      <a:avLst/>
                    </a:prstGeom>
                    <a:noFill/>
                  </pic:spPr>
                </pic:pic>
              </a:graphicData>
            </a:graphic>
          </wp:anchor>
        </w:drawing>
      </w:r>
    </w:p>
    <w:p>
      <w:pPr>
        <w:sectPr>
          <w:pgSz w:w="11900" w:h="16838" w:orient="portrait"/>
          <w:cols w:equalWidth="0" w:num="1">
            <w:col w:w="11040"/>
          </w:cols>
          <w:pgMar w:left="620" w:top="1440" w:right="239" w:bottom="1440" w:gutter="0" w:footer="0" w:header="0"/>
        </w:sectPr>
      </w:pPr>
    </w:p>
    <w:p>
      <w:pPr>
        <w:spacing w:after="0" w:line="24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4"/>
          <w:szCs w:val="14"/>
          <w:b w:val="1"/>
          <w:bCs w:val="1"/>
          <w:color w:val="auto"/>
        </w:rPr>
        <w:t>001-35669</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80-0812659</w:t>
      </w:r>
    </w:p>
    <w:p>
      <w:pPr>
        <w:spacing w:after="0" w:line="51" w:lineRule="exact"/>
        <w:rPr>
          <w:sz w:val="24"/>
          <w:szCs w:val="24"/>
          <w:color w:val="auto"/>
        </w:rPr>
      </w:pPr>
    </w:p>
    <w:p>
      <w:pPr>
        <w:sectPr>
          <w:pgSz w:w="11900" w:h="16838" w:orient="portrait"/>
          <w:cols w:equalWidth="0" w:num="3">
            <w:col w:w="4280" w:space="720"/>
            <w:col w:w="3180" w:space="720"/>
            <w:col w:w="2140"/>
          </w:cols>
          <w:pgMar w:left="620" w:top="1440" w:right="239" w:bottom="1440" w:gutter="0" w:footer="0" w:header="0"/>
          <w:type w:val="continuous"/>
        </w:sectPr>
      </w:pPr>
    </w:p>
    <w:p>
      <w:pPr>
        <w:jc w:val="center"/>
        <w:ind w:right="150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1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1"/>
          <w:szCs w:val="1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Times New Roman" w:cs="Times New Roman" w:eastAsia="Times New Roman" w:hAnsi="Times New Roman"/>
          <w:sz w:val="11"/>
          <w:szCs w:val="11"/>
          <w:color w:val="auto"/>
        </w:rPr>
        <w:t>(IRS Employer</w:t>
      </w:r>
    </w:p>
    <w:p>
      <w:pPr>
        <w:spacing w:after="0" w:line="13"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180" w:lineRule="exact"/>
        <w:rPr>
          <w:sz w:val="24"/>
          <w:szCs w:val="24"/>
          <w:color w:val="auto"/>
        </w:rPr>
      </w:pPr>
    </w:p>
    <w:p>
      <w:pPr>
        <w:sectPr>
          <w:pgSz w:w="11900" w:h="16838" w:orient="portrait"/>
          <w:cols w:equalWidth="0" w:num="3">
            <w:col w:w="4280" w:space="720"/>
            <w:col w:w="3100" w:space="720"/>
            <w:col w:w="2220"/>
          </w:cols>
          <w:pgMar w:left="620" w:top="1440" w:right="2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350 Fifth Avenue, 20th Floor</w:t>
      </w:r>
    </w:p>
    <w:p>
      <w:pPr>
        <w:spacing w:after="0" w:line="2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New York, NY 10118</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7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(646) 710-3417</w:t>
      </w:r>
    </w:p>
    <w:p>
      <w:pPr>
        <w:sectPr>
          <w:pgSz w:w="11900" w:h="16838" w:orient="portrait"/>
          <w:cols w:equalWidth="0" w:num="1">
            <w:col w:w="11040"/>
          </w:cols>
          <w:pgMar w:left="620" w:top="1440" w:right="239" w:bottom="1440" w:gutter="0" w:footer="0" w:header="0"/>
          <w:type w:val="continuous"/>
        </w:sectPr>
      </w:pPr>
    </w:p>
    <w:p>
      <w:pPr>
        <w:spacing w:after="0" w:line="9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3"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color w:val="auto"/>
        </w:rPr>
        <w:t>Not applicable</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1" w:lineRule="exact"/>
        <w:rPr>
          <w:sz w:val="24"/>
          <w:szCs w:val="24"/>
          <w:color w:val="auto"/>
        </w:rPr>
      </w:pPr>
    </w:p>
    <w:p>
      <w:pPr>
        <w:ind w:left="520" w:hanging="50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5" w:lineRule="exact"/>
        <w:rPr>
          <w:rFonts w:ascii="MS PGothic" w:cs="MS PGothic" w:eastAsia="MS PGothic" w:hAnsi="MS PGothic"/>
          <w:sz w:val="14"/>
          <w:szCs w:val="14"/>
          <w:color w:val="auto"/>
        </w:rPr>
      </w:pPr>
    </w:p>
    <w:p>
      <w:pPr>
        <w:ind w:left="520" w:hanging="50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520" w:hanging="50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520" w:hanging="50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84"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780" w:type="dxa"/>
            <w:vAlign w:val="bottom"/>
            <w:tcBorders>
              <w:top w:val="single" w:sz="8" w:color="auto"/>
              <w:bottom w:val="single" w:sz="8" w:color="auto"/>
            </w:tcBorders>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Class</w:t>
            </w:r>
          </w:p>
        </w:tc>
        <w:tc>
          <w:tcPr>
            <w:tcW w:w="2000" w:type="dxa"/>
            <w:vAlign w:val="bottom"/>
            <w:tcBorders>
              <w:top w:val="single" w:sz="8" w:color="auto"/>
              <w:bottom w:val="single" w:sz="8" w:color="auto"/>
            </w:tcBorders>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3400" w:type="dxa"/>
            <w:vAlign w:val="bottom"/>
            <w:tcBorders>
              <w:top w:val="single" w:sz="8" w:color="auto"/>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45"/>
        </w:trPr>
        <w:tc>
          <w:tcPr>
            <w:tcW w:w="3780" w:type="dxa"/>
            <w:vAlign w:val="bottom"/>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Common Stock, $0.01 par value per share</w:t>
            </w:r>
          </w:p>
        </w:tc>
        <w:tc>
          <w:tcPr>
            <w:tcW w:w="200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w w:val="99"/>
              </w:rPr>
              <w:t>SSTK</w:t>
            </w:r>
          </w:p>
        </w:tc>
        <w:tc>
          <w:tcPr>
            <w:tcW w:w="340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New York Stock Exchange</w:t>
            </w:r>
          </w:p>
        </w:tc>
      </w:tr>
    </w:tbl>
    <w:p>
      <w:pPr>
        <w:spacing w:after="0" w:line="102" w:lineRule="exact"/>
        <w:rPr>
          <w:sz w:val="24"/>
          <w:szCs w:val="24"/>
          <w:color w:val="auto"/>
        </w:rPr>
      </w:pPr>
    </w:p>
    <w:p>
      <w:pPr>
        <w:ind w:left="50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 Exchange Act of 1934 (§240.12b-2 of this chapter).</w:t>
      </w:r>
    </w:p>
    <w:p>
      <w:pPr>
        <w:spacing w:after="0" w:line="51" w:lineRule="exact"/>
        <w:rPr>
          <w:sz w:val="24"/>
          <w:szCs w:val="24"/>
          <w:color w:val="auto"/>
        </w:rPr>
      </w:pPr>
    </w:p>
    <w:p>
      <w:pPr>
        <w:ind w:left="500" w:hanging="483"/>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61" w:lineRule="exact"/>
        <w:rPr>
          <w:rFonts w:ascii="MS PGothic" w:cs="MS PGothic" w:eastAsia="MS PGothic" w:hAnsi="MS PGothic"/>
          <w:sz w:val="14"/>
          <w:szCs w:val="14"/>
          <w:color w:val="auto"/>
        </w:rPr>
      </w:pPr>
    </w:p>
    <w:p>
      <w:pPr>
        <w:ind w:left="500" w:right="60" w:hanging="483"/>
        <w:spacing w:after="0" w:line="239" w:lineRule="auto"/>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1099820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236855</wp:posOffset>
            </wp:positionV>
            <wp:extent cx="700849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849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216535</wp:posOffset>
            </wp:positionV>
            <wp:extent cx="70084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8495" cy="6985"/>
                    </a:xfrm>
                    <a:prstGeom prst="rect">
                      <a:avLst/>
                    </a:prstGeom>
                    <a:noFill/>
                  </pic:spPr>
                </pic:pic>
              </a:graphicData>
            </a:graphic>
          </wp:anchor>
        </w:drawing>
      </w:r>
    </w:p>
    <w:p>
      <w:pPr>
        <w:sectPr>
          <w:pgSz w:w="11900" w:h="16838" w:orient="portrait"/>
          <w:cols w:equalWidth="0" w:num="1">
            <w:col w:w="11040"/>
          </w:cols>
          <w:pgMar w:left="620" w:top="1440" w:right="239" w:bottom="1440" w:gutter="0" w:footer="0" w:header="0"/>
          <w:type w:val="continuous"/>
        </w:sectPr>
      </w:pPr>
    </w:p>
    <w:bookmarkStart w:id="1" w:name="page2"/>
    <w:bookmarkEnd w:id="1"/>
    <w:p>
      <w:pPr>
        <w:spacing w:after="0" w:line="275" w:lineRule="exact"/>
        <w:rPr>
          <w:sz w:val="20"/>
          <w:szCs w:val="20"/>
          <w:color w:val="auto"/>
        </w:rPr>
      </w:pPr>
    </w:p>
    <w:p>
      <w:pPr>
        <w:ind w:left="340"/>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Item 2.01</w:t>
      </w:r>
      <w:r>
        <w:rPr>
          <w:sz w:val="20"/>
          <w:szCs w:val="20"/>
          <w:color w:val="auto"/>
        </w:rPr>
        <w:tab/>
      </w:r>
      <w:r>
        <w:rPr>
          <w:rFonts w:ascii="Times New Roman" w:cs="Times New Roman" w:eastAsia="Times New Roman" w:hAnsi="Times New Roman"/>
          <w:sz w:val="14"/>
          <w:szCs w:val="14"/>
          <w:b w:val="1"/>
          <w:bCs w:val="1"/>
          <w:color w:val="auto"/>
        </w:rPr>
        <w:t>Completion of Acquisition or Disposition of Assets.</w:t>
      </w:r>
    </w:p>
    <w:p>
      <w:pPr>
        <w:spacing w:after="0" w:line="149" w:lineRule="exact"/>
        <w:rPr>
          <w:sz w:val="20"/>
          <w:szCs w:val="20"/>
          <w:color w:val="auto"/>
        </w:rPr>
      </w:pPr>
    </w:p>
    <w:p>
      <w:pPr>
        <w:ind w:right="240" w:firstLine="318"/>
        <w:spacing w:after="0" w:line="245" w:lineRule="auto"/>
        <w:rPr>
          <w:sz w:val="20"/>
          <w:szCs w:val="20"/>
          <w:color w:val="auto"/>
        </w:rPr>
      </w:pPr>
      <w:r>
        <w:rPr>
          <w:rFonts w:ascii="Times New Roman" w:cs="Times New Roman" w:eastAsia="Times New Roman" w:hAnsi="Times New Roman"/>
          <w:sz w:val="14"/>
          <w:szCs w:val="14"/>
          <w:color w:val="auto"/>
        </w:rPr>
        <w:t>As previously disclosed in the Current Report on Form 8-K filed with the U.S. Securities and Exchange Commission (the “SEC”) by Shutterstock, Inc. (the “Company”) on July 22, 2024 (the “Original Form 8-K”), the Company consummated its previously announced acquisition of Envato Pty Ltd. (“Envato”) on July 22, 2024 pursuant to the Share Purchase Agreement (the “Purchase Agreement”), whereby Garnett-Saunders Pty Ltd, Draconis Holdings Pty Ltd and Ta’eed Felah Pty Ltd (collectively, the “Sellers”) sold, and Shutterstock AUS EMU Pty Ltd., a wholly owned indirect subsidiary of the Company (“Purchaser”) purchased, all of the issued and outstanding capital stock of Envato. The consideration payable by the Company pursuant to the Purchase Agreement, after customary working capital and other adjustments in accordance with the terms of the Purchase Agreement, was approximately $250 million.</w:t>
      </w:r>
    </w:p>
    <w:p>
      <w:pPr>
        <w:spacing w:after="0" w:line="165" w:lineRule="exact"/>
        <w:rPr>
          <w:sz w:val="20"/>
          <w:szCs w:val="20"/>
          <w:color w:val="auto"/>
        </w:rPr>
      </w:pPr>
    </w:p>
    <w:p>
      <w:pPr>
        <w:ind w:right="100" w:firstLine="318"/>
        <w:spacing w:after="0" w:line="271" w:lineRule="auto"/>
        <w:rPr>
          <w:sz w:val="20"/>
          <w:szCs w:val="20"/>
          <w:color w:val="auto"/>
        </w:rPr>
      </w:pPr>
      <w:r>
        <w:rPr>
          <w:rFonts w:ascii="Times New Roman" w:cs="Times New Roman" w:eastAsia="Times New Roman" w:hAnsi="Times New Roman"/>
          <w:sz w:val="14"/>
          <w:szCs w:val="14"/>
          <w:color w:val="auto"/>
        </w:rPr>
        <w:t>This Form 8-K/A has been filed to amend and supplement the Original Form 8-K to provide the financial statements described in Item 9.01 below, which are permitted to be filed by amendment not later than 71 calendar days after the date that the Original Form 8-K was required to be filed with the SEC.</w:t>
      </w:r>
    </w:p>
    <w:p>
      <w:pPr>
        <w:spacing w:after="0" w:line="186" w:lineRule="exact"/>
        <w:rPr>
          <w:sz w:val="20"/>
          <w:szCs w:val="20"/>
          <w:color w:val="auto"/>
        </w:rPr>
      </w:pPr>
    </w:p>
    <w:p>
      <w:pPr>
        <w:ind w:left="340"/>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47" w:lineRule="exact"/>
        <w:rPr>
          <w:sz w:val="20"/>
          <w:szCs w:val="20"/>
          <w:color w:val="auto"/>
        </w:rPr>
      </w:pPr>
    </w:p>
    <w:p>
      <w:pPr>
        <w:ind w:left="520" w:hanging="197"/>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statements of businesses or funds acquired.</w:t>
      </w:r>
    </w:p>
    <w:p>
      <w:pPr>
        <w:spacing w:after="0" w:line="191" w:lineRule="exact"/>
        <w:rPr>
          <w:sz w:val="20"/>
          <w:szCs w:val="20"/>
          <w:color w:val="auto"/>
        </w:rPr>
      </w:pPr>
    </w:p>
    <w:p>
      <w:pPr>
        <w:ind w:right="400" w:firstLine="318"/>
        <w:spacing w:after="0" w:line="254" w:lineRule="auto"/>
        <w:rPr>
          <w:sz w:val="20"/>
          <w:szCs w:val="20"/>
          <w:color w:val="auto"/>
        </w:rPr>
      </w:pPr>
      <w:r>
        <w:rPr>
          <w:rFonts w:ascii="Times New Roman" w:cs="Times New Roman" w:eastAsia="Times New Roman" w:hAnsi="Times New Roman"/>
          <w:sz w:val="14"/>
          <w:szCs w:val="14"/>
          <w:color w:val="auto"/>
        </w:rPr>
        <w:t>Envato’s audited consolidated financial statements as of and for the year ended June 30, 2023 and unaudited condensed consolidated financial statements for the six-month periods ended December 31, 2023 and 2022 are attached as Exhibits 99.1 and 99.2, respectively, to this Form 8-K/A and incorporated herein by reference. Such financial statements of Envato were prepared in accordance with International Financial Reporting Standards as issued by the International Accounting Standards Board.</w:t>
      </w:r>
    </w:p>
    <w:p>
      <w:pPr>
        <w:spacing w:after="0" w:line="155" w:lineRule="exact"/>
        <w:rPr>
          <w:sz w:val="20"/>
          <w:szCs w:val="20"/>
          <w:color w:val="auto"/>
        </w:rPr>
      </w:pPr>
    </w:p>
    <w:p>
      <w:pPr>
        <w:ind w:left="520" w:hanging="197"/>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 forma financial information.</w:t>
      </w:r>
    </w:p>
    <w:p>
      <w:pPr>
        <w:spacing w:after="0" w:line="191" w:lineRule="exact"/>
        <w:rPr>
          <w:sz w:val="20"/>
          <w:szCs w:val="20"/>
          <w:color w:val="auto"/>
        </w:rPr>
      </w:pPr>
    </w:p>
    <w:p>
      <w:pPr>
        <w:ind w:right="160" w:firstLine="318"/>
        <w:spacing w:after="0" w:line="271"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as of and for the three months ended March 31, 2024, and for the year ended December 31, 2023, related to the Company’s acquisition of Envato are attached as Exhibit 99.3 to this Form 8-K/A and incorporated herein by reference.</w:t>
      </w:r>
    </w:p>
    <w:p>
      <w:pPr>
        <w:spacing w:after="0" w:line="144" w:lineRule="exact"/>
        <w:rPr>
          <w:sz w:val="20"/>
          <w:szCs w:val="20"/>
          <w:color w:val="auto"/>
        </w:rPr>
      </w:pPr>
    </w:p>
    <w:p>
      <w:pPr>
        <w:ind w:left="520" w:hanging="19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1840" w:type="dxa"/>
            <w:vAlign w:val="bottom"/>
            <w:gridSpan w:val="2"/>
          </w:tcPr>
          <w:p>
            <w:pPr>
              <w:ind w:left="62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40" w:type="dxa"/>
            <w:vAlign w:val="bottom"/>
            <w:gridSpan w:val="4"/>
          </w:tcPr>
          <w:p>
            <w:pPr>
              <w:ind w:left="232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80" w:type="dxa"/>
            <w:vAlign w:val="bottom"/>
          </w:tcPr>
          <w:p>
            <w:pPr>
              <w:spacing w:after="0"/>
              <w:rPr>
                <w:sz w:val="12"/>
                <w:szCs w:val="12"/>
                <w:color w:val="auto"/>
              </w:rPr>
            </w:pPr>
          </w:p>
        </w:tc>
      </w:tr>
      <w:tr>
        <w:trPr>
          <w:trHeight w:val="30"/>
        </w:trPr>
        <w:tc>
          <w:tcPr>
            <w:tcW w:w="3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362"/>
        </w:trPr>
        <w:tc>
          <w:tcPr>
            <w:tcW w:w="1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23.1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Consent of PricewaterhouseCoopers</w:t>
            </w:r>
          </w:p>
        </w:tc>
        <w:tc>
          <w:tcPr>
            <w:tcW w:w="704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r>
      <w:tr>
        <w:trPr>
          <w:trHeight w:val="320"/>
        </w:trPr>
        <w:tc>
          <w:tcPr>
            <w:tcW w:w="1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Envato Pty Ltd audited consolidated financial statements as of and for the year ended June 30, 2023</w:t>
            </w:r>
          </w:p>
        </w:tc>
        <w:tc>
          <w:tcPr>
            <w:tcW w:w="80" w:type="dxa"/>
            <w:vAlign w:val="bottom"/>
          </w:tcPr>
          <w:p>
            <w:pPr>
              <w:spacing w:after="0"/>
              <w:rPr>
                <w:sz w:val="24"/>
                <w:szCs w:val="24"/>
                <w:color w:val="auto"/>
              </w:rPr>
            </w:pPr>
          </w:p>
        </w:tc>
      </w:tr>
      <w:tr>
        <w:trPr>
          <w:trHeight w:val="20"/>
        </w:trPr>
        <w:tc>
          <w:tcPr>
            <w:tcW w:w="1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1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99.2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Envato Pty Ltd unaudited condensed consolidated financial statements for the six-month periods ended December 31, 2023 and 2022</w:t>
            </w:r>
          </w:p>
        </w:tc>
        <w:tc>
          <w:tcPr>
            <w:tcW w:w="15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r>
      <w:tr>
        <w:trPr>
          <w:trHeight w:val="320"/>
        </w:trPr>
        <w:tc>
          <w:tcPr>
            <w:tcW w:w="1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99.3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Shutterstock, Inc. Unaudited pro forma condensed combined financial information as of and for the three months ended March 31, 2024 and for the year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0"/>
        </w:trPr>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6"/>
          </w:tcPr>
          <w:p>
            <w:pPr>
              <w:spacing w:after="0" w:line="150" w:lineRule="exact"/>
              <w:rPr>
                <w:sz w:val="20"/>
                <w:szCs w:val="20"/>
                <w:color w:val="auto"/>
              </w:rPr>
            </w:pPr>
            <w:r>
              <w:rPr>
                <w:rFonts w:ascii="Times New Roman" w:cs="Times New Roman" w:eastAsia="Times New Roman" w:hAnsi="Times New Roman"/>
                <w:sz w:val="14"/>
                <w:szCs w:val="14"/>
                <w:color w:val="0000FF"/>
              </w:rPr>
              <w:t>December 31, 2023</w:t>
            </w:r>
          </w:p>
        </w:tc>
        <w:tc>
          <w:tcPr>
            <w:tcW w:w="80" w:type="dxa"/>
            <w:vAlign w:val="bottom"/>
          </w:tcPr>
          <w:p>
            <w:pPr>
              <w:spacing w:after="0"/>
              <w:rPr>
                <w:sz w:val="13"/>
                <w:szCs w:val="13"/>
                <w:color w:val="auto"/>
              </w:rPr>
            </w:pPr>
          </w:p>
        </w:tc>
      </w:tr>
      <w:tr>
        <w:trPr>
          <w:trHeight w:val="20"/>
        </w:trPr>
        <w:tc>
          <w:tcPr>
            <w:tcW w:w="1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1"/>
        </w:trPr>
        <w:tc>
          <w:tcPr>
            <w:tcW w:w="1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5"/>
              </w:rPr>
              <w:t>104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c>
          <w:tcPr>
            <w:tcW w:w="80" w:type="dxa"/>
            <w:vAlign w:val="bottom"/>
          </w:tcPr>
          <w:p>
            <w:pPr>
              <w:spacing w:after="0"/>
              <w:rPr>
                <w:sz w:val="24"/>
                <w:szCs w:val="24"/>
                <w:color w:val="auto"/>
              </w:rPr>
            </w:pPr>
          </w:p>
        </w:tc>
      </w:tr>
      <w:tr>
        <w:trPr>
          <w:trHeight w:val="1190"/>
        </w:trPr>
        <w:tc>
          <w:tcPr>
            <w:tcW w:w="3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440" w:right="239" w:bottom="1440" w:gutter="0" w:footer="0" w:header="0"/>
        </w:sectPr>
      </w:pPr>
    </w:p>
    <w:bookmarkStart w:id="2" w:name="page3"/>
    <w:bookmarkEnd w:id="2"/>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802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SHUTTERSTOCK, INC.</w:t>
            </w:r>
          </w:p>
        </w:tc>
      </w:tr>
      <w:tr>
        <w:trPr>
          <w:trHeight w:val="541"/>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Dated: October 3, 2024</w:t>
            </w:r>
          </w:p>
        </w:tc>
        <w:tc>
          <w:tcPr>
            <w:tcW w:w="226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By:</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Jarrod Yahes</w:t>
            </w:r>
          </w:p>
        </w:tc>
      </w:tr>
      <w:tr>
        <w:trPr>
          <w:trHeight w:val="167"/>
        </w:trPr>
        <w:tc>
          <w:tcPr>
            <w:tcW w:w="3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Jarrod Yahes</w:t>
            </w:r>
          </w:p>
        </w:tc>
      </w:tr>
      <w:tr>
        <w:trPr>
          <w:trHeight w:val="184"/>
        </w:trPr>
        <w:tc>
          <w:tcPr>
            <w:tcW w:w="30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040"/>
          </w:cols>
          <w:pgMar w:left="620" w:top="122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AUDITORS</w:t>
      </w:r>
    </w:p>
    <w:p>
      <w:pPr>
        <w:spacing w:after="0" w:line="235" w:lineRule="exact"/>
        <w:rPr>
          <w:sz w:val="20"/>
          <w:szCs w:val="20"/>
          <w:color w:val="auto"/>
        </w:rPr>
      </w:pPr>
    </w:p>
    <w:p>
      <w:pPr>
        <w:ind w:right="180"/>
        <w:spacing w:after="0" w:line="320" w:lineRule="auto"/>
        <w:rPr>
          <w:sz w:val="20"/>
          <w:szCs w:val="20"/>
          <w:color w:val="auto"/>
        </w:rPr>
      </w:pPr>
      <w:r>
        <w:rPr>
          <w:rFonts w:ascii="Georgia" w:cs="Georgia" w:eastAsia="Georgia" w:hAnsi="Georgia"/>
          <w:sz w:val="14"/>
          <w:szCs w:val="14"/>
          <w:color w:val="auto"/>
        </w:rPr>
        <w:t>We hereby consent to the incorporation by reference in the Registration Statements on Form S-3 (No. 333-276203) and on Form S-8 (Nos. 333-184371, 333-184544, 333-202395, 333-268480 and 333-280093) of Shutterstock, Inc. of our report dated September 10, 2024 relating to the financial statements of Envato Pty Ltd, which appears in this Current Report on Form 8-K/A.</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color w:val="auto"/>
        </w:rPr>
        <w:t>/s/ PricewaterhouseCoopers</w:t>
      </w:r>
    </w:p>
    <w:p>
      <w:pPr>
        <w:spacing w:after="0" w:line="53" w:lineRule="exact"/>
        <w:rPr>
          <w:sz w:val="20"/>
          <w:szCs w:val="20"/>
          <w:color w:val="auto"/>
        </w:rPr>
      </w:pPr>
    </w:p>
    <w:p>
      <w:pPr>
        <w:spacing w:after="0"/>
        <w:rPr>
          <w:sz w:val="20"/>
          <w:szCs w:val="20"/>
          <w:color w:val="auto"/>
        </w:rPr>
      </w:pPr>
      <w:r>
        <w:rPr>
          <w:rFonts w:ascii="Georgia" w:cs="Georgia" w:eastAsia="Georgia" w:hAnsi="Georgia"/>
          <w:sz w:val="14"/>
          <w:szCs w:val="14"/>
          <w:color w:val="auto"/>
        </w:rPr>
        <w:t>Melbourne, Australia</w:t>
      </w:r>
    </w:p>
    <w:p>
      <w:pPr>
        <w:spacing w:after="0" w:line="53" w:lineRule="exact"/>
        <w:rPr>
          <w:sz w:val="20"/>
          <w:szCs w:val="20"/>
          <w:color w:val="auto"/>
        </w:rPr>
      </w:pPr>
    </w:p>
    <w:p>
      <w:pPr>
        <w:spacing w:after="0"/>
        <w:rPr>
          <w:sz w:val="20"/>
          <w:szCs w:val="20"/>
          <w:color w:val="auto"/>
        </w:rPr>
      </w:pPr>
      <w:r>
        <w:rPr>
          <w:rFonts w:ascii="Georgia" w:cs="Georgia" w:eastAsia="Georgia" w:hAnsi="Georgia"/>
          <w:sz w:val="14"/>
          <w:szCs w:val="14"/>
          <w:color w:val="auto"/>
        </w:rPr>
        <w:t>October 3, 2024</w:t>
      </w:r>
    </w:p>
    <w:p>
      <w:pPr>
        <w:sectPr>
          <w:pgSz w:w="11900" w:h="16838" w:orient="portrait"/>
          <w:cols w:equalWidth="0" w:num="1">
            <w:col w:w="11280"/>
          </w:cols>
          <w:pgMar w:left="300" w:top="728"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181" w:lineRule="exact"/>
        <w:rPr>
          <w:sz w:val="20"/>
          <w:szCs w:val="20"/>
          <w:color w:val="auto"/>
        </w:rPr>
      </w:pPr>
    </w:p>
    <w:p>
      <w:pPr>
        <w:ind w:right="20" w:firstLine="318"/>
        <w:spacing w:after="0" w:line="262" w:lineRule="auto"/>
        <w:rPr>
          <w:sz w:val="20"/>
          <w:szCs w:val="20"/>
          <w:color w:val="auto"/>
        </w:rPr>
      </w:pPr>
      <w:r>
        <w:rPr>
          <w:rFonts w:ascii="Times New Roman" w:cs="Times New Roman" w:eastAsia="Times New Roman" w:hAnsi="Times New Roman"/>
          <w:sz w:val="14"/>
          <w:szCs w:val="14"/>
          <w:color w:val="auto"/>
        </w:rPr>
        <w:t>On July 22, 2024, the Company completed its previously announced acquisition of Envato Pty Ltd. (“Envato”) pursuant to a Share Purchase Agreement (the “Purchase Agreement”) entered into on May 1, 2024, to acquire all of the issued and outstanding capital stock of Envato (the "Envato Acquisition"). The aggregate consideration paid by the Company, after customary working capital and other adjustments in accordance with the terms of the Purchase Agreement, was $250 million.</w:t>
      </w:r>
    </w:p>
    <w:p>
      <w:pPr>
        <w:spacing w:after="0" w:line="15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4"/>
          <w:szCs w:val="14"/>
          <w:color w:val="auto"/>
        </w:rPr>
        <w:t>The Envato acquisition was funded through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of $125 million and (ii) senior unsecured revolving credit facility (the “Revolver”) in an aggregate principal amount of $250 million. The A&amp;R Credit Agreement provides for a letter of credit subfacility and a swingline facility.</w:t>
      </w:r>
    </w:p>
    <w:p>
      <w:pPr>
        <w:spacing w:after="0" w:line="1" w:lineRule="exact"/>
        <w:rPr>
          <w:sz w:val="20"/>
          <w:szCs w:val="20"/>
          <w:color w:val="auto"/>
        </w:rPr>
      </w:pPr>
    </w:p>
    <w:p>
      <w:pPr>
        <w:ind w:right="380" w:firstLine="318"/>
        <w:spacing w:after="0" w:line="266" w:lineRule="auto"/>
        <w:rPr>
          <w:sz w:val="20"/>
          <w:szCs w:val="20"/>
          <w:color w:val="auto"/>
        </w:rPr>
      </w:pPr>
      <w:r>
        <w:rPr>
          <w:rFonts w:ascii="Times New Roman" w:cs="Times New Roman" w:eastAsia="Times New Roman" w:hAnsi="Times New Roman"/>
          <w:sz w:val="14"/>
          <w:szCs w:val="14"/>
          <w:color w:val="auto"/>
        </w:rPr>
        <w:t xml:space="preserve">The Envato Acquisition was accounted for using the acquisition method of accounting for business combinations under the provisions of Financial Accounting Standards Board (“FASB”) Accounting Standard Codification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805”).</w:t>
      </w:r>
    </w:p>
    <w:p>
      <w:pPr>
        <w:spacing w:after="0" w:line="159"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In addition, on June 23, 2023, the Company completed its acquisition of Giphy, Inc. (“Giphy”) pursuant to a stock purchase agreement entered into with Meta Platforms, Inc. (“Meta”) on May 22, 2023, to acquire all the outstanding shares of Giphy (the “Giphy Acquisition”). The consideration paid by the Company was $53 million in net cash, in addition to cash acquired and other working capital adjustments. The Giphy Acquisition was accounted for using the acquisition method of accounting for business combinations under the provisions of ASC 805.</w:t>
      </w:r>
    </w:p>
    <w:p>
      <w:pPr>
        <w:spacing w:after="0" w:line="157" w:lineRule="exact"/>
        <w:rPr>
          <w:sz w:val="20"/>
          <w:szCs w:val="20"/>
          <w:color w:val="auto"/>
        </w:rPr>
      </w:pPr>
    </w:p>
    <w:p>
      <w:pPr>
        <w:ind w:right="380" w:firstLine="318"/>
        <w:spacing w:after="0" w:line="257" w:lineRule="auto"/>
        <w:rPr>
          <w:sz w:val="20"/>
          <w:szCs w:val="20"/>
          <w:color w:val="auto"/>
        </w:rPr>
      </w:pPr>
      <w:r>
        <w:rPr>
          <w:rFonts w:ascii="Times New Roman" w:cs="Times New Roman" w:eastAsia="Times New Roman" w:hAnsi="Times New Roman"/>
          <w:sz w:val="14"/>
          <w:szCs w:val="14"/>
          <w:color w:val="auto"/>
        </w:rPr>
        <w:t xml:space="preserve">The unaudited pro forma condensed combined financial statements were prepared in accordance with Article 11 of Regulation S-X, as amended by SEC Final Rule Release No. 33-10786, </w:t>
      </w:r>
      <w:r>
        <w:rPr>
          <w:rFonts w:ascii="Times New Roman" w:cs="Times New Roman" w:eastAsia="Times New Roman" w:hAnsi="Times New Roman"/>
          <w:sz w:val="14"/>
          <w:szCs w:val="14"/>
          <w:i w:val="1"/>
          <w:iCs w:val="1"/>
          <w:color w:val="auto"/>
        </w:rPr>
        <w:t xml:space="preserve">Amendments to Financial Disclosures About Acquired and Disposed Businesses </w:t>
      </w:r>
      <w:r>
        <w:rPr>
          <w:rFonts w:ascii="Times New Roman" w:cs="Times New Roman" w:eastAsia="Times New Roman" w:hAnsi="Times New Roman"/>
          <w:sz w:val="14"/>
          <w:szCs w:val="14"/>
          <w:color w:val="auto"/>
        </w:rPr>
        <w:t>and are presented to illustrate the estimated effects of the Envato Acquisition and the Giphy Acquisition.</w:t>
      </w:r>
    </w:p>
    <w:p>
      <w:pPr>
        <w:ind w:right="200" w:firstLine="318"/>
        <w:spacing w:after="0" w:line="242" w:lineRule="auto"/>
        <w:rPr>
          <w:sz w:val="20"/>
          <w:szCs w:val="20"/>
          <w:color w:val="auto"/>
        </w:rPr>
      </w:pPr>
      <w:r>
        <w:rPr>
          <w:rFonts w:ascii="Times New Roman" w:cs="Times New Roman" w:eastAsia="Times New Roman" w:hAnsi="Times New Roman"/>
          <w:sz w:val="14"/>
          <w:szCs w:val="14"/>
          <w:color w:val="auto"/>
        </w:rPr>
        <w:t>The unaudited pro forma condensed combined balance sheet was prepared as if the Envato Acquisition had occurred on March 31, 2024. The unaudited pro forma condensed combined statements of operations for the year ended December 31, 2023, and for the three months ended March 31, 2024 were prepared as if the Envato Acquisition and Giphy Acquisition had occurred on January 1, 2023. For all periods after June 23, 2023, Giphy’s results were included in the Shutterstock consolidated financial statements.</w:t>
      </w:r>
    </w:p>
    <w:p>
      <w:pPr>
        <w:spacing w:after="0" w:line="176" w:lineRule="exact"/>
        <w:rPr>
          <w:sz w:val="20"/>
          <w:szCs w:val="20"/>
          <w:color w:val="auto"/>
        </w:rPr>
      </w:pPr>
    </w:p>
    <w:p>
      <w:pPr>
        <w:ind w:right="400" w:firstLine="318"/>
        <w:spacing w:after="0" w:line="263" w:lineRule="auto"/>
        <w:rPr>
          <w:sz w:val="20"/>
          <w:szCs w:val="20"/>
          <w:color w:val="auto"/>
        </w:rPr>
      </w:pPr>
      <w:r>
        <w:rPr>
          <w:rFonts w:ascii="Times New Roman" w:cs="Times New Roman" w:eastAsia="Times New Roman" w:hAnsi="Times New Roman"/>
          <w:sz w:val="14"/>
          <w:szCs w:val="14"/>
          <w:color w:val="auto"/>
        </w:rPr>
        <w:t>The following unaudited pro forma condensed combined financial information is derived from the historical financial statements of Shutterstock, Envato and Giphy, and should be read in conjunction with:</w:t>
      </w:r>
    </w:p>
    <w:p>
      <w:pPr>
        <w:spacing w:after="0" w:line="1" w:lineRule="exact"/>
        <w:rPr>
          <w:sz w:val="20"/>
          <w:szCs w:val="20"/>
          <w:color w:val="auto"/>
        </w:rPr>
      </w:pPr>
    </w:p>
    <w:p>
      <w:pPr>
        <w:ind w:left="520" w:right="200" w:hanging="260"/>
        <w:spacing w:after="0" w:line="265" w:lineRule="auto"/>
        <w:tabs>
          <w:tab w:leader="none" w:pos="516"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Shutterstock, Inc.’s consolidated financial statements included in its Annual Report on Form 10-K filed with the Securities and Exchange Commission (“SEC”) on February 26, 2024, and incorporated herein by reference.</w:t>
      </w:r>
    </w:p>
    <w:p>
      <w:pPr>
        <w:spacing w:after="0" w:line="160"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Shutterstock, Inc.’s consolidated financial statements included in its Quarterly Report on Form 10-Q filed with the SEC on May 2, 2024, and incorporated herein by reference.</w:t>
      </w:r>
    </w:p>
    <w:p>
      <w:pPr>
        <w:spacing w:after="0" w:line="24" w:lineRule="exact"/>
        <w:rPr>
          <w:rFonts w:ascii="Arial" w:cs="Arial" w:eastAsia="Arial" w:hAnsi="Arial"/>
          <w:sz w:val="14"/>
          <w:szCs w:val="14"/>
          <w:color w:val="auto"/>
        </w:rPr>
      </w:pPr>
    </w:p>
    <w:p>
      <w:pPr>
        <w:ind w:left="520" w:hanging="260"/>
        <w:spacing w:after="0" w:line="262" w:lineRule="auto"/>
        <w:tabs>
          <w:tab w:leader="none" w:pos="516"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Envato’s audited consolidated financial statements for the year ended June 30, 2023, that are included as Exhibit 99.1 in the Company’s Report on Form 8-K/A filed with the SEC on October 3, 2024 to which this unaudited pro forma condensed combined financial information is being filed as an exhibit.</w:t>
      </w:r>
    </w:p>
    <w:p>
      <w:pPr>
        <w:spacing w:after="0" w:line="162" w:lineRule="exact"/>
        <w:rPr>
          <w:rFonts w:ascii="Arial" w:cs="Arial" w:eastAsia="Arial" w:hAnsi="Arial"/>
          <w:sz w:val="14"/>
          <w:szCs w:val="14"/>
          <w:color w:val="auto"/>
        </w:rPr>
      </w:pPr>
    </w:p>
    <w:p>
      <w:pPr>
        <w:ind w:left="520" w:right="120" w:hanging="260"/>
        <w:spacing w:after="0" w:line="286" w:lineRule="auto"/>
        <w:tabs>
          <w:tab w:leader="none" w:pos="516"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Envato’s unaudited condensed consolidated financial statements for the six months ended December 31, 2023 and 2022, that are included as Exhibit 99.2 in the Company’s Report on Form 8-K/A filed with the SEC on October 3, 2024 to which this unaudited pro forma condensed combined financial information is being filed as an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1280"/>
          </w:cols>
          <w:pgMar w:left="300" w:top="116" w:right="319" w:bottom="1440" w:gutter="0" w:footer="0" w:header="0"/>
        </w:sectPr>
      </w:pPr>
    </w:p>
    <w:bookmarkStart w:id="48" w:name="page49"/>
    <w:bookmarkEnd w:id="48"/>
    <w:p>
      <w:pPr>
        <w:ind w:left="520" w:hanging="260"/>
        <w:spacing w:after="0"/>
        <w:tabs>
          <w:tab w:leader="none" w:pos="5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4"/>
          <w:szCs w:val="14"/>
          <w:color w:val="auto"/>
        </w:rPr>
        <w:t>Envato's statement of profit or loss for the three months ended March 31, 2024, and the statement of financial position as of March 31, 2024 derived from the books and records of Envato.</w:t>
      </w:r>
    </w:p>
    <w:p>
      <w:pPr>
        <w:spacing w:after="0" w:line="199" w:lineRule="exact"/>
        <w:rPr>
          <w:rFonts w:ascii="Arial" w:cs="Arial" w:eastAsia="Arial" w:hAnsi="Arial"/>
          <w:sz w:val="14"/>
          <w:szCs w:val="14"/>
          <w:color w:val="auto"/>
        </w:rPr>
      </w:pPr>
    </w:p>
    <w:p>
      <w:pPr>
        <w:ind w:left="520" w:right="220" w:hanging="260"/>
        <w:spacing w:after="0" w:line="286" w:lineRule="auto"/>
        <w:tabs>
          <w:tab w:leader="none" w:pos="516" w:val="left"/>
        </w:tabs>
        <w:numPr>
          <w:ilvl w:val="0"/>
          <w:numId w:val="7"/>
        </w:numPr>
        <w:rPr>
          <w:rFonts w:ascii="Arial" w:cs="Arial" w:eastAsia="Arial" w:hAnsi="Arial"/>
          <w:sz w:val="14"/>
          <w:szCs w:val="14"/>
          <w:color w:val="auto"/>
        </w:rPr>
      </w:pPr>
      <w:r>
        <w:rPr>
          <w:rFonts w:ascii="Times New Roman" w:cs="Times New Roman" w:eastAsia="Times New Roman" w:hAnsi="Times New Roman"/>
          <w:sz w:val="14"/>
          <w:szCs w:val="14"/>
          <w:color w:val="auto"/>
        </w:rPr>
        <w:t>Giphy’s unaudited condensed consolidated financial statements for the quarterly period ended March 31, 2023, which are included in the Company’s Current Report on Form 8-K/A filed with the SEC on August 31, 2023.</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Giphy's statement of operations for the period from April 1, 2023 through June 23, 2023 derived from the books and records of Giphy.</w:t>
      </w:r>
    </w:p>
    <w:p>
      <w:pPr>
        <w:spacing w:after="0" w:line="200" w:lineRule="exact"/>
        <w:rPr>
          <w:sz w:val="20"/>
          <w:szCs w:val="20"/>
          <w:color w:val="auto"/>
        </w:rPr>
      </w:pPr>
    </w:p>
    <w:p>
      <w:pPr>
        <w:ind w:right="260" w:firstLine="318"/>
        <w:spacing w:after="0" w:line="287"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has been prepared for illustrative purposes only and are not necessarily indicative of the financial condition or results of operations of future periods or the financial condition or results of operations that would have been realized had the entities been a single entity as of or for the periods presented.</w:t>
      </w:r>
    </w:p>
    <w:p>
      <w:pPr>
        <w:spacing w:after="0" w:line="145"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Such adjustments are estimates and actual experience may differ from expectations.</w:t>
      </w:r>
    </w:p>
    <w:p>
      <w:pPr>
        <w:spacing w:after="0" w:line="146" w:lineRule="exact"/>
        <w:rPr>
          <w:sz w:val="20"/>
          <w:szCs w:val="20"/>
          <w:color w:val="auto"/>
        </w:rPr>
      </w:pPr>
    </w:p>
    <w:p>
      <w:pPr>
        <w:ind w:right="160" w:firstLine="318"/>
        <w:spacing w:after="0" w:line="254" w:lineRule="auto"/>
        <w:rPr>
          <w:sz w:val="20"/>
          <w:szCs w:val="20"/>
          <w:color w:val="auto"/>
        </w:rPr>
      </w:pPr>
      <w:r>
        <w:rPr>
          <w:rFonts w:ascii="Times New Roman" w:cs="Times New Roman" w:eastAsia="Times New Roman" w:hAnsi="Times New Roman"/>
          <w:sz w:val="14"/>
          <w:szCs w:val="14"/>
          <w:color w:val="auto"/>
        </w:rPr>
        <w:t>The unaudited pro forma condensed combined financial statements are subject to Envato Acquisition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combination accounting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260"/>
          </w:cols>
          <w:pgMar w:left="300" w:top="1143" w:right="33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Debt Financing</w:t>
            </w: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Envato</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Transaction Accounting</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Shutterstock</w:t>
            </w:r>
          </w:p>
        </w:tc>
        <w:tc>
          <w:tcPr>
            <w:tcW w:w="3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(Note 5)</w:t>
            </w:r>
          </w:p>
        </w:tc>
        <w:tc>
          <w:tcPr>
            <w:tcW w:w="200" w:type="dxa"/>
            <w:vAlign w:val="bottom"/>
          </w:tcPr>
          <w:p>
            <w:pPr>
              <w:spacing w:after="0"/>
              <w:rPr>
                <w:sz w:val="14"/>
                <w:szCs w:val="14"/>
                <w:color w:val="auto"/>
              </w:rPr>
            </w:pP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2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180" w:type="dxa"/>
            <w:vAlign w:val="bottom"/>
          </w:tcPr>
          <w:p>
            <w:pPr>
              <w:spacing w:after="0"/>
              <w:rPr>
                <w:sz w:val="14"/>
                <w:szCs w:val="14"/>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26"/>
        </w:trPr>
        <w:tc>
          <w:tcPr>
            <w:tcW w:w="3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5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71,811</w:t>
            </w:r>
          </w:p>
        </w:tc>
        <w:tc>
          <w:tcPr>
            <w:tcW w:w="6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101,291</w:t>
            </w:r>
          </w:p>
        </w:tc>
        <w:tc>
          <w:tcPr>
            <w:tcW w:w="8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(250,213)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6B</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247,519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6A</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170,408</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93,993</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97,477</w:t>
            </w:r>
          </w:p>
        </w:tc>
        <w:tc>
          <w:tcPr>
            <w:tcW w:w="0" w:type="dxa"/>
            <w:vAlign w:val="bottom"/>
          </w:tcPr>
          <w:p>
            <w:pPr>
              <w:spacing w:after="0"/>
              <w:rPr>
                <w:sz w:val="1"/>
                <w:szCs w:val="1"/>
                <w:color w:val="auto"/>
              </w:rPr>
            </w:pPr>
          </w:p>
        </w:tc>
      </w:tr>
      <w:tr>
        <w:trPr>
          <w:trHeight w:val="17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93,095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6A</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97,081</w:t>
            </w:r>
          </w:p>
        </w:tc>
        <w:tc>
          <w:tcPr>
            <w:tcW w:w="0" w:type="dxa"/>
            <w:vAlign w:val="bottom"/>
          </w:tcPr>
          <w:p>
            <w:pPr>
              <w:spacing w:after="0"/>
              <w:rPr>
                <w:sz w:val="1"/>
                <w:szCs w:val="1"/>
                <w:color w:val="auto"/>
              </w:rPr>
            </w:pPr>
          </w:p>
        </w:tc>
      </w:tr>
      <w:tr>
        <w:trPr>
          <w:trHeight w:val="26"/>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current assets</w:t>
            </w: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258,899</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108,282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(250,213)</w:t>
            </w: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247,998</w:t>
            </w:r>
          </w:p>
        </w:tc>
        <w:tc>
          <w:tcPr>
            <w:tcW w:w="5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364,966</w:t>
            </w:r>
          </w:p>
        </w:tc>
        <w:tc>
          <w:tcPr>
            <w:tcW w:w="0" w:type="dxa"/>
            <w:vAlign w:val="bottom"/>
          </w:tcPr>
          <w:p>
            <w:pPr>
              <w:spacing w:after="0"/>
              <w:rPr>
                <w:sz w:val="1"/>
                <w:szCs w:val="1"/>
                <w:color w:val="auto"/>
              </w:rPr>
            </w:pPr>
          </w:p>
        </w:tc>
      </w:tr>
      <w:tr>
        <w:trPr>
          <w:trHeight w:val="212"/>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63,430</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64,500</w:t>
            </w:r>
          </w:p>
        </w:tc>
        <w:tc>
          <w:tcPr>
            <w:tcW w:w="0" w:type="dxa"/>
            <w:vAlign w:val="bottom"/>
          </w:tcPr>
          <w:p>
            <w:pPr>
              <w:spacing w:after="0"/>
              <w:rPr>
                <w:sz w:val="1"/>
                <w:szCs w:val="1"/>
                <w:color w:val="auto"/>
              </w:rPr>
            </w:pPr>
          </w:p>
        </w:tc>
      </w:tr>
      <w:tr>
        <w:trPr>
          <w:trHeight w:val="17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Right-of-use asset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6C</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16,482</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Intangibles, net</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174,868</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82,032</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6C</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265,268</w:t>
            </w:r>
          </w:p>
        </w:tc>
        <w:tc>
          <w:tcPr>
            <w:tcW w:w="0" w:type="dxa"/>
            <w:vAlign w:val="bottom"/>
          </w:tcPr>
          <w:p>
            <w:pPr>
              <w:spacing w:after="0"/>
              <w:rPr>
                <w:sz w:val="1"/>
                <w:szCs w:val="1"/>
                <w:color w:val="auto"/>
              </w:rPr>
            </w:pPr>
          </w:p>
        </w:tc>
      </w:tr>
      <w:tr>
        <w:trPr>
          <w:trHeight w:val="17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402,787</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201,189</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6D</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603,976</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tax assets, net</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28,156</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10,822</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6F</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50,664</w:t>
            </w:r>
          </w:p>
        </w:tc>
        <w:tc>
          <w:tcPr>
            <w:tcW w:w="0" w:type="dxa"/>
            <w:vAlign w:val="bottom"/>
          </w:tcPr>
          <w:p>
            <w:pPr>
              <w:spacing w:after="0"/>
              <w:rPr>
                <w:sz w:val="1"/>
                <w:szCs w:val="1"/>
                <w:color w:val="auto"/>
              </w:rPr>
            </w:pPr>
          </w:p>
        </w:tc>
      </w:tr>
      <w:tr>
        <w:trPr>
          <w:trHeight w:val="17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83,881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6A</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87,134</w:t>
            </w:r>
          </w:p>
        </w:tc>
        <w:tc>
          <w:tcPr>
            <w:tcW w:w="0" w:type="dxa"/>
            <w:vAlign w:val="bottom"/>
          </w:tcPr>
          <w:p>
            <w:pPr>
              <w:spacing w:after="0"/>
              <w:rPr>
                <w:sz w:val="1"/>
                <w:szCs w:val="1"/>
                <w:color w:val="auto"/>
              </w:rPr>
            </w:pPr>
          </w:p>
        </w:tc>
      </w:tr>
      <w:tr>
        <w:trPr>
          <w:trHeight w:val="26"/>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1,028,503</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131,193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43,379</w:t>
            </w: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249,915</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1,452,990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9,373</w:t>
            </w:r>
          </w:p>
        </w:tc>
        <w:tc>
          <w:tcPr>
            <w:tcW w:w="6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w:t>
            </w:r>
          </w:p>
        </w:tc>
        <w:tc>
          <w:tcPr>
            <w:tcW w:w="8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11,812</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expenses</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99,212</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6,575</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6E</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6A</w:t>
            </w: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115,828</w:t>
            </w:r>
          </w:p>
        </w:tc>
        <w:tc>
          <w:tcPr>
            <w:tcW w:w="0" w:type="dxa"/>
            <w:vAlign w:val="bottom"/>
          </w:tcPr>
          <w:p>
            <w:pPr>
              <w:spacing w:after="0"/>
              <w:rPr>
                <w:sz w:val="1"/>
                <w:szCs w:val="1"/>
                <w:color w:val="auto"/>
              </w:rPr>
            </w:pPr>
          </w:p>
        </w:tc>
      </w:tr>
      <w:tr>
        <w:trPr>
          <w:trHeight w:val="17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Contributor royalties payable</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61,392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76,661</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revenue</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198,041</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47,338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245,379</w:t>
            </w:r>
          </w:p>
        </w:tc>
        <w:tc>
          <w:tcPr>
            <w:tcW w:w="0" w:type="dxa"/>
            <w:vAlign w:val="bottom"/>
          </w:tcPr>
          <w:p>
            <w:pPr>
              <w:spacing w:after="0"/>
              <w:rPr>
                <w:sz w:val="1"/>
                <w:szCs w:val="1"/>
                <w:color w:val="auto"/>
              </w:rPr>
            </w:pPr>
          </w:p>
        </w:tc>
      </w:tr>
      <w:tr>
        <w:trPr>
          <w:trHeight w:val="17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Debt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6A</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155,000</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34,959</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35,534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62,996</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6C, 6F</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133,489</w:t>
            </w:r>
          </w:p>
        </w:tc>
        <w:tc>
          <w:tcPr>
            <w:tcW w:w="0" w:type="dxa"/>
            <w:vAlign w:val="bottom"/>
          </w:tcPr>
          <w:p>
            <w:pPr>
              <w:spacing w:after="0"/>
              <w:rPr>
                <w:sz w:val="1"/>
                <w:szCs w:val="1"/>
                <w:color w:val="auto"/>
              </w:rPr>
            </w:pPr>
          </w:p>
        </w:tc>
      </w:tr>
      <w:tr>
        <w:trPr>
          <w:trHeight w:val="167"/>
        </w:trPr>
        <w:tc>
          <w:tcPr>
            <w:tcW w:w="35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432,977</w:t>
            </w:r>
          </w:p>
        </w:tc>
        <w:tc>
          <w:tcPr>
            <w:tcW w:w="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110,706</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69,571</w:t>
            </w:r>
          </w:p>
        </w:tc>
        <w:tc>
          <w:tcPr>
            <w:tcW w:w="6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124,915</w:t>
            </w:r>
          </w:p>
        </w:tc>
        <w:tc>
          <w:tcPr>
            <w:tcW w:w="5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738,169</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tax liability, net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3,795</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 term debt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6A</w:t>
            </w: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0" w:type="dxa"/>
            <w:vAlign w:val="bottom"/>
          </w:tcPr>
          <w:p>
            <w:pPr>
              <w:spacing w:after="0"/>
              <w:rPr>
                <w:sz w:val="1"/>
                <w:szCs w:val="1"/>
                <w:color w:val="auto"/>
              </w:rPr>
            </w:pPr>
          </w:p>
        </w:tc>
      </w:tr>
      <w:tr>
        <w:trPr>
          <w:trHeight w:val="176"/>
        </w:trPr>
        <w:tc>
          <w:tcPr>
            <w:tcW w:w="3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liabilities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28,745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28,745</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21,711</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22,581</w:t>
            </w:r>
          </w:p>
        </w:tc>
        <w:tc>
          <w:tcPr>
            <w:tcW w:w="0" w:type="dxa"/>
            <w:vAlign w:val="bottom"/>
          </w:tcPr>
          <w:p>
            <w:pPr>
              <w:spacing w:after="0"/>
              <w:rPr>
                <w:sz w:val="1"/>
                <w:szCs w:val="1"/>
                <w:color w:val="auto"/>
              </w:rPr>
            </w:pPr>
          </w:p>
        </w:tc>
      </w:tr>
      <w:tr>
        <w:trPr>
          <w:trHeight w:val="167"/>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487,228</w:t>
            </w:r>
          </w:p>
        </w:tc>
        <w:tc>
          <w:tcPr>
            <w:tcW w:w="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111,576</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69,571</w:t>
            </w:r>
          </w:p>
        </w:tc>
        <w:tc>
          <w:tcPr>
            <w:tcW w:w="6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249,915</w:t>
            </w:r>
          </w:p>
        </w:tc>
        <w:tc>
          <w:tcPr>
            <w:tcW w:w="5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918,290</w:t>
            </w:r>
          </w:p>
        </w:tc>
        <w:tc>
          <w:tcPr>
            <w:tcW w:w="0" w:type="dxa"/>
            <w:vAlign w:val="bottom"/>
          </w:tcPr>
          <w:p>
            <w:pPr>
              <w:spacing w:after="0"/>
              <w:rPr>
                <w:sz w:val="1"/>
                <w:szCs w:val="1"/>
                <w:color w:val="auto"/>
              </w:rPr>
            </w:pPr>
          </w:p>
        </w:tc>
      </w:tr>
      <w:tr>
        <w:trPr>
          <w:trHeight w:val="26"/>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0" w:type="dxa"/>
            <w:vAlign w:val="bottom"/>
          </w:tcPr>
          <w:p>
            <w:pPr>
              <w:spacing w:after="0"/>
              <w:rPr>
                <w:sz w:val="1"/>
                <w:szCs w:val="1"/>
                <w:color w:val="auto"/>
              </w:rPr>
            </w:pPr>
          </w:p>
        </w:tc>
      </w:tr>
      <w:tr>
        <w:trPr>
          <w:trHeight w:val="17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(228,213)</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(228,213)</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434,416</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6G</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434,416</w:t>
            </w:r>
          </w:p>
        </w:tc>
        <w:tc>
          <w:tcPr>
            <w:tcW w:w="0" w:type="dxa"/>
            <w:vAlign w:val="bottom"/>
          </w:tcPr>
          <w:p>
            <w:pPr>
              <w:spacing w:after="0"/>
              <w:rPr>
                <w:sz w:val="1"/>
                <w:szCs w:val="1"/>
                <w:color w:val="auto"/>
              </w:rPr>
            </w:pPr>
          </w:p>
        </w:tc>
      </w:tr>
      <w:tr>
        <w:trPr>
          <w:trHeight w:val="17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(13,438)</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348,111</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(26,178)</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6E, 6G</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341,536</w:t>
            </w:r>
          </w:p>
        </w:tc>
        <w:tc>
          <w:tcPr>
            <w:tcW w:w="0" w:type="dxa"/>
            <w:vAlign w:val="bottom"/>
          </w:tcPr>
          <w:p>
            <w:pPr>
              <w:spacing w:after="0"/>
              <w:rPr>
                <w:sz w:val="1"/>
                <w:szCs w:val="1"/>
                <w:color w:val="auto"/>
              </w:rPr>
            </w:pPr>
          </w:p>
        </w:tc>
      </w:tr>
      <w:tr>
        <w:trPr>
          <w:trHeight w:val="167"/>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541,275</w:t>
            </w:r>
          </w:p>
        </w:tc>
        <w:tc>
          <w:tcPr>
            <w:tcW w:w="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19,617</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(26,192)</w:t>
            </w:r>
          </w:p>
        </w:tc>
        <w:tc>
          <w:tcPr>
            <w:tcW w:w="6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534,700</w:t>
            </w:r>
          </w:p>
        </w:tc>
        <w:tc>
          <w:tcPr>
            <w:tcW w:w="0" w:type="dxa"/>
            <w:vAlign w:val="bottom"/>
          </w:tcPr>
          <w:p>
            <w:pPr>
              <w:spacing w:after="0"/>
              <w:rPr>
                <w:sz w:val="1"/>
                <w:szCs w:val="1"/>
                <w:color w:val="auto"/>
              </w:rPr>
            </w:pPr>
          </w:p>
        </w:tc>
      </w:tr>
      <w:tr>
        <w:trPr>
          <w:trHeight w:val="26"/>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1,028,503</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131,193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43,379</w:t>
            </w: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249,915</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1,452,990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020"/>
          </w:cols>
          <w:pgMar w:left="440" w:top="1258" w:right="439" w:bottom="1440" w:gutter="0" w:footer="0" w:header="0"/>
        </w:sectPr>
      </w:pPr>
    </w:p>
    <w:bookmarkStart w:id="50" w:name="page51"/>
    <w:bookmarkEnd w:id="50"/>
    <w:p>
      <w:pPr>
        <w:ind w:left="3580" w:right="2100" w:hanging="1138"/>
        <w:spacing w:after="0" w:line="249" w:lineRule="auto"/>
        <w:rPr>
          <w:sz w:val="20"/>
          <w:szCs w:val="20"/>
          <w:color w:val="auto"/>
        </w:rPr>
      </w:pPr>
      <w:r>
        <w:rPr>
          <w:rFonts w:ascii="Times New Roman" w:cs="Times New Roman" w:eastAsia="Times New Roman" w:hAnsi="Times New Roman"/>
          <w:sz w:val="14"/>
          <w:szCs w:val="14"/>
          <w:b w:val="1"/>
          <w:bCs w:val="1"/>
          <w:color w:val="auto"/>
        </w:rPr>
        <w:t>UNAUDITED PRO FORMA CONDENSED COMBINED STATEMENT OF OPERATIONS FOR THE YEAR ENDED DECEMBER 31, 2023</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7"/>
              </w:rPr>
              <w:t>Giphy</w:t>
            </w: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Pro forma</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Envato</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7"/>
              </w:rPr>
              <w:t>Accounting</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(adjusted for Giphy</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Giphy</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Envato</w:t>
            </w:r>
          </w:p>
        </w:tc>
        <w:tc>
          <w:tcPr>
            <w:tcW w:w="80" w:type="dxa"/>
            <w:vAlign w:val="bottom"/>
          </w:tcPr>
          <w:p>
            <w:pPr>
              <w:spacing w:after="0"/>
              <w:rPr>
                <w:sz w:val="13"/>
                <w:szCs w:val="13"/>
                <w:color w:val="auto"/>
              </w:rPr>
            </w:pPr>
          </w:p>
        </w:tc>
        <w:tc>
          <w:tcPr>
            <w:tcW w:w="78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4"/>
              </w:rPr>
              <w:t>Pro Forma</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Shutterstock</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(Note 3)</w:t>
            </w:r>
          </w:p>
        </w:tc>
        <w:tc>
          <w:tcPr>
            <w:tcW w:w="8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8"/>
              </w:rPr>
              <w:t>(Note 3)</w:t>
            </w:r>
          </w:p>
        </w:tc>
        <w:tc>
          <w:tcPr>
            <w:tcW w:w="6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Transaction)</w:t>
            </w:r>
          </w:p>
        </w:tc>
        <w:tc>
          <w:tcPr>
            <w:tcW w:w="1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(Note 5)</w:t>
            </w:r>
          </w:p>
        </w:tc>
        <w:tc>
          <w:tcPr>
            <w:tcW w:w="8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Note</w:t>
            </w:r>
          </w:p>
        </w:tc>
        <w:tc>
          <w:tcPr>
            <w:tcW w:w="80" w:type="dxa"/>
            <w:vAlign w:val="bottom"/>
          </w:tcPr>
          <w:p>
            <w:pPr>
              <w:spacing w:after="0"/>
              <w:rPr>
                <w:sz w:val="14"/>
                <w:szCs w:val="14"/>
                <w:color w:val="auto"/>
              </w:rPr>
            </w:pPr>
          </w:p>
        </w:tc>
        <w:tc>
          <w:tcPr>
            <w:tcW w:w="76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42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Note</w:t>
            </w: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26"/>
        </w:trPr>
        <w:tc>
          <w:tcPr>
            <w:tcW w:w="1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874,587</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7,151</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3A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881,738</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197,809</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1,079,547</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revenue</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352,630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1"/>
              </w:rPr>
              <w:t>3B</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355,168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72,784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10,731</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6H, 6I</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438,683</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Sales and marketing</w:t>
            </w: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214,749</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11,148</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225,897</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33,845</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259,742</w:t>
            </w:r>
          </w:p>
        </w:tc>
        <w:tc>
          <w:tcPr>
            <w:tcW w:w="0" w:type="dxa"/>
            <w:vAlign w:val="bottom"/>
          </w:tcPr>
          <w:p>
            <w:pPr>
              <w:spacing w:after="0"/>
              <w:rPr>
                <w:sz w:val="1"/>
                <w:szCs w:val="1"/>
                <w:color w:val="auto"/>
              </w:rPr>
            </w:pPr>
          </w:p>
        </w:tc>
      </w:tr>
      <w:tr>
        <w:trPr>
          <w:trHeight w:val="176"/>
        </w:trPr>
        <w:tc>
          <w:tcPr>
            <w:tcW w:w="1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Product development</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96,162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27,108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123,270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148,820</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142,646</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11,874</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1"/>
              </w:rPr>
              <w:t>3B</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155,212</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30,483</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9,675</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6I, 6J</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195,370</w:t>
            </w:r>
          </w:p>
        </w:tc>
        <w:tc>
          <w:tcPr>
            <w:tcW w:w="0" w:type="dxa"/>
            <w:vAlign w:val="bottom"/>
          </w:tcPr>
          <w:p>
            <w:pPr>
              <w:spacing w:after="0"/>
              <w:rPr>
                <w:sz w:val="1"/>
                <w:szCs w:val="1"/>
                <w:color w:val="auto"/>
              </w:rPr>
            </w:pPr>
          </w:p>
        </w:tc>
      </w:tr>
      <w:tr>
        <w:trPr>
          <w:trHeight w:val="167"/>
        </w:trPr>
        <w:tc>
          <w:tcPr>
            <w:tcW w:w="19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806,187</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50,130</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3,230</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859,547</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162,662</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20,406</w:t>
            </w:r>
          </w:p>
        </w:tc>
        <w:tc>
          <w:tcPr>
            <w:tcW w:w="4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1,042,615</w:t>
            </w:r>
          </w:p>
        </w:tc>
        <w:tc>
          <w:tcPr>
            <w:tcW w:w="0" w:type="dxa"/>
            <w:vAlign w:val="bottom"/>
          </w:tcPr>
          <w:p>
            <w:pPr>
              <w:spacing w:after="0"/>
              <w:rPr>
                <w:sz w:val="1"/>
                <w:szCs w:val="1"/>
                <w:color w:val="auto"/>
              </w:rPr>
            </w:pPr>
          </w:p>
        </w:tc>
      </w:tr>
      <w:tr>
        <w:trPr>
          <w:trHeight w:val="26"/>
        </w:trPr>
        <w:tc>
          <w:tcPr>
            <w:tcW w:w="1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 (loss) from operations</w:t>
            </w: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68,400</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(50,130)</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3,921</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35,147</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(20,406)</w:t>
            </w: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36,932</w:t>
            </w:r>
          </w:p>
        </w:tc>
        <w:tc>
          <w:tcPr>
            <w:tcW w:w="0" w:type="dxa"/>
            <w:vAlign w:val="bottom"/>
          </w:tcPr>
          <w:p>
            <w:pPr>
              <w:spacing w:after="0"/>
              <w:rPr>
                <w:sz w:val="1"/>
                <w:szCs w:val="1"/>
                <w:color w:val="auto"/>
              </w:rPr>
            </w:pPr>
          </w:p>
        </w:tc>
      </w:tr>
      <w:tr>
        <w:trPr>
          <w:trHeight w:val="176"/>
        </w:trPr>
        <w:tc>
          <w:tcPr>
            <w:tcW w:w="1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Bargain purchase gain</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50,261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50,261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50,261</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 / (expense), net</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3,885</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(18,575)</w:t>
            </w:r>
          </w:p>
        </w:tc>
        <w:tc>
          <w:tcPr>
            <w:tcW w:w="420" w:type="dxa"/>
            <w:vAlign w:val="bottom"/>
            <w:tcBorders>
              <w:bottom w:val="single" w:sz="8" w:color="CCEEFF"/>
            </w:tcBorders>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6K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(17,455)</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Income / (loss) before income taxes</w:t>
            </w: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122,468</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(50,052)</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3,921</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76,337</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32,382</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(20,406)</w:t>
            </w:r>
          </w:p>
        </w:tc>
        <w:tc>
          <w:tcPr>
            <w:tcW w:w="4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(18,575)</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69,738</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(benefit) for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12,199</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1"/>
              </w:rPr>
              <w:t>3C</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13,061</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9,524</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(4,370)</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6I</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(4,365)</w:t>
            </w:r>
          </w:p>
        </w:tc>
        <w:tc>
          <w:tcPr>
            <w:tcW w:w="420" w:type="dxa"/>
            <w:vAlign w:val="bottom"/>
            <w:tcBorders>
              <w:bottom w:val="single" w:sz="8" w:color="CCEEFF"/>
            </w:tcBorders>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4"/>
                <w:szCs w:val="14"/>
                <w:color w:val="auto"/>
              </w:rPr>
              <w:t>6L</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13,850</w:t>
            </w:r>
          </w:p>
        </w:tc>
        <w:tc>
          <w:tcPr>
            <w:tcW w:w="0" w:type="dxa"/>
            <w:vAlign w:val="bottom"/>
          </w:tcPr>
          <w:p>
            <w:pPr>
              <w:spacing w:after="0"/>
              <w:rPr>
                <w:sz w:val="1"/>
                <w:szCs w:val="1"/>
                <w:color w:val="auto"/>
              </w:rPr>
            </w:pPr>
          </w:p>
        </w:tc>
      </w:tr>
      <w:tr>
        <w:trPr>
          <w:trHeight w:val="190"/>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Net income / (loss)</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110,269</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(50,052)</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3,059</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63,276</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22,858</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(16,036)</w:t>
            </w:r>
          </w:p>
        </w:tc>
        <w:tc>
          <w:tcPr>
            <w:tcW w:w="4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(14,210)</w:t>
            </w:r>
          </w:p>
        </w:tc>
        <w:tc>
          <w:tcPr>
            <w:tcW w:w="3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55,888</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Earnings per share:</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1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35,878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35,878</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36,242</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36,242</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0140"/>
          </w:cols>
          <w:pgMar w:left="880" w:top="1258" w:right="879" w:bottom="1440" w:gutter="0" w:footer="0" w:header="0"/>
        </w:sectPr>
      </w:pPr>
    </w:p>
    <w:bookmarkStart w:id="51" w:name="page52"/>
    <w:bookmarkEnd w:id="51"/>
    <w:p>
      <w:pPr>
        <w:ind w:left="30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STATEMENT OF OPERATIONS</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58"/>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Envato</w:t>
            </w:r>
          </w:p>
        </w:tc>
        <w:tc>
          <w:tcPr>
            <w:tcW w:w="200" w:type="dxa"/>
            <w:vAlign w:val="bottom"/>
          </w:tcPr>
          <w:p>
            <w:pPr>
              <w:spacing w:after="0"/>
              <w:rPr>
                <w:sz w:val="13"/>
                <w:szCs w:val="13"/>
                <w:color w:val="auto"/>
              </w:rPr>
            </w:pPr>
          </w:p>
        </w:tc>
        <w:tc>
          <w:tcPr>
            <w:tcW w:w="116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Debt Financing</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Reclassified</w:t>
            </w:r>
          </w:p>
        </w:tc>
        <w:tc>
          <w:tcPr>
            <w:tcW w:w="200" w:type="dxa"/>
            <w:vAlign w:val="bottom"/>
          </w:tcPr>
          <w:p>
            <w:pPr>
              <w:spacing w:after="0"/>
              <w:rPr>
                <w:sz w:val="13"/>
                <w:szCs w:val="13"/>
                <w:color w:val="auto"/>
              </w:rPr>
            </w:pPr>
          </w:p>
        </w:tc>
        <w:tc>
          <w:tcPr>
            <w:tcW w:w="116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Pro Forma</w:t>
            </w:r>
          </w:p>
        </w:tc>
      </w:tr>
      <w:tr>
        <w:trPr>
          <w:trHeight w:val="167"/>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Shutterstock</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(Note 5)</w:t>
            </w:r>
          </w:p>
        </w:tc>
        <w:tc>
          <w:tcPr>
            <w:tcW w:w="200" w:type="dxa"/>
            <w:vAlign w:val="bottom"/>
          </w:tcPr>
          <w:p>
            <w:pPr>
              <w:spacing w:after="0"/>
              <w:rPr>
                <w:sz w:val="14"/>
                <w:szCs w:val="14"/>
                <w:color w:val="auto"/>
              </w:rPr>
            </w:pPr>
          </w:p>
        </w:tc>
        <w:tc>
          <w:tcPr>
            <w:tcW w:w="116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7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40" w:type="dxa"/>
            <w:vAlign w:val="bottom"/>
          </w:tcPr>
          <w:p>
            <w:pPr>
              <w:spacing w:after="0"/>
              <w:rPr>
                <w:sz w:val="14"/>
                <w:szCs w:val="14"/>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Combined</w:t>
            </w:r>
          </w:p>
        </w:tc>
      </w:tr>
      <w:tr>
        <w:trPr>
          <w:trHeight w:val="26"/>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214,315</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49,698</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264,013</w:t>
            </w:r>
          </w:p>
        </w:tc>
      </w:tr>
      <w:tr>
        <w:trPr>
          <w:trHeight w:val="212"/>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2"/>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76"/>
        </w:trPr>
        <w:tc>
          <w:tcPr>
            <w:tcW w:w="3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revenue</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88,204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6H, 6I</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109,136</w:t>
            </w:r>
          </w:p>
        </w:tc>
      </w:tr>
      <w:tr>
        <w:trPr>
          <w:trHeight w:val="26"/>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2"/>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Sales and marketing</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64,196</w:t>
            </w:r>
          </w:p>
        </w:tc>
      </w:tr>
      <w:tr>
        <w:trPr>
          <w:trHeight w:val="176"/>
        </w:trPr>
        <w:tc>
          <w:tcPr>
            <w:tcW w:w="3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Product development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21,051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27,039</w:t>
            </w:r>
          </w:p>
        </w:tc>
      </w:tr>
      <w:tr>
        <w:trPr>
          <w:trHeight w:val="26"/>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2"/>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32,078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7,350</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6I, 6J</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46,870</w:t>
            </w:r>
          </w:p>
        </w:tc>
      </w:tr>
      <w:tr>
        <w:trPr>
          <w:trHeight w:val="167"/>
        </w:trPr>
        <w:tc>
          <w:tcPr>
            <w:tcW w:w="33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197,569</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39,633</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10,039</w:t>
            </w:r>
          </w:p>
        </w:tc>
        <w:tc>
          <w:tcPr>
            <w:tcW w:w="7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247,241</w:t>
            </w:r>
          </w:p>
        </w:tc>
      </w:tr>
      <w:tr>
        <w:trPr>
          <w:trHeight w:val="26"/>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 (loss) from operations</w:t>
            </w: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16,746</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10,065</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(10,039)</w:t>
            </w:r>
          </w:p>
        </w:tc>
        <w:tc>
          <w:tcPr>
            <w:tcW w:w="7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16,772</w:t>
            </w:r>
          </w:p>
        </w:tc>
      </w:tr>
      <w:tr>
        <w:trPr>
          <w:trHeight w:val="176"/>
        </w:trPr>
        <w:tc>
          <w:tcPr>
            <w:tcW w:w="3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income / (expense), net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(4,644)</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6K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w:t>
            </w:r>
          </w:p>
        </w:tc>
      </w:tr>
      <w:tr>
        <w:trPr>
          <w:trHeight w:val="26"/>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 (loss) before income taxes</w:t>
            </w: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20,390</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9,435</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(10,039)</w:t>
            </w:r>
          </w:p>
        </w:tc>
        <w:tc>
          <w:tcPr>
            <w:tcW w:w="7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(4,644)</w:t>
            </w:r>
          </w:p>
        </w:tc>
        <w:tc>
          <w:tcPr>
            <w:tcW w:w="5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15,142</w:t>
            </w:r>
          </w:p>
        </w:tc>
      </w:tr>
      <w:tr>
        <w:trPr>
          <w:trHeight w:val="176"/>
        </w:trPr>
        <w:tc>
          <w:tcPr>
            <w:tcW w:w="3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(benefit) for income taxes</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6I</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6L</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3,764</w:t>
            </w:r>
          </w:p>
        </w:tc>
      </w:tr>
      <w:tr>
        <w:trPr>
          <w:trHeight w:val="26"/>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 (loss)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11,378</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2"/>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per share:</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9"/>
        </w:trPr>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2"/>
        </w:trPr>
        <w:tc>
          <w:tcPr>
            <w:tcW w:w="3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Weighted average shares outstanding:</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9"/>
        </w:trPr>
        <w:tc>
          <w:tcPr>
            <w:tcW w:w="3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35,591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35,591</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9"/>
        </w:trPr>
        <w:tc>
          <w:tcPr>
            <w:tcW w:w="3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36,066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36,066</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280"/>
          </w:cols>
          <w:pgMar w:left="300" w:top="1258" w:right="31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Pro Forma Presentation</w:t>
      </w:r>
    </w:p>
    <w:p>
      <w:pPr>
        <w:spacing w:after="0" w:line="276"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4"/>
          <w:szCs w:val="14"/>
          <w:color w:val="auto"/>
        </w:rPr>
        <w:t>On July 22, 2024, the Company completed its previously announced acquisition of Envato Pty Ltd. (“Envato”) pursuant to a Share Purchase Agreement (the “Purchase Agreement”) entered into on May 1, 2024, to acquire all of the issued and outstanding capital stock of Envato (the "Envato Acquisition"). The aggregate consideration paid by the Company, after customary working capital and other adjustments in accordance with the terms of the Purchase Agreement, was $250 million.</w:t>
      </w:r>
    </w:p>
    <w:p>
      <w:pPr>
        <w:spacing w:after="0" w:line="168"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4"/>
          <w:szCs w:val="14"/>
          <w:color w:val="auto"/>
        </w:rPr>
        <w:t>The Envato acquisition was funded through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of $125 million and (ii) senior unsecured revolving credit facility (the “Revolver”) in an aggregate principal amount of $250 million. The A&amp;R Credit Agreement provides for a letter of credit subfacility and a swingline facility.</w:t>
      </w:r>
    </w:p>
    <w:p>
      <w:pPr>
        <w:ind w:right="380" w:firstLine="318"/>
        <w:spacing w:after="0" w:line="263" w:lineRule="auto"/>
        <w:rPr>
          <w:sz w:val="20"/>
          <w:szCs w:val="20"/>
          <w:color w:val="auto"/>
        </w:rPr>
      </w:pPr>
      <w:r>
        <w:rPr>
          <w:rFonts w:ascii="Times New Roman" w:cs="Times New Roman" w:eastAsia="Times New Roman" w:hAnsi="Times New Roman"/>
          <w:sz w:val="14"/>
          <w:szCs w:val="14"/>
          <w:color w:val="auto"/>
        </w:rPr>
        <w:t xml:space="preserve">The Envato Acquisition was accounted for using the acquisition method of accounting for business combinations under the provisions of Financial Accounting Standards Board (“FASB”) Accounting Standard Codification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805”).</w:t>
      </w:r>
    </w:p>
    <w:p>
      <w:pPr>
        <w:spacing w:after="0" w:line="162"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In addition, on June 23, 2023, the Company completed its acquisition of Giphy, Inc. (“Giphy”) pursuant to a stock purchase agreement entered into with Meta Platforms, Inc. (“Meta”) on May 22, 2023, to acquire all the outstanding shares of Giphy (the “Giphy Acquisition”). The consideration paid by the Company was $53 million in net cash, in addition to cash acquired and other working capital adjustments. The Giphy Acquisition was accounted for using the acquisition method of accounting for business combinations under the provisions of ASC 805.</w:t>
      </w:r>
    </w:p>
    <w:p>
      <w:pPr>
        <w:spacing w:after="0" w:line="157" w:lineRule="exact"/>
        <w:rPr>
          <w:sz w:val="20"/>
          <w:szCs w:val="20"/>
          <w:color w:val="auto"/>
        </w:rPr>
      </w:pPr>
    </w:p>
    <w:p>
      <w:pPr>
        <w:ind w:right="380" w:firstLine="318"/>
        <w:spacing w:after="0" w:line="257" w:lineRule="auto"/>
        <w:rPr>
          <w:sz w:val="20"/>
          <w:szCs w:val="20"/>
          <w:color w:val="auto"/>
        </w:rPr>
      </w:pPr>
      <w:r>
        <w:rPr>
          <w:rFonts w:ascii="Times New Roman" w:cs="Times New Roman" w:eastAsia="Times New Roman" w:hAnsi="Times New Roman"/>
          <w:sz w:val="14"/>
          <w:szCs w:val="14"/>
          <w:color w:val="auto"/>
        </w:rPr>
        <w:t xml:space="preserve">The unaudited pro forma condensed combined financial statements were prepared in accordance with Article 11 of Regulation S-X, as amended by SEC Final Rule Release No. 33-10786, </w:t>
      </w:r>
      <w:r>
        <w:rPr>
          <w:rFonts w:ascii="Times New Roman" w:cs="Times New Roman" w:eastAsia="Times New Roman" w:hAnsi="Times New Roman"/>
          <w:sz w:val="14"/>
          <w:szCs w:val="14"/>
          <w:i w:val="1"/>
          <w:iCs w:val="1"/>
          <w:color w:val="auto"/>
        </w:rPr>
        <w:t xml:space="preserve">Amendments to Financial Disclosures About Acquired and Disposed Businesses </w:t>
      </w:r>
      <w:r>
        <w:rPr>
          <w:rFonts w:ascii="Times New Roman" w:cs="Times New Roman" w:eastAsia="Times New Roman" w:hAnsi="Times New Roman"/>
          <w:sz w:val="14"/>
          <w:szCs w:val="14"/>
          <w:color w:val="auto"/>
        </w:rPr>
        <w:t>and are presented to illustrate the estimated effects of the Envato Acquisition and the Giphy Acquisition.</w:t>
      </w:r>
    </w:p>
    <w:p>
      <w:pPr>
        <w:ind w:right="200" w:firstLine="318"/>
        <w:spacing w:after="0" w:line="242" w:lineRule="auto"/>
        <w:rPr>
          <w:sz w:val="20"/>
          <w:szCs w:val="20"/>
          <w:color w:val="auto"/>
        </w:rPr>
      </w:pPr>
      <w:r>
        <w:rPr>
          <w:rFonts w:ascii="Times New Roman" w:cs="Times New Roman" w:eastAsia="Times New Roman" w:hAnsi="Times New Roman"/>
          <w:sz w:val="14"/>
          <w:szCs w:val="14"/>
          <w:color w:val="auto"/>
        </w:rPr>
        <w:t>The unaudited pro forma condensed combined balance sheet was prepared as if the Envato Acquisition had occurred on March 31, 2024. The unaudited pro forma condensed combined statements of operations for the year ended December 31, 2023, and for the three months ended March 31, 2024 were prepared as if the Envato Acquisition and Giphy Acquisition had occurred on January 1, 2023. For all periods after June 23, 2023, Giphy’s results were included in the Shutterstock consolidated financial statements.</w:t>
      </w:r>
    </w:p>
    <w:p>
      <w:pPr>
        <w:spacing w:after="0" w:line="176" w:lineRule="exact"/>
        <w:rPr>
          <w:sz w:val="20"/>
          <w:szCs w:val="20"/>
          <w:color w:val="auto"/>
        </w:rPr>
      </w:pPr>
    </w:p>
    <w:p>
      <w:pPr>
        <w:ind w:right="400" w:firstLine="318"/>
        <w:spacing w:after="0" w:line="263" w:lineRule="auto"/>
        <w:rPr>
          <w:sz w:val="20"/>
          <w:szCs w:val="20"/>
          <w:color w:val="auto"/>
        </w:rPr>
      </w:pPr>
      <w:r>
        <w:rPr>
          <w:rFonts w:ascii="Times New Roman" w:cs="Times New Roman" w:eastAsia="Times New Roman" w:hAnsi="Times New Roman"/>
          <w:sz w:val="14"/>
          <w:szCs w:val="14"/>
          <w:color w:val="auto"/>
        </w:rPr>
        <w:t>The following unaudited pro forma condensed combined financial information is derived from the historical financial statements of Shutterstock, Envato and Giphy, and should be read in conjunction with:</w:t>
      </w:r>
    </w:p>
    <w:p>
      <w:pPr>
        <w:spacing w:after="0" w:line="1" w:lineRule="exact"/>
        <w:rPr>
          <w:sz w:val="20"/>
          <w:szCs w:val="20"/>
          <w:color w:val="auto"/>
        </w:rPr>
      </w:pPr>
    </w:p>
    <w:p>
      <w:pPr>
        <w:ind w:left="520" w:right="200" w:hanging="260"/>
        <w:spacing w:after="0" w:line="265" w:lineRule="auto"/>
        <w:tabs>
          <w:tab w:leader="none" w:pos="516" w:val="left"/>
        </w:tabs>
        <w:numPr>
          <w:ilvl w:val="0"/>
          <w:numId w:val="8"/>
        </w:numPr>
        <w:rPr>
          <w:rFonts w:ascii="Arial" w:cs="Arial" w:eastAsia="Arial" w:hAnsi="Arial"/>
          <w:sz w:val="14"/>
          <w:szCs w:val="14"/>
          <w:color w:val="auto"/>
        </w:rPr>
      </w:pPr>
      <w:r>
        <w:rPr>
          <w:rFonts w:ascii="Times New Roman" w:cs="Times New Roman" w:eastAsia="Times New Roman" w:hAnsi="Times New Roman"/>
          <w:sz w:val="14"/>
          <w:szCs w:val="14"/>
          <w:color w:val="auto"/>
        </w:rPr>
        <w:t>Shutterstock, Inc.’s consolidated financial statements included in its Annual Report on Form 10-K filed with the Securities and Exchange Commission (“SEC”) on February 26, 2024, and incorporated herein by reference.</w:t>
      </w:r>
    </w:p>
    <w:p>
      <w:pPr>
        <w:spacing w:after="0" w:line="160"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Times New Roman" w:cs="Times New Roman" w:eastAsia="Times New Roman" w:hAnsi="Times New Roman"/>
          <w:sz w:val="14"/>
          <w:szCs w:val="14"/>
          <w:color w:val="auto"/>
        </w:rPr>
        <w:t>Shutterstock, Inc.’s consolidated financial statements included in its Quarterly Report on Form 10-Q filed with the SEC on May 2, 2024, and incorporated herein by reference.</w:t>
      </w:r>
    </w:p>
    <w:p>
      <w:pPr>
        <w:spacing w:after="0" w:line="24" w:lineRule="exact"/>
        <w:rPr>
          <w:rFonts w:ascii="Arial" w:cs="Arial" w:eastAsia="Arial" w:hAnsi="Arial"/>
          <w:sz w:val="14"/>
          <w:szCs w:val="14"/>
          <w:color w:val="auto"/>
        </w:rPr>
      </w:pPr>
    </w:p>
    <w:p>
      <w:pPr>
        <w:ind w:left="520" w:hanging="260"/>
        <w:spacing w:after="0" w:line="262" w:lineRule="auto"/>
        <w:tabs>
          <w:tab w:leader="none" w:pos="516" w:val="left"/>
        </w:tabs>
        <w:numPr>
          <w:ilvl w:val="0"/>
          <w:numId w:val="8"/>
        </w:numPr>
        <w:rPr>
          <w:rFonts w:ascii="Arial" w:cs="Arial" w:eastAsia="Arial" w:hAnsi="Arial"/>
          <w:sz w:val="14"/>
          <w:szCs w:val="14"/>
          <w:color w:val="auto"/>
        </w:rPr>
      </w:pPr>
      <w:r>
        <w:rPr>
          <w:rFonts w:ascii="Times New Roman" w:cs="Times New Roman" w:eastAsia="Times New Roman" w:hAnsi="Times New Roman"/>
          <w:sz w:val="14"/>
          <w:szCs w:val="14"/>
          <w:color w:val="auto"/>
        </w:rPr>
        <w:t>Envato’s audited consolidated financial statements for the year ended June 30, 2023, that are included as Exhibit 99.1 in the Company’s Report on Form 8-K/A filed with the SEC on October 3, 2024 to which this unaudited pro forma condensed combined financial information is being filed as an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280"/>
          </w:cols>
          <w:pgMar w:left="300" w:top="1131" w:right="319" w:bottom="1440" w:gutter="0" w:footer="0" w:header="0"/>
        </w:sectPr>
      </w:pPr>
    </w:p>
    <w:bookmarkStart w:id="53" w:name="page54"/>
    <w:bookmarkEnd w:id="53"/>
    <w:p>
      <w:pPr>
        <w:ind w:left="520" w:right="120" w:hanging="260"/>
        <w:spacing w:after="0" w:line="263" w:lineRule="auto"/>
        <w:tabs>
          <w:tab w:leader="none" w:pos="516" w:val="left"/>
        </w:tabs>
        <w:numPr>
          <w:ilvl w:val="0"/>
          <w:numId w:val="9"/>
        </w:numPr>
        <w:rPr>
          <w:rFonts w:ascii="Arial" w:cs="Arial" w:eastAsia="Arial" w:hAnsi="Arial"/>
          <w:sz w:val="14"/>
          <w:szCs w:val="14"/>
          <w:color w:val="auto"/>
        </w:rPr>
      </w:pPr>
      <w:r>
        <w:rPr>
          <w:rFonts w:ascii="Times New Roman" w:cs="Times New Roman" w:eastAsia="Times New Roman" w:hAnsi="Times New Roman"/>
          <w:sz w:val="14"/>
          <w:szCs w:val="14"/>
          <w:color w:val="auto"/>
        </w:rPr>
        <w:t>Envato’s unaudited condensed consolidated financial statements for the six months ended December 31, 2023 and 2022, that are included as Exhibit 99.2 in the Company’s Report on Form 8-K/A filed with the SEC on October 3, 2024 to which this unaudited pro forma condensed combined financial information is being filed as an exhibit.</w:t>
      </w:r>
    </w:p>
    <w:p>
      <w:pPr>
        <w:ind w:left="520" w:hanging="260"/>
        <w:spacing w:after="0"/>
        <w:tabs>
          <w:tab w:leader="none" w:pos="5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4"/>
          <w:szCs w:val="14"/>
          <w:color w:val="auto"/>
        </w:rPr>
        <w:t>Envato's statement of profit or loss for the three months ended March 31, 2024, and the statement of financial position as of March 31, 2024 derived from the books and records of Envato.</w:t>
      </w:r>
    </w:p>
    <w:p>
      <w:pPr>
        <w:spacing w:after="0" w:line="184" w:lineRule="exact"/>
        <w:rPr>
          <w:rFonts w:ascii="Arial" w:cs="Arial" w:eastAsia="Arial" w:hAnsi="Arial"/>
          <w:sz w:val="14"/>
          <w:szCs w:val="14"/>
          <w:color w:val="auto"/>
        </w:rPr>
      </w:pPr>
    </w:p>
    <w:p>
      <w:pPr>
        <w:ind w:left="520" w:right="240" w:hanging="260"/>
        <w:spacing w:after="0" w:line="286" w:lineRule="auto"/>
        <w:tabs>
          <w:tab w:leader="none" w:pos="516" w:val="left"/>
        </w:tabs>
        <w:numPr>
          <w:ilvl w:val="0"/>
          <w:numId w:val="9"/>
        </w:numPr>
        <w:rPr>
          <w:rFonts w:ascii="Arial" w:cs="Arial" w:eastAsia="Arial" w:hAnsi="Arial"/>
          <w:sz w:val="14"/>
          <w:szCs w:val="14"/>
          <w:color w:val="auto"/>
        </w:rPr>
      </w:pPr>
      <w:r>
        <w:rPr>
          <w:rFonts w:ascii="Times New Roman" w:cs="Times New Roman" w:eastAsia="Times New Roman" w:hAnsi="Times New Roman"/>
          <w:sz w:val="14"/>
          <w:szCs w:val="14"/>
          <w:color w:val="auto"/>
        </w:rPr>
        <w:t>Giphy’s unaudited condensed consolidated financial statements for the quarterly period ended March 31, 2023, which are included in the Company’s Current Report on Form 8-K/A filed with the SEC on August 31, 2023.</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Giphy's statement of operations for the period from April 1, 2023 through June 23, 2023 derived from the books and records of Giphy.</w:t>
      </w:r>
    </w:p>
    <w:p>
      <w:pPr>
        <w:spacing w:after="0" w:line="23" w:lineRule="exact"/>
        <w:rPr>
          <w:sz w:val="20"/>
          <w:szCs w:val="20"/>
          <w:color w:val="auto"/>
        </w:rPr>
      </w:pPr>
    </w:p>
    <w:p>
      <w:pPr>
        <w:ind w:right="140" w:firstLine="318"/>
        <w:spacing w:after="0" w:line="253"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not necessarily indicative of what Shutterstock’s results of operations would have been had the Envato Acquisition and Giphy Acquisition occurred on the dates indicated, nor is it necessarily indicative of what the financial position or results of operations of the combined company will be in future periods. The historical financial information has been adjusted to reflect transaction related adjustments that management believes are necessary to present fairly Shutterstock’s pro forma results of operations following the closing of the Envato Acquisition and Giphy Acquisition for the periods indicated. Additionally, the unaudited pro forma condensed combined statement of operations does not reflect any benefits that may result from potential revenue enhancements, anticipated cost savings and expense efficiencies or other synergies that may be achieved from the transaction.</w:t>
      </w:r>
    </w:p>
    <w:p>
      <w:pPr>
        <w:jc w:val="both"/>
        <w:ind w:right="200" w:firstLine="318"/>
        <w:spacing w:after="0" w:line="259" w:lineRule="auto"/>
        <w:rPr>
          <w:sz w:val="20"/>
          <w:szCs w:val="20"/>
          <w:color w:val="auto"/>
        </w:rPr>
      </w:pPr>
      <w:r>
        <w:rPr>
          <w:rFonts w:ascii="Times New Roman" w:cs="Times New Roman" w:eastAsia="Times New Roman" w:hAnsi="Times New Roman"/>
          <w:sz w:val="14"/>
          <w:szCs w:val="14"/>
          <w:color w:val="auto"/>
        </w:rPr>
        <w:t>The pro forma adjustments are based on certain estimates and assumptions, including the Envato preliminary purchase price allocation. The actual adjustments and the allocation of the final purchase price will depend on several factors, including additional financial information and completion of the determination of fair value of assets and liabilities of Envato as of the purchase date. Therefore, the actual adjustments will differ from the pro forma adjustments, and it is possible that the differences may be material.</w:t>
      </w:r>
    </w:p>
    <w:p>
      <w:pPr>
        <w:spacing w:after="0" w:line="16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combination is subject to Envato Acquisition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combination accounting may be material.</w:t>
      </w:r>
    </w:p>
    <w:p>
      <w:pPr>
        <w:spacing w:after="0" w:line="2" w:lineRule="exact"/>
        <w:rPr>
          <w:sz w:val="20"/>
          <w:szCs w:val="20"/>
          <w:color w:val="auto"/>
        </w:rPr>
      </w:pPr>
    </w:p>
    <w:p>
      <w:pPr>
        <w:ind w:right="60" w:firstLine="318"/>
        <w:spacing w:after="0" w:line="239" w:lineRule="auto"/>
        <w:rPr>
          <w:sz w:val="20"/>
          <w:szCs w:val="20"/>
          <w:color w:val="auto"/>
        </w:rPr>
      </w:pPr>
      <w:r>
        <w:rPr>
          <w:rFonts w:ascii="Times New Roman" w:cs="Times New Roman" w:eastAsia="Times New Roman" w:hAnsi="Times New Roman"/>
          <w:sz w:val="14"/>
          <w:szCs w:val="14"/>
          <w:color w:val="auto"/>
        </w:rPr>
        <w:t>Envato's financial statements were prepared in accordance with International Financial Reporting Standards ("IFRS") issued by the International Accounting Standards Board ("IASB"). There were no material adjustments required to convert these financial statements to United States generally accepted accounting principles (“U.S. GAAP”). The pro forma adjustments include certain reclassifications to conform Envato’s historical accounting presentation to Shutterstock’s accounting presentation. Shutterstock’s management believes that its assumptions provide a reasonable basis for presenting all of the significant effects of the transactions and that the pro forma adjustments give appropriate effect to those assumptions and are properly applied in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1280"/>
          </w:cols>
          <w:pgMar w:left="300" w:top="114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Note 2 – Preliminary Fair Value Allocation of Assets Acquired and Liabilities Assumed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purposes of these pro forma financial statements, the estimated purchase price is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60" w:type="dxa"/>
            <w:vAlign w:val="bottom"/>
          </w:tcPr>
          <w:p>
            <w:pPr>
              <w:spacing w:after="0"/>
              <w:rPr>
                <w:sz w:val="14"/>
                <w:szCs w:val="14"/>
                <w:color w:val="auto"/>
              </w:rPr>
            </w:pPr>
          </w:p>
        </w:tc>
        <w:tc>
          <w:tcPr>
            <w:tcW w:w="214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Purchase Price</w:t>
            </w:r>
          </w:p>
        </w:tc>
      </w:tr>
      <w:tr>
        <w:trPr>
          <w:trHeight w:val="26"/>
        </w:trPr>
        <w:tc>
          <w:tcPr>
            <w:tcW w:w="90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72"/>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Preliminary purchase consideration</w:t>
            </w:r>
          </w:p>
        </w:tc>
        <w:tc>
          <w:tcPr>
            <w:tcW w:w="2140" w:type="dxa"/>
            <w:vAlign w:val="bottom"/>
            <w:tcBorders>
              <w:bottom w:val="single" w:sz="8" w:color="CCEEFF"/>
            </w:tcBorders>
            <w:shd w:val="clear" w:color="auto" w:fill="CCEEFF"/>
          </w:tcPr>
          <w:p>
            <w:pPr>
              <w:jc w:val="center"/>
              <w:ind w:left="1576"/>
              <w:spacing w:after="0"/>
              <w:rPr>
                <w:sz w:val="20"/>
                <w:szCs w:val="20"/>
                <w:color w:val="auto"/>
              </w:rPr>
            </w:pPr>
            <w:r>
              <w:rPr>
                <w:rFonts w:ascii="Times New Roman" w:cs="Times New Roman" w:eastAsia="Times New Roman" w:hAnsi="Times New Roman"/>
                <w:sz w:val="13"/>
                <w:szCs w:val="13"/>
                <w:color w:val="auto"/>
                <w:w w:val="99"/>
              </w:rPr>
              <w:t>250,213</w:t>
            </w:r>
          </w:p>
        </w:tc>
      </w:tr>
      <w:tr>
        <w:trPr>
          <w:trHeight w:val="176"/>
        </w:trPr>
        <w:tc>
          <w:tcPr>
            <w:tcW w:w="9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Acquired cash</w:t>
            </w:r>
          </w:p>
        </w:tc>
        <w:tc>
          <w:tcPr>
            <w:tcW w:w="2140" w:type="dxa"/>
            <w:vAlign w:val="bottom"/>
          </w:tcPr>
          <w:p>
            <w:pPr>
              <w:jc w:val="center"/>
              <w:ind w:left="1536"/>
              <w:spacing w:after="0"/>
              <w:rPr>
                <w:sz w:val="20"/>
                <w:szCs w:val="20"/>
                <w:color w:val="auto"/>
              </w:rPr>
            </w:pPr>
            <w:r>
              <w:rPr>
                <w:rFonts w:ascii="Times New Roman" w:cs="Times New Roman" w:eastAsia="Times New Roman" w:hAnsi="Times New Roman"/>
                <w:sz w:val="13"/>
                <w:szCs w:val="13"/>
                <w:color w:val="auto"/>
                <w:w w:val="98"/>
              </w:rPr>
              <w:t>(101,291)</w:t>
            </w:r>
          </w:p>
        </w:tc>
      </w:tr>
      <w:tr>
        <w:trPr>
          <w:trHeight w:val="26"/>
        </w:trPr>
        <w:tc>
          <w:tcPr>
            <w:tcW w:w="90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15"/>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Preliminary purchase consideration, net of acquired cash</w:t>
            </w:r>
          </w:p>
        </w:tc>
        <w:tc>
          <w:tcPr>
            <w:tcW w:w="2140" w:type="dxa"/>
            <w:vAlign w:val="bottom"/>
            <w:tcBorders>
              <w:bottom w:val="single" w:sz="8" w:color="auto"/>
            </w:tcBorders>
            <w:shd w:val="clear" w:color="auto" w:fill="CCEEFF"/>
          </w:tcPr>
          <w:p>
            <w:pPr>
              <w:jc w:val="center"/>
              <w:ind w:left="1576"/>
              <w:spacing w:after="0"/>
              <w:rPr>
                <w:sz w:val="20"/>
                <w:szCs w:val="20"/>
                <w:color w:val="auto"/>
              </w:rPr>
            </w:pPr>
            <w:r>
              <w:rPr>
                <w:rFonts w:ascii="Times New Roman" w:cs="Times New Roman" w:eastAsia="Times New Roman" w:hAnsi="Times New Roman"/>
                <w:sz w:val="13"/>
                <w:szCs w:val="13"/>
                <w:b w:val="1"/>
                <w:bCs w:val="1"/>
                <w:color w:val="auto"/>
                <w:w w:val="99"/>
              </w:rPr>
              <w:t>148,922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allocation of the purchase price to assets acquired and liabilities assumed is as follows, as though the transaction closed on March 31, 2024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assets acquired and liabilities assumed:</w:t>
            </w:r>
          </w:p>
        </w:tc>
        <w:tc>
          <w:tcPr>
            <w:tcW w:w="280" w:type="dxa"/>
            <w:vAlign w:val="bottom"/>
          </w:tcPr>
          <w:p>
            <w:pPr>
              <w:spacing w:after="0"/>
              <w:rPr>
                <w:sz w:val="14"/>
                <w:szCs w:val="14"/>
                <w:color w:val="auto"/>
              </w:rPr>
            </w:pPr>
          </w:p>
        </w:tc>
        <w:tc>
          <w:tcPr>
            <w:tcW w:w="182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As of March 31, 2024</w:t>
            </w:r>
          </w:p>
        </w:tc>
      </w:tr>
      <w:tr>
        <w:trPr>
          <w:trHeight w:val="26"/>
        </w:trPr>
        <w:tc>
          <w:tcPr>
            <w:tcW w:w="8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7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101,291</w:t>
            </w:r>
          </w:p>
        </w:tc>
      </w:tr>
      <w:tr>
        <w:trPr>
          <w:trHeight w:val="176"/>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3,484</w:t>
            </w:r>
          </w:p>
        </w:tc>
      </w:tr>
      <w:tr>
        <w:trPr>
          <w:trHeight w:val="26"/>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3,507</w:t>
            </w:r>
          </w:p>
        </w:tc>
      </w:tr>
      <w:tr>
        <w:trPr>
          <w:trHeight w:val="176"/>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w:t>
            </w:r>
          </w:p>
        </w:tc>
      </w:tr>
      <w:tr>
        <w:trPr>
          <w:trHeight w:val="26"/>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2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r>
      <w:tr>
        <w:trPr>
          <w:trHeight w:val="176"/>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Trademark</w:t>
            </w: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31,000</w:t>
            </w:r>
          </w:p>
        </w:tc>
      </w:tr>
      <w:tr>
        <w:trPr>
          <w:trHeight w:val="26"/>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Software</w:t>
            </w:r>
          </w:p>
        </w:tc>
        <w:tc>
          <w:tcPr>
            <w:tcW w:w="2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47,000</w:t>
            </w:r>
          </w:p>
        </w:tc>
      </w:tr>
      <w:tr>
        <w:trPr>
          <w:trHeight w:val="176"/>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12,400</w:t>
            </w:r>
          </w:p>
        </w:tc>
      </w:tr>
      <w:tr>
        <w:trPr>
          <w:trHeight w:val="26"/>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2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90,400</w:t>
            </w:r>
          </w:p>
        </w:tc>
      </w:tr>
      <w:tr>
        <w:trPr>
          <w:trHeight w:val="176"/>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22,508</w:t>
            </w:r>
          </w:p>
        </w:tc>
      </w:tr>
      <w:tr>
        <w:trPr>
          <w:trHeight w:val="26"/>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w:t>
            </w:r>
          </w:p>
        </w:tc>
      </w:tr>
      <w:tr>
        <w:trPr>
          <w:trHeight w:val="167"/>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 acquired</w:t>
            </w:r>
          </w:p>
        </w:tc>
        <w:tc>
          <w:tcPr>
            <w:tcW w:w="2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223,596</w:t>
            </w:r>
          </w:p>
        </w:tc>
      </w:tr>
      <w:tr>
        <w:trPr>
          <w:trHeight w:val="26"/>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2,439</w:t>
            </w:r>
          </w:p>
        </w:tc>
      </w:tr>
      <w:tr>
        <w:trPr>
          <w:trHeight w:val="176"/>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10,126</w:t>
            </w:r>
          </w:p>
        </w:tc>
      </w:tr>
      <w:tr>
        <w:trPr>
          <w:trHeight w:val="26"/>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Contributor royalties payable</w:t>
            </w:r>
          </w:p>
        </w:tc>
        <w:tc>
          <w:tcPr>
            <w:tcW w:w="2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15,269</w:t>
            </w:r>
          </w:p>
        </w:tc>
      </w:tr>
      <w:tr>
        <w:trPr>
          <w:trHeight w:val="176"/>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revenue</w:t>
            </w: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47,338</w:t>
            </w:r>
          </w:p>
        </w:tc>
      </w:tr>
      <w:tr>
        <w:trPr>
          <w:trHeight w:val="26"/>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98,530</w:t>
            </w:r>
          </w:p>
        </w:tc>
      </w:tr>
      <w:tr>
        <w:trPr>
          <w:trHeight w:val="176"/>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w:t>
            </w:r>
          </w:p>
        </w:tc>
      </w:tr>
      <w:tr>
        <w:trPr>
          <w:trHeight w:val="26"/>
        </w:trPr>
        <w:tc>
          <w:tcPr>
            <w:tcW w:w="8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7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assumed</w:t>
            </w:r>
          </w:p>
        </w:tc>
        <w:tc>
          <w:tcPr>
            <w:tcW w:w="2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174,572</w:t>
            </w:r>
          </w:p>
        </w:tc>
      </w:tr>
      <w:tr>
        <w:trPr>
          <w:trHeight w:val="176"/>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assets acquired</w:t>
            </w: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49,024</w:t>
            </w:r>
          </w:p>
        </w:tc>
      </w:tr>
      <w:tr>
        <w:trPr>
          <w:trHeight w:val="26"/>
        </w:trPr>
        <w:tc>
          <w:tcPr>
            <w:tcW w:w="8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Preliminary purchase consideration</w:t>
            </w:r>
          </w:p>
        </w:tc>
        <w:tc>
          <w:tcPr>
            <w:tcW w:w="2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250,213</w:t>
            </w:r>
          </w:p>
        </w:tc>
      </w:tr>
      <w:tr>
        <w:trPr>
          <w:trHeight w:val="190"/>
        </w:trPr>
        <w:tc>
          <w:tcPr>
            <w:tcW w:w="8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Preliminary Goodwill</w:t>
            </w:r>
          </w:p>
        </w:tc>
        <w:tc>
          <w:tcPr>
            <w:tcW w:w="28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201,189</w:t>
            </w:r>
          </w:p>
        </w:tc>
      </w:tr>
      <w:tr>
        <w:trPr>
          <w:trHeight w:val="20"/>
        </w:trPr>
        <w:tc>
          <w:tcPr>
            <w:tcW w:w="8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318"/>
        <w:spacing w:after="0"/>
        <w:rPr>
          <w:sz w:val="20"/>
          <w:szCs w:val="20"/>
          <w:color w:val="auto"/>
        </w:rPr>
      </w:pPr>
      <w:r>
        <w:rPr>
          <w:rFonts w:ascii="Times New Roman" w:cs="Times New Roman" w:eastAsia="Times New Roman" w:hAnsi="Times New Roman"/>
          <w:sz w:val="14"/>
          <w:szCs w:val="14"/>
          <w:color w:val="auto"/>
        </w:rPr>
        <w:t>The excess of preliminary purchase consideration over total net assets was recorded as goodwill. The goodwill arising from the transaction is primarily attributable to expected operational synergies and is not deductible for income tax purposes. The fair value adjustments are preliminary and based on estimates of the fair value of the assets and liabilities assumed on March 31, 2024 and have been prepared to illustrate the effect of the Envato Acquisition. Accordingly, the pro forma purchase price allocation may be subject to further adjustments as additional information becomes available and as additional analyses and final valuations are completed. The final adjustments could be materially different from those reflected herein. The identifiable intangible assets, which include trademark, software, customer relationships have weighted average useful lives of approximately 10 years, 5 years and 6 years, respectively. The fair value of the trademark and software was determined using the relief-from-royalty method, and the fair value of the customer relationships was determined using the excess of earnings method. The identifiable intangible assets of this acquisition are amortized on a straight-line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1280"/>
          </w:cols>
          <w:pgMar w:left="300" w:top="1258"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Note 3 – Giphy Acquisition Pro Forma Adjustments</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June 23, 2023, the Company completed the Giphy Acquisition. In connection with the closing of the Giphy Acquisition, the Company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 (ii) nonrecurring items, totaling $87.9 million, comprised of one-time employment inducement bonuses and the cash value of unvested Meta equity awards (the “Giphy Retention Compensation”).</w:t>
      </w:r>
    </w:p>
    <w:p>
      <w:pPr>
        <w:spacing w:after="0" w:line="16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4"/>
          <w:szCs w:val="14"/>
          <w:color w:val="auto"/>
        </w:rPr>
        <w:t>The results of Giphy are included in the actual consolidated results of the Company from June 23, 2023. Adjustments have been made to the unaudited pro forma condensed combined statement of operations for the year ended December 31, 2023 to include the results of Giphy from January 1, 2023 to June 23, 2023, such that the unaudited pro forma condensed combined statement of operations for the year ended December 31, 2023 also reflects the result of Giphy as if the Company had acquired Giphy on January 1,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Historical</w:t>
            </w:r>
          </w:p>
        </w:tc>
        <w:tc>
          <w:tcPr>
            <w:tcW w:w="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Giphy Accounting Transaction Accounting</w:t>
            </w: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Giphy</w:t>
            </w:r>
          </w:p>
        </w:tc>
        <w:tc>
          <w:tcPr>
            <w:tcW w:w="480" w:type="dxa"/>
            <w:vAlign w:val="bottom"/>
          </w:tcPr>
          <w:p>
            <w:pPr>
              <w:spacing w:after="0"/>
              <w:rPr>
                <w:sz w:val="14"/>
                <w:szCs w:val="14"/>
                <w:color w:val="auto"/>
              </w:rPr>
            </w:pPr>
          </w:p>
        </w:tc>
        <w:tc>
          <w:tcPr>
            <w:tcW w:w="1980" w:type="dxa"/>
            <w:vAlign w:val="bottom"/>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Note</w:t>
            </w:r>
          </w:p>
        </w:tc>
        <w:tc>
          <w:tcPr>
            <w:tcW w:w="280" w:type="dxa"/>
            <w:vAlign w:val="bottom"/>
          </w:tcPr>
          <w:p>
            <w:pPr>
              <w:spacing w:after="0"/>
              <w:rPr>
                <w:sz w:val="14"/>
                <w:szCs w:val="14"/>
                <w:color w:val="auto"/>
              </w:rPr>
            </w:pPr>
          </w:p>
        </w:tc>
        <w:tc>
          <w:tcPr>
            <w:tcW w:w="188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Giphy As Reclassified</w:t>
            </w:r>
          </w:p>
        </w:tc>
        <w:tc>
          <w:tcPr>
            <w:tcW w:w="0" w:type="dxa"/>
            <w:vAlign w:val="bottom"/>
          </w:tcPr>
          <w:p>
            <w:pPr>
              <w:spacing w:after="0"/>
              <w:rPr>
                <w:sz w:val="1"/>
                <w:szCs w:val="1"/>
                <w:color w:val="auto"/>
              </w:rPr>
            </w:pPr>
          </w:p>
        </w:tc>
      </w:tr>
      <w:tr>
        <w:trPr>
          <w:trHeight w:val="26"/>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7,151</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3A</w:t>
            </w:r>
          </w:p>
        </w:tc>
        <w:tc>
          <w:tcPr>
            <w:tcW w:w="2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7,151</w:t>
            </w: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revenue</w:t>
            </w:r>
          </w:p>
        </w:tc>
        <w:tc>
          <w:tcPr>
            <w:tcW w:w="1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3B</w:t>
            </w:r>
          </w:p>
        </w:tc>
        <w:tc>
          <w:tcPr>
            <w:tcW w:w="2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Sales and marketing</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11,148</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11,148</w:t>
            </w:r>
          </w:p>
        </w:tc>
        <w:tc>
          <w:tcPr>
            <w:tcW w:w="0" w:type="dxa"/>
            <w:vAlign w:val="bottom"/>
          </w:tcPr>
          <w:p>
            <w:pPr>
              <w:spacing w:after="0"/>
              <w:rPr>
                <w:sz w:val="1"/>
                <w:szCs w:val="1"/>
                <w:color w:val="auto"/>
              </w:rPr>
            </w:pPr>
          </w:p>
        </w:tc>
      </w:tr>
      <w:tr>
        <w:trPr>
          <w:trHeight w:val="176"/>
        </w:trPr>
        <w:tc>
          <w:tcPr>
            <w:tcW w:w="4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Product development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27,108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27,108</w:t>
            </w: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11,874</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3B</w:t>
            </w:r>
          </w:p>
        </w:tc>
        <w:tc>
          <w:tcPr>
            <w:tcW w:w="2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12,566</w:t>
            </w:r>
          </w:p>
        </w:tc>
        <w:tc>
          <w:tcPr>
            <w:tcW w:w="0" w:type="dxa"/>
            <w:vAlign w:val="bottom"/>
          </w:tcPr>
          <w:p>
            <w:pPr>
              <w:spacing w:after="0"/>
              <w:rPr>
                <w:sz w:val="1"/>
                <w:szCs w:val="1"/>
                <w:color w:val="auto"/>
              </w:rPr>
            </w:pPr>
          </w:p>
        </w:tc>
      </w:tr>
      <w:tr>
        <w:trPr>
          <w:trHeight w:val="167"/>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50,130</w:t>
            </w: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53,360</w:t>
            </w:r>
          </w:p>
        </w:tc>
        <w:tc>
          <w:tcPr>
            <w:tcW w:w="0" w:type="dxa"/>
            <w:vAlign w:val="bottom"/>
          </w:tcPr>
          <w:p>
            <w:pPr>
              <w:spacing w:after="0"/>
              <w:rPr>
                <w:sz w:val="1"/>
                <w:szCs w:val="1"/>
                <w:color w:val="auto"/>
              </w:rPr>
            </w:pPr>
          </w:p>
        </w:tc>
      </w:tr>
      <w:tr>
        <w:trPr>
          <w:trHeight w:val="26"/>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 (loss) from operations</w:t>
            </w:r>
          </w:p>
        </w:tc>
        <w:tc>
          <w:tcPr>
            <w:tcW w:w="1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(50,130)</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3,921</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(46,209)</w:t>
            </w:r>
          </w:p>
        </w:tc>
        <w:tc>
          <w:tcPr>
            <w:tcW w:w="0" w:type="dxa"/>
            <w:vAlign w:val="bottom"/>
          </w:tcPr>
          <w:p>
            <w:pPr>
              <w:spacing w:after="0"/>
              <w:rPr>
                <w:sz w:val="1"/>
                <w:szCs w:val="1"/>
                <w:color w:val="auto"/>
              </w:rPr>
            </w:pPr>
          </w:p>
        </w:tc>
      </w:tr>
      <w:tr>
        <w:trPr>
          <w:trHeight w:val="176"/>
        </w:trPr>
        <w:tc>
          <w:tcPr>
            <w:tcW w:w="4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income / (expense), net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26"/>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 (loss) before income taxes</w:t>
            </w:r>
          </w:p>
        </w:tc>
        <w:tc>
          <w:tcPr>
            <w:tcW w:w="1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(50,052)</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3,921</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(46,131)</w:t>
            </w:r>
          </w:p>
        </w:tc>
        <w:tc>
          <w:tcPr>
            <w:tcW w:w="0" w:type="dxa"/>
            <w:vAlign w:val="bottom"/>
          </w:tcPr>
          <w:p>
            <w:pPr>
              <w:spacing w:after="0"/>
              <w:rPr>
                <w:sz w:val="1"/>
                <w:szCs w:val="1"/>
                <w:color w:val="auto"/>
              </w:rPr>
            </w:pPr>
          </w:p>
        </w:tc>
      </w:tr>
      <w:tr>
        <w:trPr>
          <w:trHeight w:val="176"/>
        </w:trPr>
        <w:tc>
          <w:tcPr>
            <w:tcW w:w="4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3C</w:t>
            </w:r>
          </w:p>
        </w:tc>
        <w:tc>
          <w:tcPr>
            <w:tcW w:w="2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0" w:type="dxa"/>
            <w:vAlign w:val="bottom"/>
          </w:tcPr>
          <w:p>
            <w:pPr>
              <w:spacing w:after="0"/>
              <w:rPr>
                <w:sz w:val="1"/>
                <w:szCs w:val="1"/>
                <w:color w:val="auto"/>
              </w:rPr>
            </w:pPr>
          </w:p>
        </w:tc>
      </w:tr>
      <w:tr>
        <w:trPr>
          <w:trHeight w:val="26"/>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 (loss)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(50,052)</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(46,993)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right="240" w:hanging="260"/>
        <w:spacing w:after="0" w:line="263" w:lineRule="auto"/>
        <w:tabs>
          <w:tab w:leader="none" w:pos="51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record $7.2 million for the period from January 1, 2023 through June 23, 2023 representing the allocation of the $30 million of consideration to an API services agreement, which was deferred on the date of acquisition and will be recorded as revenue over two years.</w:t>
      </w:r>
    </w:p>
    <w:p>
      <w:pPr>
        <w:ind w:left="500" w:hanging="24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intangible assets recorded in connection with purchase accounting adjustments.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80" w:type="dxa"/>
            <w:vAlign w:val="bottom"/>
          </w:tcPr>
          <w:p>
            <w:pPr>
              <w:spacing w:after="0"/>
              <w:rPr>
                <w:sz w:val="13"/>
                <w:szCs w:val="13"/>
                <w:color w:val="auto"/>
              </w:rPr>
            </w:pPr>
          </w:p>
        </w:tc>
        <w:tc>
          <w:tcPr>
            <w:tcW w:w="3780" w:type="dxa"/>
            <w:vAlign w:val="bottom"/>
          </w:tcPr>
          <w:p>
            <w:pPr>
              <w:jc w:val="right"/>
              <w:ind w:right="1076"/>
              <w:spacing w:after="0"/>
              <w:rPr>
                <w:sz w:val="20"/>
                <w:szCs w:val="20"/>
                <w:color w:val="auto"/>
              </w:rPr>
            </w:pPr>
            <w:r>
              <w:rPr>
                <w:rFonts w:ascii="Times New Roman" w:cs="Times New Roman" w:eastAsia="Times New Roman" w:hAnsi="Times New Roman"/>
                <w:sz w:val="13"/>
                <w:szCs w:val="13"/>
                <w:b w:val="1"/>
                <w:bCs w:val="1"/>
                <w:color w:val="auto"/>
              </w:rPr>
              <w:t>Period from January 1, 2023</w:t>
            </w:r>
          </w:p>
        </w:tc>
      </w:tr>
      <w:tr>
        <w:trPr>
          <w:trHeight w:val="167"/>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3780" w:type="dxa"/>
            <w:vAlign w:val="bottom"/>
          </w:tcPr>
          <w:p>
            <w:pPr>
              <w:jc w:val="right"/>
              <w:ind w:right="1216"/>
              <w:spacing w:after="0"/>
              <w:rPr>
                <w:sz w:val="20"/>
                <w:szCs w:val="20"/>
                <w:color w:val="auto"/>
              </w:rPr>
            </w:pPr>
            <w:r>
              <w:rPr>
                <w:rFonts w:ascii="Times New Roman" w:cs="Times New Roman" w:eastAsia="Times New Roman" w:hAnsi="Times New Roman"/>
                <w:sz w:val="13"/>
                <w:szCs w:val="13"/>
                <w:b w:val="1"/>
                <w:bCs w:val="1"/>
                <w:color w:val="auto"/>
              </w:rPr>
              <w:t>through June 23, 2023</w:t>
            </w:r>
          </w:p>
        </w:tc>
      </w:tr>
      <w:tr>
        <w:trPr>
          <w:trHeight w:val="26"/>
        </w:trPr>
        <w:tc>
          <w:tcPr>
            <w:tcW w:w="7380" w:type="dxa"/>
            <w:vAlign w:val="bottom"/>
            <w:tcBorders>
              <w:bottom w:val="single" w:sz="8" w:color="CCEEFF"/>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72"/>
        </w:trPr>
        <w:tc>
          <w:tcPr>
            <w:tcW w:w="7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Cost of revenue</w:t>
            </w:r>
          </w:p>
        </w:tc>
        <w:tc>
          <w:tcPr>
            <w:tcW w:w="3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r>
      <w:tr>
        <w:trPr>
          <w:trHeight w:val="176"/>
        </w:trPr>
        <w:tc>
          <w:tcPr>
            <w:tcW w:w="7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w:t>
            </w:r>
          </w:p>
        </w:tc>
      </w:tr>
    </w:tbl>
    <w:p>
      <w:pPr>
        <w:spacing w:after="0" w:line="276"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4"/>
          <w:szCs w:val="14"/>
          <w:color w:val="auto"/>
        </w:rPr>
        <w:t>C.</w:t>
        <w:tab/>
        <w:t>Estimated income tax impact of the Giphy transaction accounting adjustments, using the statutory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1280"/>
          </w:cols>
          <w:pgMar w:left="300" w:top="1131"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Note 4 – Envato’s Statement of Operations Reconciliation for Twelve Months Ended December 31, 2023</w:t>
      </w:r>
    </w:p>
    <w:p>
      <w:pPr>
        <w:spacing w:after="0" w:line="21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For purposes of preparing the unaudited condensed combined statement of operations for the year-ended December 31, 2023, Envato's historical audited statement of profit and loss and other comprehensive income for the twelve months ended June 30, 2023 was adjusted using Envato's unaudited statements of profit and loss and other comprehensive income for the six-month periods ended December 31, 2022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Twelve months ended</w:t>
            </w: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Six months ended December 31,</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Six months ended December 31,</w:t>
            </w:r>
          </w:p>
        </w:tc>
        <w:tc>
          <w:tcPr>
            <w:tcW w:w="80" w:type="dxa"/>
            <w:vAlign w:val="bottom"/>
          </w:tcPr>
          <w:p>
            <w:pPr>
              <w:spacing w:after="0"/>
              <w:rPr>
                <w:sz w:val="13"/>
                <w:szCs w:val="13"/>
                <w:color w:val="auto"/>
              </w:rPr>
            </w:pPr>
          </w:p>
        </w:tc>
        <w:tc>
          <w:tcPr>
            <w:tcW w:w="160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6"/>
              </w:rPr>
              <w:t>Fiscal Year 2023 Results</w:t>
            </w:r>
          </w:p>
        </w:tc>
      </w:tr>
      <w:tr>
        <w:trPr>
          <w:trHeight w:val="159"/>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June 30, 2023</w:t>
            </w:r>
          </w:p>
        </w:tc>
        <w:tc>
          <w:tcPr>
            <w:tcW w:w="420" w:type="dxa"/>
            <w:vAlign w:val="bottom"/>
          </w:tcPr>
          <w:p>
            <w:pPr>
              <w:spacing w:after="0"/>
              <w:rPr>
                <w:sz w:val="13"/>
                <w:szCs w:val="13"/>
                <w:color w:val="auto"/>
              </w:rPr>
            </w:pPr>
          </w:p>
        </w:tc>
        <w:tc>
          <w:tcPr>
            <w:tcW w:w="1380" w:type="dxa"/>
            <w:vAlign w:val="bottom"/>
          </w:tcPr>
          <w:p>
            <w:pPr>
              <w:jc w:val="center"/>
              <w:ind w:right="363"/>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center"/>
              <w:ind w:right="36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7"/>
              </w:rPr>
              <w:t>through December 31, 2023</w:t>
            </w:r>
          </w:p>
        </w:tc>
      </w:tr>
      <w:tr>
        <w:trPr>
          <w:trHeight w:val="167"/>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6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88"/>
              </w:rPr>
              <w:t>(A)</w:t>
            </w:r>
          </w:p>
        </w:tc>
        <w:tc>
          <w:tcPr>
            <w:tcW w:w="42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2"/>
              </w:rPr>
              <w:t>(B)</w:t>
            </w:r>
          </w:p>
        </w:tc>
        <w:tc>
          <w:tcPr>
            <w:tcW w:w="42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9"/>
              </w:rPr>
              <w:t>(C)</w:t>
            </w:r>
          </w:p>
        </w:tc>
        <w:tc>
          <w:tcPr>
            <w:tcW w:w="80" w:type="dxa"/>
            <w:vAlign w:val="bottom"/>
          </w:tcPr>
          <w:p>
            <w:pPr>
              <w:spacing w:after="0"/>
              <w:rPr>
                <w:sz w:val="14"/>
                <w:szCs w:val="14"/>
                <w:color w:val="auto"/>
              </w:rPr>
            </w:pPr>
          </w:p>
        </w:tc>
        <w:tc>
          <w:tcPr>
            <w:tcW w:w="160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8"/>
              </w:rPr>
              <w:t>(A - B + C)</w:t>
            </w:r>
          </w:p>
        </w:tc>
      </w:tr>
      <w:tr>
        <w:trPr>
          <w:trHeight w:val="26"/>
        </w:trPr>
        <w:tc>
          <w:tcPr>
            <w:tcW w:w="3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ordinary activities</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190,313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92,308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99,804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197,809</w:t>
            </w:r>
          </w:p>
        </w:tc>
      </w:tr>
      <w:tr>
        <w:trPr>
          <w:trHeight w:val="212"/>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 costs</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52,302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25,131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55,772</w:t>
            </w:r>
          </w:p>
        </w:tc>
      </w:tr>
      <w:tr>
        <w:trPr>
          <w:trHeight w:val="192"/>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Employee costs</w:t>
            </w:r>
          </w:p>
        </w:tc>
        <w:tc>
          <w:tcPr>
            <w:tcW w:w="160" w:type="dxa"/>
            <w:vAlign w:val="bottom"/>
          </w:tcPr>
          <w:p>
            <w:pPr>
              <w:spacing w:after="0"/>
              <w:rPr>
                <w:sz w:val="16"/>
                <w:szCs w:val="16"/>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54,878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24,622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24,776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55,032</w:t>
            </w:r>
          </w:p>
        </w:tc>
      </w:tr>
      <w:tr>
        <w:trPr>
          <w:trHeight w:val="21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provider expenses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4,666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2,223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4,234</w:t>
            </w:r>
          </w:p>
        </w:tc>
      </w:tr>
      <w:tr>
        <w:trPr>
          <w:trHeight w:val="192"/>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amortization and impairment</w:t>
            </w:r>
          </w:p>
        </w:tc>
        <w:tc>
          <w:tcPr>
            <w:tcW w:w="160" w:type="dxa"/>
            <w:vAlign w:val="bottom"/>
          </w:tcPr>
          <w:p>
            <w:pPr>
              <w:spacing w:after="0"/>
              <w:rPr>
                <w:sz w:val="16"/>
                <w:szCs w:val="16"/>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2,843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3,633</w:t>
            </w:r>
          </w:p>
        </w:tc>
      </w:tr>
      <w:tr>
        <w:trPr>
          <w:trHeight w:val="21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Data and software expenses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12,467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6,109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13,345</w:t>
            </w:r>
          </w:p>
        </w:tc>
      </w:tr>
      <w:tr>
        <w:trPr>
          <w:trHeight w:val="192"/>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Marketing expenses</w:t>
            </w:r>
          </w:p>
        </w:tc>
        <w:tc>
          <w:tcPr>
            <w:tcW w:w="160" w:type="dxa"/>
            <w:vAlign w:val="bottom"/>
          </w:tcPr>
          <w:p>
            <w:pPr>
              <w:spacing w:after="0"/>
              <w:rPr>
                <w:sz w:val="16"/>
                <w:szCs w:val="16"/>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25,790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13,572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11,786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24,004</w:t>
            </w:r>
          </w:p>
        </w:tc>
      </w:tr>
      <w:tr>
        <w:trPr>
          <w:trHeight w:val="21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Travel expenses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653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555</w:t>
            </w:r>
          </w:p>
        </w:tc>
      </w:tr>
      <w:tr>
        <w:trPr>
          <w:trHeight w:val="192"/>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Rental expenses</w:t>
            </w:r>
          </w:p>
        </w:tc>
        <w:tc>
          <w:tcPr>
            <w:tcW w:w="160" w:type="dxa"/>
            <w:vAlign w:val="bottom"/>
          </w:tcPr>
          <w:p>
            <w:pPr>
              <w:spacing w:after="0"/>
              <w:rPr>
                <w:sz w:val="16"/>
                <w:szCs w:val="16"/>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40</w:t>
            </w:r>
          </w:p>
        </w:tc>
      </w:tr>
      <w:tr>
        <w:trPr>
          <w:trHeight w:val="21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6,832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3,582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4,634</w:t>
            </w:r>
          </w:p>
        </w:tc>
      </w:tr>
      <w:tr>
        <w:trPr>
          <w:trHeight w:val="192"/>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exchange loss</w:t>
            </w:r>
          </w:p>
        </w:tc>
        <w:tc>
          <w:tcPr>
            <w:tcW w:w="160" w:type="dxa"/>
            <w:vAlign w:val="bottom"/>
          </w:tcPr>
          <w:p>
            <w:pPr>
              <w:spacing w:after="0"/>
              <w:rPr>
                <w:sz w:val="16"/>
                <w:szCs w:val="16"/>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1,537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r>
      <w:tr>
        <w:trPr>
          <w:trHeight w:val="21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1,636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1,125</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902</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1,413</w:t>
            </w:r>
          </w:p>
        </w:tc>
      </w:tr>
      <w:tr>
        <w:trPr>
          <w:trHeight w:val="172"/>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profit</w:t>
            </w:r>
          </w:p>
        </w:tc>
        <w:tc>
          <w:tcPr>
            <w:tcW w:w="160" w:type="dxa"/>
            <w:vAlign w:val="bottom"/>
          </w:tcPr>
          <w:p>
            <w:pPr>
              <w:spacing w:after="0"/>
              <w:rPr>
                <w:sz w:val="14"/>
                <w:szCs w:val="14"/>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26,632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13,044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21,689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35,277</w:t>
            </w:r>
          </w:p>
        </w:tc>
      </w:tr>
      <w:tr>
        <w:trPr>
          <w:trHeight w:val="21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income</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842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1,749</w:t>
            </w:r>
          </w:p>
        </w:tc>
      </w:tr>
      <w:tr>
        <w:trPr>
          <w:trHeight w:val="192"/>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Finance costs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(4,644)</w:t>
            </w:r>
          </w:p>
        </w:tc>
      </w:tr>
      <w:tr>
        <w:trPr>
          <w:trHeight w:val="21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Share of profits/(losses) of associates accounted for using the equity method</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(1,775)</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(2,046)</w:t>
            </w:r>
          </w:p>
        </w:tc>
      </w:tr>
      <w:tr>
        <w:trPr>
          <w:trHeight w:val="172"/>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Profit before income tax</w:t>
            </w:r>
          </w:p>
        </w:tc>
        <w:tc>
          <w:tcPr>
            <w:tcW w:w="160" w:type="dxa"/>
            <w:vAlign w:val="bottom"/>
          </w:tcPr>
          <w:p>
            <w:pPr>
              <w:spacing w:after="0"/>
              <w:rPr>
                <w:sz w:val="14"/>
                <w:szCs w:val="14"/>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27,133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13,138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16,341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30,336</w:t>
            </w:r>
          </w:p>
        </w:tc>
      </w:tr>
      <w:tr>
        <w:trPr>
          <w:trHeight w:val="21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8,081</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4,113</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5,556</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9,524</w:t>
            </w:r>
          </w:p>
        </w:tc>
      </w:tr>
      <w:tr>
        <w:trPr>
          <w:trHeight w:val="169"/>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Profit for the period</w:t>
            </w: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19,052</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9,025</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10,785</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20,812</w:t>
            </w: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1160"/>
          </w:cols>
          <w:pgMar w:left="300" w:top="1141"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Note 5 – Envato Statement of Profit or Loss and Statement of Financial Position Adjustments and Reclassification</w:t>
      </w:r>
    </w:p>
    <w:p>
      <w:pPr>
        <w:spacing w:after="0" w:line="181"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4"/>
          <w:szCs w:val="14"/>
          <w:color w:val="auto"/>
        </w:rPr>
        <w:t>Certain pre-acquisition adjustments and reclassifications for the year ended December 31, 2023, for the three months ended March 31, 2024, and as of March 31, 2024 have been made in the historical presentation of Envato's statement of financial position and statement of operations,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20" w:type="dxa"/>
            <w:vAlign w:val="bottom"/>
            <w:gridSpan w:val="4"/>
          </w:tcPr>
          <w:p>
            <w:pPr>
              <w:jc w:val="right"/>
              <w:ind w:right="551"/>
              <w:spacing w:after="0"/>
              <w:rPr>
                <w:sz w:val="20"/>
                <w:szCs w:val="20"/>
                <w:color w:val="auto"/>
              </w:rPr>
            </w:pPr>
            <w:r>
              <w:rPr>
                <w:rFonts w:ascii="Times New Roman" w:cs="Times New Roman" w:eastAsia="Times New Roman" w:hAnsi="Times New Roman"/>
                <w:sz w:val="10"/>
                <w:szCs w:val="10"/>
                <w:b w:val="1"/>
                <w:bCs w:val="1"/>
                <w:color w:val="auto"/>
                <w:w w:val="98"/>
              </w:rPr>
              <w:t>Year ended December 31, 2023</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ind w:right="891"/>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Envato caption</w:t>
            </w:r>
          </w:p>
        </w:tc>
        <w:tc>
          <w:tcPr>
            <w:tcW w:w="2640" w:type="dxa"/>
            <w:vAlign w:val="bottom"/>
            <w:vMerge w:val="restart"/>
          </w:tcPr>
          <w:p>
            <w:pPr>
              <w:ind w:left="460"/>
              <w:spacing w:after="0"/>
              <w:rPr>
                <w:sz w:val="20"/>
                <w:szCs w:val="20"/>
                <w:color w:val="auto"/>
              </w:rPr>
            </w:pPr>
            <w:r>
              <w:rPr>
                <w:rFonts w:ascii="Times New Roman" w:cs="Times New Roman" w:eastAsia="Times New Roman" w:hAnsi="Times New Roman"/>
                <w:sz w:val="10"/>
                <w:szCs w:val="10"/>
                <w:b w:val="1"/>
                <w:bCs w:val="1"/>
                <w:color w:val="auto"/>
              </w:rPr>
              <w:t>Shutterstock caption</w:t>
            </w:r>
          </w:p>
        </w:tc>
        <w:tc>
          <w:tcPr>
            <w:tcW w:w="80" w:type="dxa"/>
            <w:vAlign w:val="bottom"/>
          </w:tcPr>
          <w:p>
            <w:pPr>
              <w:spacing w:after="0"/>
              <w:rPr>
                <w:sz w:val="10"/>
                <w:szCs w:val="10"/>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Envato Historical</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Pre-acquisition</w:t>
            </w:r>
          </w:p>
        </w:tc>
        <w:tc>
          <w:tcPr>
            <w:tcW w:w="280" w:type="dxa"/>
            <w:vAlign w:val="bottom"/>
          </w:tcPr>
          <w:p>
            <w:pPr>
              <w:spacing w:after="0"/>
              <w:rPr>
                <w:sz w:val="10"/>
                <w:szCs w:val="10"/>
                <w:color w:val="auto"/>
              </w:rPr>
            </w:pPr>
          </w:p>
        </w:tc>
        <w:tc>
          <w:tcPr>
            <w:tcW w:w="560" w:type="dxa"/>
            <w:vAlign w:val="bottom"/>
            <w:gridSpan w:val="2"/>
            <w:vMerge w:val="restart"/>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w w:val="91"/>
              </w:rPr>
              <w:t>Ref.</w:t>
            </w:r>
          </w:p>
        </w:tc>
        <w:tc>
          <w:tcPr>
            <w:tcW w:w="1080" w:type="dxa"/>
            <w:vAlign w:val="bottom"/>
            <w:vMerge w:val="restart"/>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Reclassification</w:t>
            </w:r>
          </w:p>
        </w:tc>
        <w:tc>
          <w:tcPr>
            <w:tcW w:w="540" w:type="dxa"/>
            <w:vAlign w:val="bottom"/>
            <w:gridSpan w:val="2"/>
            <w:vMerge w:val="restart"/>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Ref.</w:t>
            </w: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Envato As</w:t>
            </w:r>
          </w:p>
        </w:tc>
        <w:tc>
          <w:tcPr>
            <w:tcW w:w="0" w:type="dxa"/>
            <w:vAlign w:val="bottom"/>
          </w:tcPr>
          <w:p>
            <w:pPr>
              <w:spacing w:after="0"/>
              <w:rPr>
                <w:sz w:val="1"/>
                <w:szCs w:val="1"/>
                <w:color w:val="auto"/>
              </w:rPr>
            </w:pPr>
          </w:p>
        </w:tc>
      </w:tr>
      <w:tr>
        <w:trPr>
          <w:trHeight w:val="130"/>
        </w:trPr>
        <w:tc>
          <w:tcPr>
            <w:tcW w:w="314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(Note 4)</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2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Reclassified</w:t>
            </w:r>
          </w:p>
        </w:tc>
        <w:tc>
          <w:tcPr>
            <w:tcW w:w="0" w:type="dxa"/>
            <w:vAlign w:val="bottom"/>
          </w:tcPr>
          <w:p>
            <w:pPr>
              <w:spacing w:after="0"/>
              <w:rPr>
                <w:sz w:val="1"/>
                <w:szCs w:val="1"/>
                <w:color w:val="auto"/>
              </w:rPr>
            </w:pPr>
          </w:p>
        </w:tc>
      </w:tr>
      <w:tr>
        <w:trPr>
          <w:trHeight w:val="23"/>
        </w:trPr>
        <w:tc>
          <w:tcPr>
            <w:tcW w:w="3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Revenue from ordinary activities</w:t>
            </w: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Revenue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197,809</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197,809</w:t>
            </w:r>
          </w:p>
        </w:tc>
        <w:tc>
          <w:tcPr>
            <w:tcW w:w="0" w:type="dxa"/>
            <w:vAlign w:val="bottom"/>
          </w:tcPr>
          <w:p>
            <w:pPr>
              <w:spacing w:after="0"/>
              <w:rPr>
                <w:sz w:val="1"/>
                <w:szCs w:val="1"/>
                <w:color w:val="auto"/>
              </w:rPr>
            </w:pPr>
          </w:p>
        </w:tc>
      </w:tr>
      <w:tr>
        <w:trPr>
          <w:trHeight w:val="13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Direct cost</w:t>
            </w:r>
          </w:p>
        </w:tc>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55,772</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(55,772)</w:t>
            </w:r>
          </w:p>
        </w:tc>
        <w:tc>
          <w:tcPr>
            <w:tcW w:w="54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w w:val="97"/>
              </w:rPr>
              <w:t>(ii)</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spacing w:after="0"/>
              <w:rPr>
                <w:sz w:val="13"/>
                <w:szCs w:val="13"/>
                <w:color w:val="auto"/>
              </w:rPr>
            </w:pP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Cost of revenue</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50,429</w:t>
            </w:r>
          </w:p>
        </w:tc>
        <w:tc>
          <w:tcPr>
            <w:tcW w:w="54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w w:val="97"/>
              </w:rPr>
              <w:t>(ii)</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50,429</w:t>
            </w:r>
          </w:p>
        </w:tc>
        <w:tc>
          <w:tcPr>
            <w:tcW w:w="0" w:type="dxa"/>
            <w:vAlign w:val="bottom"/>
          </w:tcPr>
          <w:p>
            <w:pPr>
              <w:spacing w:after="0"/>
              <w:rPr>
                <w:sz w:val="1"/>
                <w:szCs w:val="1"/>
                <w:color w:val="auto"/>
              </w:rPr>
            </w:pPr>
          </w:p>
        </w:tc>
      </w:tr>
      <w:tr>
        <w:trPr>
          <w:trHeight w:val="136"/>
        </w:trPr>
        <w:tc>
          <w:tcPr>
            <w:tcW w:w="3140" w:type="dxa"/>
            <w:vAlign w:val="bottom"/>
          </w:tcPr>
          <w:p>
            <w:pPr>
              <w:spacing w:after="0"/>
              <w:rPr>
                <w:sz w:val="11"/>
                <w:szCs w:val="11"/>
                <w:color w:val="auto"/>
              </w:rPr>
            </w:pP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5,343</w:t>
            </w:r>
          </w:p>
        </w:tc>
        <w:tc>
          <w:tcPr>
            <w:tcW w:w="54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w w:val="97"/>
              </w:rPr>
              <w:t>(ii)</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5,343</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Employee cost</w:t>
            </w:r>
          </w:p>
        </w:tc>
        <w:tc>
          <w:tcPr>
            <w:tcW w:w="2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55,032</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(55,032)</w:t>
            </w:r>
          </w:p>
        </w:tc>
        <w:tc>
          <w:tcPr>
            <w:tcW w:w="54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rPr>
              <w:t>(iii)</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140" w:type="dxa"/>
            <w:vAlign w:val="bottom"/>
          </w:tcPr>
          <w:p>
            <w:pPr>
              <w:spacing w:after="0"/>
              <w:rPr>
                <w:sz w:val="11"/>
                <w:szCs w:val="11"/>
                <w:color w:val="auto"/>
              </w:rPr>
            </w:pP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Cost of revenue</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7,573</w:t>
            </w:r>
          </w:p>
        </w:tc>
        <w:tc>
          <w:tcPr>
            <w:tcW w:w="54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rPr>
              <w:t>(iii)</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7,573</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spacing w:after="0"/>
              <w:rPr>
                <w:sz w:val="13"/>
                <w:szCs w:val="13"/>
                <w:color w:val="auto"/>
              </w:rPr>
            </w:pP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Sales and marketing</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8,022</w:t>
            </w:r>
          </w:p>
        </w:tc>
        <w:tc>
          <w:tcPr>
            <w:tcW w:w="54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rPr>
              <w:t>(iii)</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8,022</w:t>
            </w:r>
          </w:p>
        </w:tc>
        <w:tc>
          <w:tcPr>
            <w:tcW w:w="0" w:type="dxa"/>
            <w:vAlign w:val="bottom"/>
          </w:tcPr>
          <w:p>
            <w:pPr>
              <w:spacing w:after="0"/>
              <w:rPr>
                <w:sz w:val="1"/>
                <w:szCs w:val="1"/>
                <w:color w:val="auto"/>
              </w:rPr>
            </w:pPr>
          </w:p>
        </w:tc>
      </w:tr>
      <w:tr>
        <w:trPr>
          <w:trHeight w:val="136"/>
        </w:trPr>
        <w:tc>
          <w:tcPr>
            <w:tcW w:w="3140" w:type="dxa"/>
            <w:vAlign w:val="bottom"/>
          </w:tcPr>
          <w:p>
            <w:pPr>
              <w:spacing w:after="0"/>
              <w:rPr>
                <w:sz w:val="11"/>
                <w:szCs w:val="11"/>
                <w:color w:val="auto"/>
              </w:rPr>
            </w:pP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Product development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23,606</w:t>
            </w:r>
          </w:p>
        </w:tc>
        <w:tc>
          <w:tcPr>
            <w:tcW w:w="54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rPr>
              <w:t>(iii)</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23,606</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spacing w:after="0"/>
              <w:rPr>
                <w:sz w:val="13"/>
                <w:szCs w:val="13"/>
                <w:color w:val="auto"/>
              </w:rPr>
            </w:pP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15,831</w:t>
            </w:r>
          </w:p>
        </w:tc>
        <w:tc>
          <w:tcPr>
            <w:tcW w:w="54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rPr>
              <w:t>(iii)</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15,831</w:t>
            </w:r>
          </w:p>
        </w:tc>
        <w:tc>
          <w:tcPr>
            <w:tcW w:w="0" w:type="dxa"/>
            <w:vAlign w:val="bottom"/>
          </w:tcPr>
          <w:p>
            <w:pPr>
              <w:spacing w:after="0"/>
              <w:rPr>
                <w:sz w:val="1"/>
                <w:szCs w:val="1"/>
                <w:color w:val="auto"/>
              </w:rPr>
            </w:pPr>
          </w:p>
        </w:tc>
      </w:tr>
      <w:tr>
        <w:trPr>
          <w:trHeight w:val="13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Service provider expenses</w:t>
            </w:r>
          </w:p>
        </w:tc>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4,234</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(4,234)</w:t>
            </w:r>
          </w:p>
        </w:tc>
        <w:tc>
          <w:tcPr>
            <w:tcW w:w="54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rPr>
              <w:t>(iv)</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spacing w:after="0"/>
              <w:rPr>
                <w:sz w:val="13"/>
                <w:szCs w:val="13"/>
                <w:color w:val="auto"/>
              </w:rPr>
            </w:pP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Cost of revenue</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2,451</w:t>
            </w:r>
          </w:p>
        </w:tc>
        <w:tc>
          <w:tcPr>
            <w:tcW w:w="54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rPr>
              <w:t>(iv)</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2,451</w:t>
            </w:r>
          </w:p>
        </w:tc>
        <w:tc>
          <w:tcPr>
            <w:tcW w:w="0" w:type="dxa"/>
            <w:vAlign w:val="bottom"/>
          </w:tcPr>
          <w:p>
            <w:pPr>
              <w:spacing w:after="0"/>
              <w:rPr>
                <w:sz w:val="1"/>
                <w:szCs w:val="1"/>
                <w:color w:val="auto"/>
              </w:rPr>
            </w:pPr>
          </w:p>
        </w:tc>
      </w:tr>
      <w:tr>
        <w:trPr>
          <w:trHeight w:val="136"/>
        </w:trPr>
        <w:tc>
          <w:tcPr>
            <w:tcW w:w="3140" w:type="dxa"/>
            <w:vAlign w:val="bottom"/>
          </w:tcPr>
          <w:p>
            <w:pPr>
              <w:spacing w:after="0"/>
              <w:rPr>
                <w:sz w:val="11"/>
                <w:szCs w:val="11"/>
                <w:color w:val="auto"/>
              </w:rPr>
            </w:pP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Sales and marketing</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1,295</w:t>
            </w:r>
          </w:p>
        </w:tc>
        <w:tc>
          <w:tcPr>
            <w:tcW w:w="54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rPr>
              <w:t>(iv)</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1,295</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spacing w:after="0"/>
              <w:rPr>
                <w:sz w:val="13"/>
                <w:szCs w:val="13"/>
                <w:color w:val="auto"/>
              </w:rPr>
            </w:pP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Product development</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w:t>
            </w:r>
          </w:p>
        </w:tc>
        <w:tc>
          <w:tcPr>
            <w:tcW w:w="54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rPr>
              <w:t>(iv)</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488</w:t>
            </w:r>
          </w:p>
        </w:tc>
        <w:tc>
          <w:tcPr>
            <w:tcW w:w="0" w:type="dxa"/>
            <w:vAlign w:val="bottom"/>
          </w:tcPr>
          <w:p>
            <w:pPr>
              <w:spacing w:after="0"/>
              <w:rPr>
                <w:sz w:val="1"/>
                <w:szCs w:val="1"/>
                <w:color w:val="auto"/>
              </w:rPr>
            </w:pPr>
          </w:p>
        </w:tc>
      </w:tr>
      <w:tr>
        <w:trPr>
          <w:trHeight w:val="13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Depreciation, amortization and impairment</w:t>
            </w:r>
          </w:p>
        </w:tc>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3,633</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(3,633)</w:t>
            </w:r>
          </w:p>
        </w:tc>
        <w:tc>
          <w:tcPr>
            <w:tcW w:w="54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rPr>
              <w:t>(v)</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spacing w:after="0"/>
              <w:rPr>
                <w:sz w:val="13"/>
                <w:szCs w:val="13"/>
                <w:color w:val="auto"/>
              </w:rPr>
            </w:pP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Cost of revenue</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3,507</w:t>
            </w:r>
          </w:p>
        </w:tc>
        <w:tc>
          <w:tcPr>
            <w:tcW w:w="54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rPr>
              <w:t>(v)</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3,507</w:t>
            </w:r>
          </w:p>
        </w:tc>
        <w:tc>
          <w:tcPr>
            <w:tcW w:w="0" w:type="dxa"/>
            <w:vAlign w:val="bottom"/>
          </w:tcPr>
          <w:p>
            <w:pPr>
              <w:spacing w:after="0"/>
              <w:rPr>
                <w:sz w:val="1"/>
                <w:szCs w:val="1"/>
                <w:color w:val="auto"/>
              </w:rPr>
            </w:pPr>
          </w:p>
        </w:tc>
      </w:tr>
      <w:tr>
        <w:trPr>
          <w:trHeight w:val="136"/>
        </w:trPr>
        <w:tc>
          <w:tcPr>
            <w:tcW w:w="3140" w:type="dxa"/>
            <w:vAlign w:val="bottom"/>
          </w:tcPr>
          <w:p>
            <w:pPr>
              <w:spacing w:after="0"/>
              <w:rPr>
                <w:sz w:val="11"/>
                <w:szCs w:val="11"/>
                <w:color w:val="auto"/>
              </w:rPr>
            </w:pP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w:t>
            </w:r>
          </w:p>
        </w:tc>
        <w:tc>
          <w:tcPr>
            <w:tcW w:w="54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rPr>
              <w:t>(v)</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126</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Data and software expenses</w:t>
            </w:r>
          </w:p>
        </w:tc>
        <w:tc>
          <w:tcPr>
            <w:tcW w:w="2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13,345</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(13,345)</w:t>
            </w:r>
          </w:p>
        </w:tc>
        <w:tc>
          <w:tcPr>
            <w:tcW w:w="54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rPr>
              <w:t>(vi)</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140" w:type="dxa"/>
            <w:vAlign w:val="bottom"/>
          </w:tcPr>
          <w:p>
            <w:pPr>
              <w:spacing w:after="0"/>
              <w:rPr>
                <w:sz w:val="11"/>
                <w:szCs w:val="11"/>
                <w:color w:val="auto"/>
              </w:rPr>
            </w:pP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Cost of revenue</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8,824</w:t>
            </w:r>
          </w:p>
        </w:tc>
        <w:tc>
          <w:tcPr>
            <w:tcW w:w="54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rPr>
              <w:t>(vi)</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8,824</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spacing w:after="0"/>
              <w:rPr>
                <w:sz w:val="13"/>
                <w:szCs w:val="13"/>
                <w:color w:val="auto"/>
              </w:rPr>
            </w:pP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Sales and marketing</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524</w:t>
            </w:r>
          </w:p>
        </w:tc>
        <w:tc>
          <w:tcPr>
            <w:tcW w:w="54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rPr>
              <w:t>(vi)</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524</w:t>
            </w:r>
          </w:p>
        </w:tc>
        <w:tc>
          <w:tcPr>
            <w:tcW w:w="0" w:type="dxa"/>
            <w:vAlign w:val="bottom"/>
          </w:tcPr>
          <w:p>
            <w:pPr>
              <w:spacing w:after="0"/>
              <w:rPr>
                <w:sz w:val="1"/>
                <w:szCs w:val="1"/>
                <w:color w:val="auto"/>
              </w:rPr>
            </w:pPr>
          </w:p>
        </w:tc>
      </w:tr>
      <w:tr>
        <w:trPr>
          <w:trHeight w:val="136"/>
        </w:trPr>
        <w:tc>
          <w:tcPr>
            <w:tcW w:w="3140" w:type="dxa"/>
            <w:vAlign w:val="bottom"/>
          </w:tcPr>
          <w:p>
            <w:pPr>
              <w:spacing w:after="0"/>
              <w:rPr>
                <w:sz w:val="11"/>
                <w:szCs w:val="11"/>
                <w:color w:val="auto"/>
              </w:rPr>
            </w:pP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Product development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1,456</w:t>
            </w:r>
          </w:p>
        </w:tc>
        <w:tc>
          <w:tcPr>
            <w:tcW w:w="54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rPr>
              <w:t>(vi)</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1,456</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spacing w:after="0"/>
              <w:rPr>
                <w:sz w:val="13"/>
                <w:szCs w:val="13"/>
                <w:color w:val="auto"/>
              </w:rPr>
            </w:pP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2,541</w:t>
            </w:r>
          </w:p>
        </w:tc>
        <w:tc>
          <w:tcPr>
            <w:tcW w:w="54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rPr>
              <w:t>(vi)</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2,541</w:t>
            </w:r>
          </w:p>
        </w:tc>
        <w:tc>
          <w:tcPr>
            <w:tcW w:w="0" w:type="dxa"/>
            <w:vAlign w:val="bottom"/>
          </w:tcPr>
          <w:p>
            <w:pPr>
              <w:spacing w:after="0"/>
              <w:rPr>
                <w:sz w:val="1"/>
                <w:szCs w:val="1"/>
                <w:color w:val="auto"/>
              </w:rPr>
            </w:pPr>
          </w:p>
        </w:tc>
      </w:tr>
      <w:tr>
        <w:trPr>
          <w:trHeight w:val="13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Marketing expenses</w:t>
            </w: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Sales and marketing</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24,004</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24,004</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Travel expenses</w:t>
            </w: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555</w:t>
            </w:r>
          </w:p>
        </w:tc>
        <w:tc>
          <w:tcPr>
            <w:tcW w:w="0" w:type="dxa"/>
            <w:vAlign w:val="bottom"/>
          </w:tcPr>
          <w:p>
            <w:pPr>
              <w:spacing w:after="0"/>
              <w:rPr>
                <w:sz w:val="1"/>
                <w:szCs w:val="1"/>
                <w:color w:val="auto"/>
              </w:rPr>
            </w:pPr>
          </w:p>
        </w:tc>
      </w:tr>
      <w:tr>
        <w:trPr>
          <w:trHeight w:val="13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Rental expenses</w:t>
            </w: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Professional fees</w:t>
            </w: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4,634</w:t>
            </w:r>
          </w:p>
        </w:tc>
        <w:tc>
          <w:tcPr>
            <w:tcW w:w="0" w:type="dxa"/>
            <w:vAlign w:val="bottom"/>
          </w:tcPr>
          <w:p>
            <w:pPr>
              <w:spacing w:after="0"/>
              <w:rPr>
                <w:sz w:val="1"/>
                <w:szCs w:val="1"/>
                <w:color w:val="auto"/>
              </w:rPr>
            </w:pPr>
          </w:p>
        </w:tc>
      </w:tr>
      <w:tr>
        <w:trPr>
          <w:trHeight w:val="13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Foreign exchange loss / (income)</w:t>
            </w: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Other income, net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expenses</w:t>
            </w: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1,413</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1,413</w:t>
            </w:r>
          </w:p>
        </w:tc>
        <w:tc>
          <w:tcPr>
            <w:tcW w:w="0" w:type="dxa"/>
            <w:vAlign w:val="bottom"/>
          </w:tcPr>
          <w:p>
            <w:pPr>
              <w:spacing w:after="0"/>
              <w:rPr>
                <w:sz w:val="1"/>
                <w:szCs w:val="1"/>
                <w:color w:val="auto"/>
              </w:rPr>
            </w:pPr>
          </w:p>
        </w:tc>
      </w:tr>
      <w:tr>
        <w:trPr>
          <w:trHeight w:val="127"/>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Operating profit</w:t>
            </w: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Income before income taxes</w:t>
            </w: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35,277</w:t>
            </w: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35,277</w:t>
            </w:r>
          </w:p>
        </w:tc>
        <w:tc>
          <w:tcPr>
            <w:tcW w:w="0" w:type="dxa"/>
            <w:vAlign w:val="bottom"/>
          </w:tcPr>
          <w:p>
            <w:pPr>
              <w:spacing w:after="0"/>
              <w:rPr>
                <w:sz w:val="1"/>
                <w:szCs w:val="1"/>
                <w:color w:val="auto"/>
              </w:rPr>
            </w:pPr>
          </w:p>
        </w:tc>
      </w:tr>
      <w:tr>
        <w:trPr>
          <w:trHeight w:val="34"/>
        </w:trPr>
        <w:tc>
          <w:tcPr>
            <w:tcW w:w="31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Finance income</w:t>
            </w: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Other income, net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1,749</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1,749</w:t>
            </w:r>
          </w:p>
        </w:tc>
        <w:tc>
          <w:tcPr>
            <w:tcW w:w="0" w:type="dxa"/>
            <w:vAlign w:val="bottom"/>
          </w:tcPr>
          <w:p>
            <w:pPr>
              <w:spacing w:after="0"/>
              <w:rPr>
                <w:sz w:val="1"/>
                <w:szCs w:val="1"/>
                <w:color w:val="auto"/>
              </w:rPr>
            </w:pPr>
          </w:p>
        </w:tc>
      </w:tr>
      <w:tr>
        <w:trPr>
          <w:trHeight w:val="13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Finance costs</w:t>
            </w: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Other income, net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(4,644)</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(4,644)</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 of losses of associates accounted for using the equity method</w:t>
            </w:r>
          </w:p>
        </w:tc>
        <w:tc>
          <w:tcPr>
            <w:tcW w:w="2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(2,046)</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88"/>
              </w:rPr>
              <w:t>2,046</w:t>
            </w:r>
          </w:p>
        </w:tc>
        <w:tc>
          <w:tcPr>
            <w:tcW w:w="560" w:type="dxa"/>
            <w:vAlign w:val="bottom"/>
            <w:tcBorders>
              <w:bottom w:val="single" w:sz="8" w:color="CCEEFF"/>
            </w:tcBorders>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0"/>
                <w:szCs w:val="10"/>
                <w:color w:val="auto"/>
              </w:rPr>
              <w:t>(i)</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Profit before income tax</w:t>
            </w: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Income before income taxes</w:t>
            </w: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30,336</w:t>
            </w: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88"/>
              </w:rPr>
              <w:t>2,046</w:t>
            </w:r>
          </w:p>
        </w:tc>
        <w:tc>
          <w:tcPr>
            <w:tcW w:w="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32,382</w:t>
            </w:r>
          </w:p>
        </w:tc>
        <w:tc>
          <w:tcPr>
            <w:tcW w:w="0" w:type="dxa"/>
            <w:vAlign w:val="bottom"/>
          </w:tcPr>
          <w:p>
            <w:pPr>
              <w:spacing w:after="0"/>
              <w:rPr>
                <w:sz w:val="1"/>
                <w:szCs w:val="1"/>
                <w:color w:val="auto"/>
              </w:rPr>
            </w:pPr>
          </w:p>
        </w:tc>
      </w:tr>
      <w:tr>
        <w:trPr>
          <w:trHeight w:val="34"/>
        </w:trPr>
        <w:tc>
          <w:tcPr>
            <w:tcW w:w="31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Income tax expense</w:t>
            </w:r>
          </w:p>
        </w:tc>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Provision for income taxes</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9,524</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9,524</w:t>
            </w:r>
          </w:p>
        </w:tc>
        <w:tc>
          <w:tcPr>
            <w:tcW w:w="0" w:type="dxa"/>
            <w:vAlign w:val="bottom"/>
          </w:tcPr>
          <w:p>
            <w:pPr>
              <w:spacing w:after="0"/>
              <w:rPr>
                <w:sz w:val="1"/>
                <w:szCs w:val="1"/>
                <w:color w:val="auto"/>
              </w:rPr>
            </w:pPr>
          </w:p>
        </w:tc>
      </w:tr>
      <w:tr>
        <w:trPr>
          <w:trHeight w:val="154"/>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Profit for the period</w:t>
            </w:r>
          </w:p>
        </w:tc>
        <w:tc>
          <w:tcPr>
            <w:tcW w:w="264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20,812</w:t>
            </w:r>
          </w:p>
        </w:tc>
        <w:tc>
          <w:tcPr>
            <w:tcW w:w="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88"/>
              </w:rPr>
              <w:t>2,046</w:t>
            </w:r>
          </w:p>
        </w:tc>
        <w:tc>
          <w:tcPr>
            <w:tcW w:w="3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22,858</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500" w:hanging="240"/>
        <w:spacing w:after="0"/>
        <w:tabs>
          <w:tab w:leader="none" w:pos="50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Adjustment reflecting the change in the fair value of equity method investment that was disposed of prior to Shutterstock's acquisition of Envato.</w:t>
      </w:r>
    </w:p>
    <w:p>
      <w:pPr>
        <w:spacing w:after="0" w:line="22"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"Direct cost" on Envato's statement of profit or loss into "Cost of revenue" and "General and administrative" to conform to the Company's statement of operations presentation.</w:t>
      </w:r>
    </w:p>
    <w:p>
      <w:pPr>
        <w:spacing w:after="0" w:line="20" w:lineRule="exact"/>
        <w:rPr>
          <w:rFonts w:ascii="Times New Roman" w:cs="Times New Roman" w:eastAsia="Times New Roman" w:hAnsi="Times New Roman"/>
          <w:sz w:val="11"/>
          <w:szCs w:val="11"/>
          <w:color w:val="auto"/>
        </w:rPr>
      </w:pPr>
    </w:p>
    <w:p>
      <w:pPr>
        <w:ind w:left="520" w:hanging="260"/>
        <w:spacing w:after="0" w:line="263" w:lineRule="auto"/>
        <w:tabs>
          <w:tab w:leader="none" w:pos="5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"Employee cost" on Envato's statement of profit or loss into "Cost of revenue", "Sales and marketing", "Product development" and "General and administrative" to conform to the Company's statement of operations presentation.</w:t>
      </w:r>
    </w:p>
    <w:p>
      <w:pPr>
        <w:ind w:left="520" w:right="360" w:hanging="260"/>
        <w:spacing w:after="0" w:line="271" w:lineRule="auto"/>
        <w:tabs>
          <w:tab w:leader="none" w:pos="513"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"Service provider expenses" on Envato's statement of profit or loss into "Cost of revenue", "Sales and marketing" and "Product development" to conform to the Company's statement of operations presentation.</w:t>
      </w:r>
    </w:p>
    <w:p>
      <w:pPr>
        <w:ind w:left="520" w:right="400" w:hanging="260"/>
        <w:spacing w:after="0" w:line="270" w:lineRule="auto"/>
        <w:tabs>
          <w:tab w:leader="none" w:pos="514"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"Depreciation, amortization and impairment" on Envato's statement of profit or loss into "Cost of revenue" and "General and administrative" to conform to the Company's statement of operations presentation.</w:t>
      </w:r>
    </w:p>
    <w:p>
      <w:pPr>
        <w:ind w:left="520" w:hanging="260"/>
        <w:spacing w:after="0" w:line="303" w:lineRule="auto"/>
        <w:tabs>
          <w:tab w:leader="none" w:pos="513"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"Data and software expenses" on Envato's statement of profit or loss into "Cost of revenue", "Sales and marketing", "Product development" and "General and administrative" to conform to the Company's statement of operations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1220"/>
          </w:cols>
          <w:pgMar w:left="300" w:top="1131" w:right="3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30"/>
        </w:trPr>
        <w:tc>
          <w:tcPr>
            <w:tcW w:w="29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4"/>
          </w:tcPr>
          <w:p>
            <w:pPr>
              <w:jc w:val="right"/>
              <w:ind w:right="631"/>
              <w:spacing w:after="0"/>
              <w:rPr>
                <w:sz w:val="20"/>
                <w:szCs w:val="20"/>
                <w:color w:val="auto"/>
              </w:rPr>
            </w:pPr>
            <w:r>
              <w:rPr>
                <w:rFonts w:ascii="Times New Roman" w:cs="Times New Roman" w:eastAsia="Times New Roman" w:hAnsi="Times New Roman"/>
                <w:sz w:val="10"/>
                <w:szCs w:val="10"/>
                <w:b w:val="1"/>
                <w:bCs w:val="1"/>
                <w:color w:val="auto"/>
              </w:rPr>
              <w:t>Three Months Ended March 31, 2024</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3"/>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Envato caption</w:t>
            </w:r>
          </w:p>
        </w:tc>
        <w:tc>
          <w:tcPr>
            <w:tcW w:w="24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b w:val="1"/>
                <w:bCs w:val="1"/>
                <w:color w:val="auto"/>
              </w:rPr>
              <w:t>Shutterstock caption</w:t>
            </w:r>
          </w:p>
        </w:tc>
        <w:tc>
          <w:tcPr>
            <w:tcW w:w="10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Envato Historical (*)</w:t>
            </w:r>
          </w:p>
        </w:tc>
        <w:tc>
          <w:tcPr>
            <w:tcW w:w="80" w:type="dxa"/>
            <w:vAlign w:val="bottom"/>
          </w:tcPr>
          <w:p>
            <w:pPr>
              <w:spacing w:after="0"/>
              <w:rPr>
                <w:sz w:val="10"/>
                <w:szCs w:val="10"/>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Pre-acquisition adjustments</w:t>
            </w:r>
          </w:p>
        </w:tc>
        <w:tc>
          <w:tcPr>
            <w:tcW w:w="620" w:type="dxa"/>
            <w:vAlign w:val="bottom"/>
            <w:gridSpan w:val="2"/>
            <w:vMerge w:val="restart"/>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Ref.</w:t>
            </w:r>
          </w:p>
        </w:tc>
        <w:tc>
          <w:tcPr>
            <w:tcW w:w="1060" w:type="dxa"/>
            <w:vAlign w:val="bottom"/>
            <w:vMerge w:val="restart"/>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Reclassification</w:t>
            </w:r>
          </w:p>
        </w:tc>
        <w:tc>
          <w:tcPr>
            <w:tcW w:w="520" w:type="dxa"/>
            <w:vAlign w:val="bottom"/>
            <w:gridSpan w:val="2"/>
            <w:vMerge w:val="restart"/>
          </w:tcPr>
          <w:p>
            <w:pPr>
              <w:jc w:val="center"/>
              <w:ind w:right="111"/>
              <w:spacing w:after="0"/>
              <w:rPr>
                <w:sz w:val="20"/>
                <w:szCs w:val="20"/>
                <w:color w:val="auto"/>
              </w:rPr>
            </w:pPr>
            <w:r>
              <w:rPr>
                <w:rFonts w:ascii="Times New Roman" w:cs="Times New Roman" w:eastAsia="Times New Roman" w:hAnsi="Times New Roman"/>
                <w:sz w:val="10"/>
                <w:szCs w:val="10"/>
                <w:b w:val="1"/>
                <w:bCs w:val="1"/>
                <w:color w:val="auto"/>
                <w:w w:val="91"/>
              </w:rPr>
              <w:t>Ref.</w:t>
            </w: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Envato As</w:t>
            </w:r>
          </w:p>
        </w:tc>
        <w:tc>
          <w:tcPr>
            <w:tcW w:w="0" w:type="dxa"/>
            <w:vAlign w:val="bottom"/>
          </w:tcPr>
          <w:p>
            <w:pPr>
              <w:spacing w:after="0"/>
              <w:rPr>
                <w:sz w:val="1"/>
                <w:szCs w:val="1"/>
                <w:color w:val="auto"/>
              </w:rPr>
            </w:pPr>
          </w:p>
        </w:tc>
      </w:tr>
      <w:tr>
        <w:trPr>
          <w:trHeight w:val="130"/>
        </w:trPr>
        <w:tc>
          <w:tcPr>
            <w:tcW w:w="2980" w:type="dxa"/>
            <w:vAlign w:val="bottom"/>
            <w:vMerge w:val="continue"/>
          </w:tcPr>
          <w:p>
            <w:pPr>
              <w:spacing w:after="0"/>
              <w:rPr>
                <w:sz w:val="11"/>
                <w:szCs w:val="11"/>
                <w:color w:val="auto"/>
              </w:rPr>
            </w:pPr>
          </w:p>
        </w:tc>
        <w:tc>
          <w:tcPr>
            <w:tcW w:w="2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Reclassified</w:t>
            </w:r>
          </w:p>
        </w:tc>
        <w:tc>
          <w:tcPr>
            <w:tcW w:w="0" w:type="dxa"/>
            <w:vAlign w:val="bottom"/>
          </w:tcPr>
          <w:p>
            <w:pPr>
              <w:spacing w:after="0"/>
              <w:rPr>
                <w:sz w:val="1"/>
                <w:szCs w:val="1"/>
                <w:color w:val="auto"/>
              </w:rPr>
            </w:pPr>
          </w:p>
        </w:tc>
      </w:tr>
      <w:tr>
        <w:trPr>
          <w:trHeight w:val="23"/>
        </w:trPr>
        <w:tc>
          <w:tcPr>
            <w:tcW w:w="29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Revenue from ordinary activities</w:t>
            </w: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49,698</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620" w:type="dxa"/>
            <w:vAlign w:val="bottom"/>
            <w:tcBorders>
              <w:bottom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49,698</w:t>
            </w:r>
          </w:p>
        </w:tc>
        <w:tc>
          <w:tcPr>
            <w:tcW w:w="0" w:type="dxa"/>
            <w:vAlign w:val="bottom"/>
          </w:tcPr>
          <w:p>
            <w:pPr>
              <w:spacing w:after="0"/>
              <w:rPr>
                <w:sz w:val="1"/>
                <w:szCs w:val="1"/>
                <w:color w:val="auto"/>
              </w:rPr>
            </w:pPr>
          </w:p>
        </w:tc>
      </w:tr>
      <w:tr>
        <w:trPr>
          <w:trHeight w:val="13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Direct cost</w:t>
            </w: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13,309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(13,309)</w:t>
            </w:r>
          </w:p>
        </w:tc>
        <w:tc>
          <w:tcPr>
            <w:tcW w:w="520" w:type="dxa"/>
            <w:vAlign w:val="bottom"/>
            <w:gridSpan w:val="2"/>
          </w:tcPr>
          <w:p>
            <w:pPr>
              <w:jc w:val="center"/>
              <w:ind w:right="111"/>
              <w:spacing w:after="0"/>
              <w:rPr>
                <w:sz w:val="20"/>
                <w:szCs w:val="20"/>
                <w:color w:val="auto"/>
              </w:rPr>
            </w:pPr>
            <w:r>
              <w:rPr>
                <w:rFonts w:ascii="Times New Roman" w:cs="Times New Roman" w:eastAsia="Times New Roman" w:hAnsi="Times New Roman"/>
                <w:sz w:val="10"/>
                <w:szCs w:val="10"/>
                <w:color w:val="auto"/>
                <w:w w:val="97"/>
              </w:rPr>
              <w:t>(ii)</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Cost of revenue</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12,711</w:t>
            </w:r>
          </w:p>
        </w:tc>
        <w:tc>
          <w:tcPr>
            <w:tcW w:w="520" w:type="dxa"/>
            <w:vAlign w:val="bottom"/>
            <w:tcBorders>
              <w:bottom w:val="single" w:sz="8" w:color="CCEEFF"/>
            </w:tcBorders>
            <w:gridSpan w:val="2"/>
            <w:shd w:val="clear" w:color="auto" w:fill="CCEEFF"/>
          </w:tcPr>
          <w:p>
            <w:pPr>
              <w:jc w:val="center"/>
              <w:ind w:right="111"/>
              <w:spacing w:after="0"/>
              <w:rPr>
                <w:sz w:val="20"/>
                <w:szCs w:val="20"/>
                <w:color w:val="auto"/>
              </w:rPr>
            </w:pPr>
            <w:r>
              <w:rPr>
                <w:rFonts w:ascii="Times New Roman" w:cs="Times New Roman" w:eastAsia="Times New Roman" w:hAnsi="Times New Roman"/>
                <w:sz w:val="10"/>
                <w:szCs w:val="10"/>
                <w:color w:val="auto"/>
                <w:w w:val="97"/>
              </w:rPr>
              <w:t>(ii)</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12,711</w:t>
            </w: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598</w:t>
            </w:r>
          </w:p>
        </w:tc>
        <w:tc>
          <w:tcPr>
            <w:tcW w:w="520" w:type="dxa"/>
            <w:vAlign w:val="bottom"/>
            <w:gridSpan w:val="2"/>
          </w:tcPr>
          <w:p>
            <w:pPr>
              <w:jc w:val="center"/>
              <w:ind w:right="111"/>
              <w:spacing w:after="0"/>
              <w:rPr>
                <w:sz w:val="20"/>
                <w:szCs w:val="20"/>
                <w:color w:val="auto"/>
              </w:rPr>
            </w:pPr>
            <w:r>
              <w:rPr>
                <w:rFonts w:ascii="Times New Roman" w:cs="Times New Roman" w:eastAsia="Times New Roman" w:hAnsi="Times New Roman"/>
                <w:sz w:val="10"/>
                <w:szCs w:val="10"/>
                <w:color w:val="auto"/>
                <w:w w:val="97"/>
              </w:rPr>
              <w:t>(ii)</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Employee cost</w:t>
            </w:r>
          </w:p>
        </w:tc>
        <w:tc>
          <w:tcPr>
            <w:tcW w:w="2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12,737</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(12,737)</w:t>
            </w:r>
          </w:p>
        </w:tc>
        <w:tc>
          <w:tcPr>
            <w:tcW w:w="520" w:type="dxa"/>
            <w:vAlign w:val="bottom"/>
            <w:tcBorders>
              <w:bottom w:val="single" w:sz="8" w:color="CCEEFF"/>
            </w:tcBorders>
            <w:gridSpan w:val="2"/>
            <w:shd w:val="clear" w:color="auto" w:fill="CCEEFF"/>
          </w:tcPr>
          <w:p>
            <w:pPr>
              <w:jc w:val="center"/>
              <w:ind w:right="111"/>
              <w:spacing w:after="0"/>
              <w:rPr>
                <w:sz w:val="20"/>
                <w:szCs w:val="20"/>
                <w:color w:val="auto"/>
              </w:rPr>
            </w:pPr>
            <w:r>
              <w:rPr>
                <w:rFonts w:ascii="Times New Roman" w:cs="Times New Roman" w:eastAsia="Times New Roman" w:hAnsi="Times New Roman"/>
                <w:sz w:val="10"/>
                <w:szCs w:val="10"/>
                <w:color w:val="auto"/>
              </w:rPr>
              <w:t>(iii)</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Cost of revenue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1,753</w:t>
            </w:r>
          </w:p>
        </w:tc>
        <w:tc>
          <w:tcPr>
            <w:tcW w:w="520" w:type="dxa"/>
            <w:vAlign w:val="bottom"/>
            <w:gridSpan w:val="2"/>
          </w:tcPr>
          <w:p>
            <w:pPr>
              <w:jc w:val="center"/>
              <w:ind w:right="111"/>
              <w:spacing w:after="0"/>
              <w:rPr>
                <w:sz w:val="20"/>
                <w:szCs w:val="20"/>
                <w:color w:val="auto"/>
              </w:rPr>
            </w:pPr>
            <w:r>
              <w:rPr>
                <w:rFonts w:ascii="Times New Roman" w:cs="Times New Roman" w:eastAsia="Times New Roman" w:hAnsi="Times New Roman"/>
                <w:sz w:val="10"/>
                <w:szCs w:val="10"/>
                <w:color w:val="auto"/>
              </w:rPr>
              <w:t>(iii)</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1,753</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Sales and marketing</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1,857</w:t>
            </w:r>
          </w:p>
        </w:tc>
        <w:tc>
          <w:tcPr>
            <w:tcW w:w="520" w:type="dxa"/>
            <w:vAlign w:val="bottom"/>
            <w:tcBorders>
              <w:bottom w:val="single" w:sz="8" w:color="CCEEFF"/>
            </w:tcBorders>
            <w:gridSpan w:val="2"/>
            <w:shd w:val="clear" w:color="auto" w:fill="CCEEFF"/>
          </w:tcPr>
          <w:p>
            <w:pPr>
              <w:jc w:val="center"/>
              <w:ind w:right="111"/>
              <w:spacing w:after="0"/>
              <w:rPr>
                <w:sz w:val="20"/>
                <w:szCs w:val="20"/>
                <w:color w:val="auto"/>
              </w:rPr>
            </w:pPr>
            <w:r>
              <w:rPr>
                <w:rFonts w:ascii="Times New Roman" w:cs="Times New Roman" w:eastAsia="Times New Roman" w:hAnsi="Times New Roman"/>
                <w:sz w:val="10"/>
                <w:szCs w:val="10"/>
                <w:color w:val="auto"/>
              </w:rPr>
              <w:t>(iii)</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1,857</w:t>
            </w: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Product development</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5,462</w:t>
            </w:r>
          </w:p>
        </w:tc>
        <w:tc>
          <w:tcPr>
            <w:tcW w:w="520" w:type="dxa"/>
            <w:vAlign w:val="bottom"/>
            <w:gridSpan w:val="2"/>
          </w:tcPr>
          <w:p>
            <w:pPr>
              <w:jc w:val="center"/>
              <w:ind w:right="111"/>
              <w:spacing w:after="0"/>
              <w:rPr>
                <w:sz w:val="20"/>
                <w:szCs w:val="20"/>
                <w:color w:val="auto"/>
              </w:rPr>
            </w:pPr>
            <w:r>
              <w:rPr>
                <w:rFonts w:ascii="Times New Roman" w:cs="Times New Roman" w:eastAsia="Times New Roman" w:hAnsi="Times New Roman"/>
                <w:sz w:val="10"/>
                <w:szCs w:val="10"/>
                <w:color w:val="auto"/>
              </w:rPr>
              <w:t>(iii)</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5,462</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3,665</w:t>
            </w:r>
          </w:p>
        </w:tc>
        <w:tc>
          <w:tcPr>
            <w:tcW w:w="520" w:type="dxa"/>
            <w:vAlign w:val="bottom"/>
            <w:tcBorders>
              <w:bottom w:val="single" w:sz="8" w:color="CCEEFF"/>
            </w:tcBorders>
            <w:gridSpan w:val="2"/>
            <w:shd w:val="clear" w:color="auto" w:fill="CCEEFF"/>
          </w:tcPr>
          <w:p>
            <w:pPr>
              <w:jc w:val="center"/>
              <w:ind w:right="111"/>
              <w:spacing w:after="0"/>
              <w:rPr>
                <w:sz w:val="20"/>
                <w:szCs w:val="20"/>
                <w:color w:val="auto"/>
              </w:rPr>
            </w:pPr>
            <w:r>
              <w:rPr>
                <w:rFonts w:ascii="Times New Roman" w:cs="Times New Roman" w:eastAsia="Times New Roman" w:hAnsi="Times New Roman"/>
                <w:sz w:val="10"/>
                <w:szCs w:val="10"/>
                <w:color w:val="auto"/>
              </w:rPr>
              <w:t>(iii)</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3,665</w:t>
            </w:r>
          </w:p>
        </w:tc>
        <w:tc>
          <w:tcPr>
            <w:tcW w:w="0" w:type="dxa"/>
            <w:vAlign w:val="bottom"/>
          </w:tcPr>
          <w:p>
            <w:pPr>
              <w:spacing w:after="0"/>
              <w:rPr>
                <w:sz w:val="1"/>
                <w:szCs w:val="1"/>
                <w:color w:val="auto"/>
              </w:rPr>
            </w:pPr>
          </w:p>
        </w:tc>
      </w:tr>
      <w:tr>
        <w:trPr>
          <w:trHeight w:val="13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Service provider expenses</w:t>
            </w: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737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(737)</w:t>
            </w:r>
          </w:p>
        </w:tc>
        <w:tc>
          <w:tcPr>
            <w:tcW w:w="52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w w:val="96"/>
              </w:rPr>
              <w:t>(iv)</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Cost of revenue</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428</w:t>
            </w:r>
          </w:p>
        </w:tc>
        <w:tc>
          <w:tcPr>
            <w:tcW w:w="52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w w:val="96"/>
              </w:rPr>
              <w:t>(iv)</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428</w:t>
            </w: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Sales and marketing</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225</w:t>
            </w:r>
          </w:p>
        </w:tc>
        <w:tc>
          <w:tcPr>
            <w:tcW w:w="52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w w:val="96"/>
              </w:rPr>
              <w:t>(iv)</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Product development</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84</w:t>
            </w:r>
          </w:p>
        </w:tc>
        <w:tc>
          <w:tcPr>
            <w:tcW w:w="52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w w:val="96"/>
              </w:rPr>
              <w:t>(iv)</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0" w:type="dxa"/>
            <w:vAlign w:val="bottom"/>
          </w:tcPr>
          <w:p>
            <w:pPr>
              <w:spacing w:after="0"/>
              <w:rPr>
                <w:sz w:val="1"/>
                <w:szCs w:val="1"/>
                <w:color w:val="auto"/>
              </w:rPr>
            </w:pPr>
          </w:p>
        </w:tc>
      </w:tr>
      <w:tr>
        <w:trPr>
          <w:trHeight w:val="13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Depreciation, amortization and impairment</w:t>
            </w: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948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(948)</w:t>
            </w:r>
          </w:p>
        </w:tc>
        <w:tc>
          <w:tcPr>
            <w:tcW w:w="520" w:type="dxa"/>
            <w:vAlign w:val="bottom"/>
            <w:gridSpan w:val="2"/>
          </w:tcPr>
          <w:p>
            <w:pPr>
              <w:jc w:val="center"/>
              <w:ind w:right="111"/>
              <w:spacing w:after="0"/>
              <w:rPr>
                <w:sz w:val="20"/>
                <w:szCs w:val="20"/>
                <w:color w:val="auto"/>
              </w:rPr>
            </w:pPr>
            <w:r>
              <w:rPr>
                <w:rFonts w:ascii="Times New Roman" w:cs="Times New Roman" w:eastAsia="Times New Roman" w:hAnsi="Times New Roman"/>
                <w:sz w:val="10"/>
                <w:szCs w:val="10"/>
                <w:color w:val="auto"/>
              </w:rPr>
              <w:t>(v)</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Cost of revenue</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931</w:t>
            </w:r>
          </w:p>
        </w:tc>
        <w:tc>
          <w:tcPr>
            <w:tcW w:w="520" w:type="dxa"/>
            <w:vAlign w:val="bottom"/>
            <w:tcBorders>
              <w:bottom w:val="single" w:sz="8" w:color="CCEEFF"/>
            </w:tcBorders>
            <w:gridSpan w:val="2"/>
            <w:shd w:val="clear" w:color="auto" w:fill="CCEEFF"/>
          </w:tcPr>
          <w:p>
            <w:pPr>
              <w:jc w:val="center"/>
              <w:ind w:right="111"/>
              <w:spacing w:after="0"/>
              <w:rPr>
                <w:sz w:val="20"/>
                <w:szCs w:val="20"/>
                <w:color w:val="auto"/>
              </w:rPr>
            </w:pPr>
            <w:r>
              <w:rPr>
                <w:rFonts w:ascii="Times New Roman" w:cs="Times New Roman" w:eastAsia="Times New Roman" w:hAnsi="Times New Roman"/>
                <w:sz w:val="10"/>
                <w:szCs w:val="10"/>
                <w:color w:val="auto"/>
              </w:rPr>
              <w:t>(v)</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931</w:t>
            </w: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17</w:t>
            </w:r>
          </w:p>
        </w:tc>
        <w:tc>
          <w:tcPr>
            <w:tcW w:w="520" w:type="dxa"/>
            <w:vAlign w:val="bottom"/>
            <w:gridSpan w:val="2"/>
          </w:tcPr>
          <w:p>
            <w:pPr>
              <w:jc w:val="center"/>
              <w:ind w:right="111"/>
              <w:spacing w:after="0"/>
              <w:rPr>
                <w:sz w:val="20"/>
                <w:szCs w:val="20"/>
                <w:color w:val="auto"/>
              </w:rPr>
            </w:pPr>
            <w:r>
              <w:rPr>
                <w:rFonts w:ascii="Times New Roman" w:cs="Times New Roman" w:eastAsia="Times New Roman" w:hAnsi="Times New Roman"/>
                <w:sz w:val="10"/>
                <w:szCs w:val="10"/>
                <w:color w:val="auto"/>
              </w:rPr>
              <w:t>(v)</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Data and software expenses</w:t>
            </w:r>
          </w:p>
        </w:tc>
        <w:tc>
          <w:tcPr>
            <w:tcW w:w="2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3,664</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(3,664)</w:t>
            </w:r>
          </w:p>
        </w:tc>
        <w:tc>
          <w:tcPr>
            <w:tcW w:w="52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w w:val="96"/>
              </w:rPr>
              <w:t>(vi)</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Cost of revenue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2,420</w:t>
            </w:r>
          </w:p>
        </w:tc>
        <w:tc>
          <w:tcPr>
            <w:tcW w:w="52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w w:val="96"/>
              </w:rPr>
              <w:t>(vi)</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2,420</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Sales and marketing</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168</w:t>
            </w:r>
          </w:p>
        </w:tc>
        <w:tc>
          <w:tcPr>
            <w:tcW w:w="52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w w:val="96"/>
              </w:rPr>
              <w:t>(vi)</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Product development</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442</w:t>
            </w:r>
          </w:p>
        </w:tc>
        <w:tc>
          <w:tcPr>
            <w:tcW w:w="520" w:type="dxa"/>
            <w:vAlign w:val="bottom"/>
            <w:gridSpan w:val="2"/>
          </w:tcPr>
          <w:p>
            <w:pPr>
              <w:jc w:val="center"/>
              <w:ind w:right="91"/>
              <w:spacing w:after="0"/>
              <w:rPr>
                <w:sz w:val="20"/>
                <w:szCs w:val="20"/>
                <w:color w:val="auto"/>
              </w:rPr>
            </w:pPr>
            <w:r>
              <w:rPr>
                <w:rFonts w:ascii="Times New Roman" w:cs="Times New Roman" w:eastAsia="Times New Roman" w:hAnsi="Times New Roman"/>
                <w:sz w:val="10"/>
                <w:szCs w:val="10"/>
                <w:color w:val="auto"/>
                <w:w w:val="96"/>
              </w:rPr>
              <w:t>(vi)</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442</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634</w:t>
            </w:r>
          </w:p>
        </w:tc>
        <w:tc>
          <w:tcPr>
            <w:tcW w:w="520" w:type="dxa"/>
            <w:vAlign w:val="bottom"/>
            <w:tcBorders>
              <w:bottom w:val="single" w:sz="8" w:color="CCEEFF"/>
            </w:tcBorders>
            <w:gridSpan w:val="2"/>
            <w:shd w:val="clear" w:color="auto" w:fill="CCEEFF"/>
          </w:tcPr>
          <w:p>
            <w:pPr>
              <w:jc w:val="center"/>
              <w:ind w:right="91"/>
              <w:spacing w:after="0"/>
              <w:rPr>
                <w:sz w:val="20"/>
                <w:szCs w:val="20"/>
                <w:color w:val="auto"/>
              </w:rPr>
            </w:pPr>
            <w:r>
              <w:rPr>
                <w:rFonts w:ascii="Times New Roman" w:cs="Times New Roman" w:eastAsia="Times New Roman" w:hAnsi="Times New Roman"/>
                <w:sz w:val="10"/>
                <w:szCs w:val="10"/>
                <w:color w:val="auto"/>
                <w:w w:val="96"/>
              </w:rPr>
              <w:t>(vi)</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634</w:t>
            </w:r>
          </w:p>
        </w:tc>
        <w:tc>
          <w:tcPr>
            <w:tcW w:w="0" w:type="dxa"/>
            <w:vAlign w:val="bottom"/>
          </w:tcPr>
          <w:p>
            <w:pPr>
              <w:spacing w:after="0"/>
              <w:rPr>
                <w:sz w:val="1"/>
                <w:szCs w:val="1"/>
                <w:color w:val="auto"/>
              </w:rPr>
            </w:pPr>
          </w:p>
        </w:tc>
      </w:tr>
      <w:tr>
        <w:trPr>
          <w:trHeight w:val="13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Marketing expenses</w:t>
            </w: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Sales and marketing</w:t>
            </w:r>
          </w:p>
        </w:tc>
        <w:tc>
          <w:tcPr>
            <w:tcW w:w="100" w:type="dxa"/>
            <w:vAlign w:val="bottom"/>
          </w:tcPr>
          <w:p>
            <w:pPr>
              <w:spacing w:after="0"/>
              <w:rPr>
                <w:sz w:val="11"/>
                <w:szCs w:val="1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5,710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5,710</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Travel expenses</w:t>
            </w: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149</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3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Rental expenses</w:t>
            </w: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1"/>
                <w:szCs w:val="1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Professional fees</w:t>
            </w: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2,086</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2,086</w:t>
            </w:r>
          </w:p>
        </w:tc>
        <w:tc>
          <w:tcPr>
            <w:tcW w:w="0" w:type="dxa"/>
            <w:vAlign w:val="bottom"/>
          </w:tcPr>
          <w:p>
            <w:pPr>
              <w:spacing w:after="0"/>
              <w:rPr>
                <w:sz w:val="1"/>
                <w:szCs w:val="1"/>
                <w:color w:val="auto"/>
              </w:rPr>
            </w:pPr>
          </w:p>
        </w:tc>
      </w:tr>
      <w:tr>
        <w:trPr>
          <w:trHeight w:val="13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Foreign exchange loss / (income)</w:t>
            </w: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Other income, net</w:t>
            </w:r>
          </w:p>
        </w:tc>
        <w:tc>
          <w:tcPr>
            <w:tcW w:w="100" w:type="dxa"/>
            <w:vAlign w:val="bottom"/>
          </w:tcPr>
          <w:p>
            <w:pPr>
              <w:spacing w:after="0"/>
              <w:rPr>
                <w:sz w:val="11"/>
                <w:szCs w:val="1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1,450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expenses</w:t>
            </w: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269</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w:t>
            </w:r>
          </w:p>
        </w:tc>
        <w:tc>
          <w:tcPr>
            <w:tcW w:w="0" w:type="dxa"/>
            <w:vAlign w:val="bottom"/>
          </w:tcPr>
          <w:p>
            <w:pPr>
              <w:spacing w:after="0"/>
              <w:rPr>
                <w:sz w:val="1"/>
                <w:szCs w:val="1"/>
                <w:color w:val="auto"/>
              </w:rPr>
            </w:pPr>
          </w:p>
        </w:tc>
      </w:tr>
      <w:tr>
        <w:trPr>
          <w:trHeight w:val="127"/>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Operating profit</w:t>
            </w: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Income before income taxes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8,615</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8,615</w:t>
            </w:r>
          </w:p>
        </w:tc>
        <w:tc>
          <w:tcPr>
            <w:tcW w:w="0" w:type="dxa"/>
            <w:vAlign w:val="bottom"/>
          </w:tcPr>
          <w:p>
            <w:pPr>
              <w:spacing w:after="0"/>
              <w:rPr>
                <w:sz w:val="1"/>
                <w:szCs w:val="1"/>
                <w:color w:val="auto"/>
              </w:rPr>
            </w:pPr>
          </w:p>
        </w:tc>
      </w:tr>
      <w:tr>
        <w:trPr>
          <w:trHeight w:val="34"/>
        </w:trPr>
        <w:tc>
          <w:tcPr>
            <w:tcW w:w="29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Finance income</w:t>
            </w: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Other income, net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1,195</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1,195</w:t>
            </w:r>
          </w:p>
        </w:tc>
        <w:tc>
          <w:tcPr>
            <w:tcW w:w="0" w:type="dxa"/>
            <w:vAlign w:val="bottom"/>
          </w:tcPr>
          <w:p>
            <w:pPr>
              <w:spacing w:after="0"/>
              <w:rPr>
                <w:sz w:val="1"/>
                <w:szCs w:val="1"/>
                <w:color w:val="auto"/>
              </w:rPr>
            </w:pPr>
          </w:p>
        </w:tc>
      </w:tr>
      <w:tr>
        <w:trPr>
          <w:trHeight w:val="13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Finance costs</w:t>
            </w: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Other income, net</w:t>
            </w: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(375)</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 of losses of associates accounted for using the equity method</w:t>
            </w:r>
          </w:p>
        </w:tc>
        <w:tc>
          <w:tcPr>
            <w:tcW w:w="2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29</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center"/>
              <w:ind w:left="1011"/>
              <w:spacing w:after="0"/>
              <w:rPr>
                <w:sz w:val="20"/>
                <w:szCs w:val="20"/>
                <w:color w:val="auto"/>
              </w:rPr>
            </w:pPr>
            <w:r>
              <w:rPr>
                <w:rFonts w:ascii="Times New Roman" w:cs="Times New Roman" w:eastAsia="Times New Roman" w:hAnsi="Times New Roman"/>
                <w:sz w:val="10"/>
                <w:szCs w:val="10"/>
                <w:color w:val="auto"/>
                <w:w w:val="95"/>
              </w:rPr>
              <w:t>(29)</w:t>
            </w:r>
          </w:p>
        </w:tc>
        <w:tc>
          <w:tcPr>
            <w:tcW w:w="620" w:type="dxa"/>
            <w:vAlign w:val="bottom"/>
            <w:tcBorders>
              <w:bottom w:val="single" w:sz="8" w:color="CCEEFF"/>
            </w:tcBorders>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0"/>
                <w:szCs w:val="10"/>
                <w:color w:val="auto"/>
              </w:rPr>
              <w:t>(i)</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Profit before income tax</w:t>
            </w: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Income before income taxes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9,464</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left="1011"/>
              <w:spacing w:after="0"/>
              <w:rPr>
                <w:sz w:val="20"/>
                <w:szCs w:val="20"/>
                <w:color w:val="auto"/>
              </w:rPr>
            </w:pPr>
            <w:r>
              <w:rPr>
                <w:rFonts w:ascii="Times New Roman" w:cs="Times New Roman" w:eastAsia="Times New Roman" w:hAnsi="Times New Roman"/>
                <w:sz w:val="10"/>
                <w:szCs w:val="10"/>
                <w:color w:val="auto"/>
                <w:w w:val="95"/>
              </w:rPr>
              <w:t>(29)</w:t>
            </w:r>
          </w:p>
        </w:tc>
        <w:tc>
          <w:tcPr>
            <w:tcW w:w="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9,435</w:t>
            </w:r>
          </w:p>
        </w:tc>
        <w:tc>
          <w:tcPr>
            <w:tcW w:w="0" w:type="dxa"/>
            <w:vAlign w:val="bottom"/>
          </w:tcPr>
          <w:p>
            <w:pPr>
              <w:spacing w:after="0"/>
              <w:rPr>
                <w:sz w:val="1"/>
                <w:szCs w:val="1"/>
                <w:color w:val="auto"/>
              </w:rPr>
            </w:pPr>
          </w:p>
        </w:tc>
      </w:tr>
      <w:tr>
        <w:trPr>
          <w:trHeight w:val="34"/>
        </w:trPr>
        <w:tc>
          <w:tcPr>
            <w:tcW w:w="29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Income tax expense</w:t>
            </w:r>
          </w:p>
        </w:tc>
        <w:tc>
          <w:tcPr>
            <w:tcW w:w="2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Provision for income taxes</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1,679</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center"/>
              <w:ind w:left="1031"/>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1,679</w:t>
            </w:r>
          </w:p>
        </w:tc>
        <w:tc>
          <w:tcPr>
            <w:tcW w:w="0" w:type="dxa"/>
            <w:vAlign w:val="bottom"/>
          </w:tcPr>
          <w:p>
            <w:pPr>
              <w:spacing w:after="0"/>
              <w:rPr>
                <w:sz w:val="1"/>
                <w:szCs w:val="1"/>
                <w:color w:val="auto"/>
              </w:rPr>
            </w:pPr>
          </w:p>
        </w:tc>
      </w:tr>
      <w:tr>
        <w:trPr>
          <w:trHeight w:val="15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Profit for the period</w:t>
            </w:r>
          </w:p>
        </w:tc>
        <w:tc>
          <w:tcPr>
            <w:tcW w:w="24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7,785</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top w:val="single" w:sz="8" w:color="auto"/>
              <w:bottom w:val="single" w:sz="8" w:color="auto"/>
            </w:tcBorders>
          </w:tcPr>
          <w:p>
            <w:pPr>
              <w:jc w:val="center"/>
              <w:ind w:left="1011"/>
              <w:spacing w:after="0"/>
              <w:rPr>
                <w:sz w:val="20"/>
                <w:szCs w:val="20"/>
                <w:color w:val="auto"/>
              </w:rPr>
            </w:pPr>
            <w:r>
              <w:rPr>
                <w:rFonts w:ascii="Times New Roman" w:cs="Times New Roman" w:eastAsia="Times New Roman" w:hAnsi="Times New Roman"/>
                <w:sz w:val="10"/>
                <w:szCs w:val="10"/>
                <w:color w:val="auto"/>
                <w:w w:val="95"/>
              </w:rPr>
              <w:t>(29)</w:t>
            </w:r>
          </w:p>
        </w:tc>
        <w:tc>
          <w:tcPr>
            <w:tcW w:w="3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7,756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Envato's statement of profit or loss for the three months ended March 31, 2024 derived from the books and records of Envato.</w:t>
      </w:r>
    </w:p>
    <w:p>
      <w:pPr>
        <w:spacing w:after="0" w:line="202"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1"/>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Adjustment reflecting the change in the fair value of equity method investment that was disposed of prior to Shutterstock's acquisition of Envato.</w:t>
      </w:r>
    </w:p>
    <w:p>
      <w:pPr>
        <w:spacing w:after="0" w:line="22"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1"/>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"Direct cost" on Envato's statement of profit or loss into "Cost of revenue" and "General and administrative" to conform to the Company's statement of operations presentation.</w:t>
      </w:r>
    </w:p>
    <w:p>
      <w:pPr>
        <w:spacing w:after="0" w:line="20" w:lineRule="exact"/>
        <w:rPr>
          <w:rFonts w:ascii="Times New Roman" w:cs="Times New Roman" w:eastAsia="Times New Roman" w:hAnsi="Times New Roman"/>
          <w:sz w:val="11"/>
          <w:szCs w:val="11"/>
          <w:color w:val="auto"/>
        </w:rPr>
      </w:pPr>
    </w:p>
    <w:p>
      <w:pPr>
        <w:ind w:left="520" w:hanging="260"/>
        <w:spacing w:after="0" w:line="271" w:lineRule="auto"/>
        <w:tabs>
          <w:tab w:leader="none" w:pos="520" w:val="left"/>
        </w:tabs>
        <w:numPr>
          <w:ilvl w:val="1"/>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"Employee cost" on Envato's statement of profit or loss into "Cost of revenue", "Sales and marketing", "Product development" and "General and administrative" to conform to the Company's statement of operations presentation.</w:t>
      </w:r>
    </w:p>
    <w:p>
      <w:pPr>
        <w:ind w:left="520" w:right="360" w:hanging="260"/>
        <w:spacing w:after="0" w:line="263" w:lineRule="auto"/>
        <w:tabs>
          <w:tab w:leader="none" w:pos="513" w:val="left"/>
        </w:tabs>
        <w:numPr>
          <w:ilvl w:val="1"/>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"Service provider expenses" on Envato's statement of profit or loss into "Cost of revenue", "Sales and marketing" and "Product development" to conform to the Company's statement of operations presentation.</w:t>
      </w:r>
    </w:p>
    <w:p>
      <w:pPr>
        <w:ind w:left="520" w:right="400" w:hanging="260"/>
        <w:spacing w:after="0" w:line="271" w:lineRule="auto"/>
        <w:tabs>
          <w:tab w:leader="none" w:pos="514" w:val="left"/>
        </w:tabs>
        <w:numPr>
          <w:ilvl w:val="1"/>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"Depreciation, amortization and impairment" on Envato's statement of profit or loss into "Cost of revenue" and "General and administrative" to conform to the Company's statement of operations presentation.</w:t>
      </w:r>
    </w:p>
    <w:p>
      <w:pPr>
        <w:ind w:left="520" w:hanging="260"/>
        <w:spacing w:after="0" w:line="300" w:lineRule="auto"/>
        <w:tabs>
          <w:tab w:leader="none" w:pos="513" w:val="left"/>
        </w:tabs>
        <w:numPr>
          <w:ilvl w:val="1"/>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"Data and software expenses" on Envato's statement of profit or loss into "Cost of revenue", "Sales and marketing", "Product development" and "General and administrative" to conform to the Company's statement of operations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1220"/>
          </w:cols>
          <w:pgMar w:left="300" w:top="1185" w:right="3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40" w:type="dxa"/>
            <w:vAlign w:val="bottom"/>
            <w:gridSpan w:val="3"/>
          </w:tcPr>
          <w:p>
            <w:pPr>
              <w:jc w:val="right"/>
              <w:ind w:right="770"/>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90"/>
        </w:trPr>
        <w:tc>
          <w:tcPr>
            <w:tcW w:w="2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50"/>
        </w:trPr>
        <w:tc>
          <w:tcPr>
            <w:tcW w:w="26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Pre-acquisition</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Envato As</w:t>
            </w:r>
          </w:p>
        </w:tc>
      </w:tr>
      <w:tr>
        <w:trPr>
          <w:trHeight w:val="169"/>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Envato caption</w:t>
            </w:r>
          </w:p>
        </w:tc>
        <w:tc>
          <w:tcPr>
            <w:tcW w:w="2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Shutterstock caption</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Envato Historical (*)</w:t>
            </w:r>
          </w:p>
        </w:tc>
        <w:tc>
          <w:tcPr>
            <w:tcW w:w="160" w:type="dxa"/>
            <w:vAlign w:val="bottom"/>
          </w:tcPr>
          <w:p>
            <w:pPr>
              <w:spacing w:after="0"/>
              <w:rPr>
                <w:sz w:val="14"/>
                <w:szCs w:val="14"/>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Ref.</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Ref.</w:t>
            </w:r>
          </w:p>
        </w:tc>
        <w:tc>
          <w:tcPr>
            <w:tcW w:w="140" w:type="dxa"/>
            <w:vAlign w:val="bottom"/>
          </w:tcPr>
          <w:p>
            <w:pPr>
              <w:spacing w:after="0"/>
              <w:rPr>
                <w:sz w:val="14"/>
                <w:szCs w:val="14"/>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Reclassified</w:t>
            </w:r>
          </w:p>
        </w:tc>
      </w:tr>
      <w:tr>
        <w:trPr>
          <w:trHeight w:val="150"/>
        </w:trPr>
        <w:tc>
          <w:tcPr>
            <w:tcW w:w="2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2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420" w:type="dxa"/>
            <w:vAlign w:val="bottom"/>
            <w:tcBorders>
              <w:top w:val="single" w:sz="8" w:color="auto"/>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420" w:type="dxa"/>
            <w:vAlign w:val="bottom"/>
          </w:tcPr>
          <w:p>
            <w:pPr>
              <w:jc w:val="right"/>
              <w:ind w:right="307"/>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101,291</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101,291</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Trade and other receivables</w:t>
            </w: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Accounts receivable, net</w:t>
            </w: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6,991</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(3,507)</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(ii)</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3,484</w:t>
            </w:r>
          </w:p>
        </w:tc>
      </w:tr>
      <w:tr>
        <w:trPr>
          <w:trHeight w:val="136"/>
        </w:trPr>
        <w:tc>
          <w:tcPr>
            <w:tcW w:w="2660" w:type="dxa"/>
            <w:vAlign w:val="bottom"/>
          </w:tcPr>
          <w:p>
            <w:pPr>
              <w:spacing w:after="0"/>
              <w:rPr>
                <w:sz w:val="11"/>
                <w:szCs w:val="11"/>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4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3,507</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(ii)</w:t>
            </w: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3,507</w:t>
            </w:r>
          </w:p>
        </w:tc>
      </w:tr>
      <w:tr>
        <w:trPr>
          <w:trHeight w:val="34"/>
        </w:trPr>
        <w:tc>
          <w:tcPr>
            <w:tcW w:w="266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4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108,282</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108,282</w:t>
            </w:r>
          </w:p>
        </w:tc>
      </w:tr>
      <w:tr>
        <w:trPr>
          <w:trHeight w:val="85"/>
        </w:trPr>
        <w:tc>
          <w:tcPr>
            <w:tcW w:w="26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5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Property, plant and equipment</w:t>
            </w: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1,070</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1,070</w:t>
            </w: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Intangibles</w:t>
            </w: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Intangibles, net</w:t>
            </w: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8,368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8,368</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tax asset</w:t>
            </w: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tax assets, net</w:t>
            </w: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11,686</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11,686</w:t>
            </w: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Right of use assets</w:t>
            </w: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Right-of-use asset</w:t>
            </w: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451</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 current prepayments</w:t>
            </w:r>
          </w:p>
        </w:tc>
        <w:tc>
          <w:tcPr>
            <w:tcW w:w="2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1,336</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1,336</w:t>
            </w: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8"/>
              </w:rPr>
              <w:t>Financial assets at fair value through other comprehensive income</w:t>
            </w:r>
          </w:p>
        </w:tc>
        <w:tc>
          <w:tcPr>
            <w:tcW w:w="2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0"/>
                <w:szCs w:val="10"/>
                <w:color w:val="auto"/>
                <w:w w:val="95"/>
              </w:rPr>
              <w:t>(1,832)</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(i)</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Investments accounted for using the equity method</w:t>
            </w:r>
          </w:p>
        </w:tc>
        <w:tc>
          <w:tcPr>
            <w:tcW w:w="26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4,151</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w w:val="95"/>
              </w:rPr>
              <w:t>(4,151)</w:t>
            </w:r>
          </w:p>
        </w:tc>
        <w:tc>
          <w:tcPr>
            <w:tcW w:w="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(i)</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4"/>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4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137,176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0"/>
                <w:szCs w:val="10"/>
                <w:color w:val="auto"/>
                <w:w w:val="95"/>
              </w:rPr>
              <w:t>(5,983)</w:t>
            </w:r>
          </w:p>
        </w:tc>
        <w:tc>
          <w:tcPr>
            <w:tcW w:w="4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131,193</w:t>
            </w: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4"/>
        </w:trPr>
        <w:tc>
          <w:tcPr>
            <w:tcW w:w="26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Trade and other payables</w:t>
            </w: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Accounts Payable</w:t>
            </w: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(25,784)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(iii)</w:t>
            </w: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2,439</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0"/>
        </w:trPr>
        <w:tc>
          <w:tcPr>
            <w:tcW w:w="2660" w:type="dxa"/>
            <w:vAlign w:val="bottom"/>
            <w:tcBorders>
              <w:bottom w:val="single" w:sz="8" w:color="CCEEFF"/>
            </w:tcBorders>
            <w:shd w:val="clear" w:color="auto" w:fill="CCEEFF"/>
          </w:tcPr>
          <w:p>
            <w:pPr>
              <w:spacing w:after="0"/>
              <w:rPr>
                <w:sz w:val="13"/>
                <w:szCs w:val="1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Accrued expenses</w:t>
            </w:r>
          </w:p>
        </w:tc>
        <w:tc>
          <w:tcPr>
            <w:tcW w:w="4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10,126</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(iii)</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10,126</w:t>
            </w:r>
          </w:p>
        </w:tc>
      </w:tr>
      <w:tr>
        <w:trPr>
          <w:trHeight w:val="136"/>
        </w:trPr>
        <w:tc>
          <w:tcPr>
            <w:tcW w:w="2660" w:type="dxa"/>
            <w:vAlign w:val="bottom"/>
          </w:tcPr>
          <w:p>
            <w:pPr>
              <w:spacing w:after="0"/>
              <w:rPr>
                <w:sz w:val="11"/>
                <w:szCs w:val="11"/>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Contributor royalties payable</w:t>
            </w:r>
          </w:p>
        </w:tc>
        <w:tc>
          <w:tcPr>
            <w:tcW w:w="4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15,269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(iii)</w:t>
            </w: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15,269</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Lease liabilities</w:t>
            </w:r>
          </w:p>
        </w:tc>
        <w:tc>
          <w:tcPr>
            <w:tcW w:w="2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(iv)</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Provisions</w:t>
            </w:r>
          </w:p>
        </w:tc>
        <w:tc>
          <w:tcPr>
            <w:tcW w:w="2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28,824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(28,824)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(iv)</w:t>
            </w: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Current tax payable</w:t>
            </w:r>
          </w:p>
        </w:tc>
        <w:tc>
          <w:tcPr>
            <w:tcW w:w="2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5,917</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(5,917)</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(iv)</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Deferred revenue</w:t>
            </w: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Deferred revenue</w:t>
            </w: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47,338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47,338</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tax liability</w:t>
            </w: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tax liability</w:t>
            </w:r>
          </w:p>
        </w:tc>
        <w:tc>
          <w:tcPr>
            <w:tcW w:w="4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2660" w:type="dxa"/>
            <w:vAlign w:val="bottom"/>
          </w:tcPr>
          <w:p>
            <w:pPr>
              <w:spacing w:after="0"/>
              <w:rPr>
                <w:sz w:val="11"/>
                <w:szCs w:val="11"/>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current liabilities</w:t>
            </w:r>
          </w:p>
        </w:tc>
        <w:tc>
          <w:tcPr>
            <w:tcW w:w="4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35,534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(iii), (iv)</w:t>
            </w: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35,534</w:t>
            </w:r>
          </w:p>
        </w:tc>
      </w:tr>
      <w:tr>
        <w:trPr>
          <w:trHeight w:val="34"/>
        </w:trPr>
        <w:tc>
          <w:tcPr>
            <w:tcW w:w="266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4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110,706</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110,706</w:t>
            </w: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Provisions</w:t>
            </w:r>
          </w:p>
        </w:tc>
        <w:tc>
          <w:tcPr>
            <w:tcW w:w="2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(v)</w:t>
            </w: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0"/>
        </w:trPr>
        <w:tc>
          <w:tcPr>
            <w:tcW w:w="266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non-current liabilities</w:t>
            </w:r>
          </w:p>
        </w:tc>
        <w:tc>
          <w:tcPr>
            <w:tcW w:w="4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870</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(v)</w:t>
            </w: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870</w:t>
            </w:r>
          </w:p>
        </w:tc>
      </w:tr>
      <w:tr>
        <w:trPr>
          <w:trHeight w:val="127"/>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4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111,576</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111,576</w:t>
            </w:r>
          </w:p>
        </w:tc>
      </w:tr>
      <w:tr>
        <w:trPr>
          <w:trHeight w:val="34"/>
        </w:trPr>
        <w:tc>
          <w:tcPr>
            <w:tcW w:w="266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97"/>
        </w:trPr>
        <w:tc>
          <w:tcPr>
            <w:tcW w:w="2660" w:type="dxa"/>
            <w:vAlign w:val="bottom"/>
            <w:shd w:val="clear" w:color="auto" w:fill="CCEEFF"/>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Issued Capital</w:t>
            </w: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Common Stock</w:t>
            </w: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(vi)</w:t>
            </w: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0"/>
        </w:trPr>
        <w:tc>
          <w:tcPr>
            <w:tcW w:w="2660" w:type="dxa"/>
            <w:vAlign w:val="bottom"/>
            <w:tcBorders>
              <w:bottom w:val="single" w:sz="8" w:color="CCEEFF"/>
            </w:tcBorders>
            <w:shd w:val="clear" w:color="auto" w:fill="CCEEFF"/>
          </w:tcPr>
          <w:p>
            <w:pPr>
              <w:spacing w:after="0"/>
              <w:rPr>
                <w:sz w:val="13"/>
                <w:szCs w:val="1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4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(vi)</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reserves</w:t>
            </w:r>
          </w:p>
        </w:tc>
        <w:tc>
          <w:tcPr>
            <w:tcW w:w="2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0"/>
                <w:szCs w:val="10"/>
                <w:color w:val="auto"/>
                <w:w w:val="95"/>
              </w:rPr>
              <w:t>(1,820)</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(i)</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2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0"/>
        </w:trPr>
        <w:tc>
          <w:tcPr>
            <w:tcW w:w="2660" w:type="dxa"/>
            <w:vAlign w:val="bottom"/>
            <w:tcBorders>
              <w:bottom w:val="single" w:sz="8" w:color="CCEEFF"/>
            </w:tcBorders>
            <w:shd w:val="clear" w:color="auto" w:fill="CCEEFF"/>
          </w:tcPr>
          <w:p>
            <w:pPr>
              <w:spacing w:after="0"/>
              <w:rPr>
                <w:sz w:val="13"/>
                <w:szCs w:val="1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4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Retained earnings</w:t>
            </w: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Retained earnings</w:t>
            </w: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23,766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0"/>
                <w:szCs w:val="10"/>
                <w:color w:val="auto"/>
                <w:w w:val="95"/>
              </w:rPr>
              <w:t>(4,163)</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(i)</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19,603</w:t>
            </w:r>
          </w:p>
        </w:tc>
      </w:tr>
      <w:tr>
        <w:trPr>
          <w:trHeight w:val="34"/>
        </w:trPr>
        <w:tc>
          <w:tcPr>
            <w:tcW w:w="266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stockholders equity</w:t>
            </w:r>
          </w:p>
        </w:tc>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stockholders equity</w:t>
            </w: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25,600</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w w:val="95"/>
              </w:rPr>
              <w:t>(5,983)</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19,617</w:t>
            </w:r>
          </w:p>
        </w:tc>
      </w:tr>
      <w:tr>
        <w:trPr>
          <w:trHeight w:val="154"/>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 and stockholders equity</w:t>
            </w:r>
          </w:p>
        </w:tc>
        <w:tc>
          <w:tcPr>
            <w:tcW w:w="26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 and stockholders equity</w:t>
            </w:r>
          </w:p>
        </w:tc>
        <w:tc>
          <w:tcPr>
            <w:tcW w:w="4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137,176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0"/>
                <w:szCs w:val="10"/>
                <w:color w:val="auto"/>
                <w:w w:val="95"/>
              </w:rPr>
              <w:t>(5,983)</w:t>
            </w:r>
          </w:p>
        </w:tc>
        <w:tc>
          <w:tcPr>
            <w:tcW w:w="4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131,193</w:t>
            </w:r>
          </w:p>
        </w:tc>
      </w:tr>
      <w:tr>
        <w:trPr>
          <w:trHeight w:val="20"/>
        </w:trPr>
        <w:tc>
          <w:tcPr>
            <w:tcW w:w="26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160" w:hanging="155"/>
        <w:spacing w:after="0"/>
        <w:tabs>
          <w:tab w:leader="none" w:pos="1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Envato's statement of financial position as of March 31, 2024 derived from the books and records of Envato.</w:t>
      </w:r>
    </w:p>
    <w:p>
      <w:pPr>
        <w:spacing w:after="0" w:line="21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1"/>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Adjustment reflecting the fair value of equity method investments and financial assets that were disposed of prior to Shutterstock's acquisition of Envato.</w:t>
      </w:r>
    </w:p>
    <w:p>
      <w:pPr>
        <w:spacing w:after="0" w:line="20"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1"/>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"Trade and other receivables" on Envato's statement of financial position into "Prepaid and other current assets" to conform to the Company's balance sheet presentation.</w:t>
      </w:r>
    </w:p>
    <w:p>
      <w:pPr>
        <w:spacing w:after="0" w:line="11" w:lineRule="exact"/>
        <w:rPr>
          <w:rFonts w:ascii="Times New Roman" w:cs="Times New Roman" w:eastAsia="Times New Roman" w:hAnsi="Times New Roman"/>
          <w:sz w:val="11"/>
          <w:szCs w:val="11"/>
          <w:color w:val="auto"/>
        </w:rPr>
      </w:pPr>
    </w:p>
    <w:p>
      <w:pPr>
        <w:ind w:left="520" w:right="120" w:hanging="260"/>
        <w:spacing w:after="0" w:line="271" w:lineRule="auto"/>
        <w:tabs>
          <w:tab w:leader="none" w:pos="520" w:val="left"/>
        </w:tabs>
        <w:numPr>
          <w:ilvl w:val="1"/>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"Trade and other payables" on Envato's statement of financial position into "Accrued expenses", "Contributor royalties payable" and "Other current liabilities", respectively to conform to the Company's balance sheet presentation.</w:t>
      </w:r>
    </w:p>
    <w:p>
      <w:pPr>
        <w:ind w:left="500" w:hanging="240"/>
        <w:spacing w:after="0"/>
        <w:tabs>
          <w:tab w:leader="none" w:pos="500" w:val="left"/>
        </w:tabs>
        <w:numPr>
          <w:ilvl w:val="1"/>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"Lease liabilities", "Provisions" and "Current tax payable" on Envato's statement of financial position into "Other current liabilities" to conform to the Company's balance sheet presentation.</w:t>
      </w:r>
    </w:p>
    <w:p>
      <w:pPr>
        <w:spacing w:after="0" w:line="1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1"/>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non current "Provisions" on Envato's statement of financial position into "Other non-current liabilities" to conform to the Company's balance sheet presentation.</w:t>
      </w:r>
    </w:p>
    <w:p>
      <w:pPr>
        <w:spacing w:after="0" w:line="20" w:lineRule="exact"/>
        <w:rPr>
          <w:rFonts w:ascii="Times New Roman" w:cs="Times New Roman" w:eastAsia="Times New Roman" w:hAnsi="Times New Roman"/>
          <w:sz w:val="11"/>
          <w:szCs w:val="11"/>
          <w:color w:val="auto"/>
        </w:rPr>
      </w:pPr>
    </w:p>
    <w:p>
      <w:pPr>
        <w:ind w:left="540" w:hanging="280"/>
        <w:spacing w:after="0"/>
        <w:tabs>
          <w:tab w:leader="none" w:pos="54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Represents the reclassification of "Issued Capital" on Envato's statement of financial position into "Additional paid-in capital" to conform to the Company's balance sheet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1280"/>
          </w:cols>
          <w:pgMar w:left="300" w:top="1192"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Note 6 – Envato Acquisition Pro Forma Adjustments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pro forma adjustments result from the Envato Acquisition.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 Forma Condensed Combined Balance Sheet adjustments as of March 31, 2024:</w:t>
      </w:r>
    </w:p>
    <w:p>
      <w:pPr>
        <w:spacing w:after="0" w:line="308" w:lineRule="exact"/>
        <w:rPr>
          <w:sz w:val="20"/>
          <w:szCs w:val="20"/>
          <w:color w:val="auto"/>
        </w:rPr>
      </w:pPr>
    </w:p>
    <w:p>
      <w:pPr>
        <w:ind w:left="520" w:right="20" w:hanging="260"/>
        <w:spacing w:after="0" w:line="270" w:lineRule="auto"/>
        <w:tabs>
          <w:tab w:leader="none" w:pos="51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borrowed $280 million under the A&amp;R Credit Agreement, consisting of $125 million from the Term Loan and $155 million from the Revolver of which $30 million was used to repay the extinguished unsecured revolving loan facility. The Term Loan has a term of 5 years and is classified as non-current. The debt issue cost of $2.4 million related to the borrowings is recorded as $0.5 million in Prepaid expenses and other current assets and $1.9 million in Other assets. These amounts are amortized over the repayment term of the borrowings.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86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As of March 31, 2024</w:t>
            </w:r>
          </w:p>
        </w:tc>
      </w:tr>
      <w:tr>
        <w:trPr>
          <w:trHeight w:val="26"/>
        </w:trPr>
        <w:tc>
          <w:tcPr>
            <w:tcW w:w="94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2"/>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 Loan Credit Facility</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125,000</w:t>
            </w:r>
          </w:p>
        </w:tc>
      </w:tr>
      <w:tr>
        <w:trPr>
          <w:trHeight w:val="176"/>
        </w:trPr>
        <w:tc>
          <w:tcPr>
            <w:tcW w:w="9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loan facility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155,000</w:t>
            </w:r>
          </w:p>
        </w:tc>
      </w:tr>
      <w:tr>
        <w:trPr>
          <w:trHeight w:val="26"/>
        </w:trPr>
        <w:tc>
          <w:tcPr>
            <w:tcW w:w="9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82"/>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financing cost and payment of accrued interest related the extinguished loan facility</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(2,481)</w:t>
            </w:r>
          </w:p>
        </w:tc>
      </w:tr>
      <w:tr>
        <w:trPr>
          <w:trHeight w:val="176"/>
        </w:trPr>
        <w:tc>
          <w:tcPr>
            <w:tcW w:w="9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Paydown of the extinguished unsecured revolving loan facility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r>
      <w:tr>
        <w:trPr>
          <w:trHeight w:val="26"/>
        </w:trPr>
        <w:tc>
          <w:tcPr>
            <w:tcW w:w="9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76"/>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247,519</w:t>
            </w:r>
          </w:p>
        </w:tc>
      </w:tr>
      <w:tr>
        <w:trPr>
          <w:trHeight w:val="26"/>
        </w:trPr>
        <w:tc>
          <w:tcPr>
            <w:tcW w:w="9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acquisition consideration of $250 million transferred on the date of acquisition.</w:t>
      </w:r>
    </w:p>
    <w:p>
      <w:pPr>
        <w:spacing w:after="0" w:line="5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adjustment to record the acquired assets and assumed liabilities at estimated fair value.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86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As of March 31, 2024</w:t>
            </w:r>
          </w:p>
        </w:tc>
      </w:tr>
      <w:tr>
        <w:trPr>
          <w:trHeight w:val="26"/>
        </w:trPr>
        <w:tc>
          <w:tcPr>
            <w:tcW w:w="94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2"/>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asset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r>
      <w:tr>
        <w:trPr>
          <w:trHeight w:val="176"/>
        </w:trPr>
        <w:tc>
          <w:tcPr>
            <w:tcW w:w="9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Intangibles, net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82,032</w:t>
            </w:r>
          </w:p>
        </w:tc>
      </w:tr>
      <w:tr>
        <w:trPr>
          <w:trHeight w:val="26"/>
        </w:trPr>
        <w:tc>
          <w:tcPr>
            <w:tcW w:w="9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76"/>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r>
      <w:tr>
        <w:trPr>
          <w:trHeight w:val="26"/>
        </w:trPr>
        <w:tc>
          <w:tcPr>
            <w:tcW w:w="9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40" w:lineRule="exact"/>
        <w:rPr>
          <w:sz w:val="20"/>
          <w:szCs w:val="20"/>
          <w:color w:val="auto"/>
        </w:rPr>
      </w:pPr>
    </w:p>
    <w:p>
      <w:pPr>
        <w:ind w:left="520" w:right="340" w:hanging="260"/>
        <w:spacing w:after="0" w:line="284" w:lineRule="auto"/>
        <w:tabs>
          <w:tab w:leader="none" w:pos="51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represents the goodwill recorded which is calculated as the fair value of consideration transferred in excess of the preliminary fair value of the assets acquired and liabilities assumed from the Envato Acquisition. Refer to Note 2 for allocation to goodwill.</w:t>
      </w: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$6.6 million of accrued expenses primarily related to the Envato Acquisition transaction costs. This reflects a reduction in retained earnings.</w:t>
      </w:r>
    </w:p>
    <w:p>
      <w:pPr>
        <w:spacing w:after="0" w:line="5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$63.4 million of Envato obligations that were triggered upon the closing of the acquisition. The deferred tax effect of the these obligations is $10.8 million.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Envato’s stockholders' equity, comprised of 10,000 ordinary shares, par value of $1.4 and retained earnings of $19.6 million.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 Forma Condensed Combined Statement of Operations adjustments for the year ended December 31, 2023 and for the three-months ended March 31, 2024:</w:t>
      </w:r>
    </w:p>
    <w:p>
      <w:pPr>
        <w:spacing w:after="0" w:line="74"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color w:val="auto"/>
        </w:rPr>
        <w:t>H.</w:t>
        <w:tab/>
        <w:t>Reversal of depreciation of right-of-use asset recorded on Envato's historical financial statements to reflect the fair value adjustments.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tcPr>
          <w:p>
            <w:pPr>
              <w:spacing w:after="0"/>
              <w:rPr>
                <w:sz w:val="13"/>
                <w:szCs w:val="13"/>
                <w:color w:val="auto"/>
              </w:rPr>
            </w:pPr>
          </w:p>
        </w:tc>
        <w:tc>
          <w:tcPr>
            <w:tcW w:w="1820" w:type="dxa"/>
            <w:vAlign w:val="bottom"/>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720" w:type="dxa"/>
            <w:vAlign w:val="bottom"/>
          </w:tcPr>
          <w:p>
            <w:pPr>
              <w:spacing w:after="0"/>
              <w:rPr>
                <w:sz w:val="13"/>
                <w:szCs w:val="13"/>
                <w:color w:val="auto"/>
              </w:rPr>
            </w:pPr>
          </w:p>
        </w:tc>
        <w:tc>
          <w:tcPr>
            <w:tcW w:w="1960" w:type="dxa"/>
            <w:vAlign w:val="bottom"/>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6"/>
              </w:rPr>
              <w:t>Year ended</w:t>
            </w:r>
          </w:p>
        </w:tc>
      </w:tr>
      <w:tr>
        <w:trPr>
          <w:trHeight w:val="167"/>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820" w:type="dxa"/>
            <w:vAlign w:val="bottom"/>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720" w:type="dxa"/>
            <w:vAlign w:val="bottom"/>
          </w:tcPr>
          <w:p>
            <w:pPr>
              <w:spacing w:after="0"/>
              <w:rPr>
                <w:sz w:val="14"/>
                <w:szCs w:val="14"/>
                <w:color w:val="auto"/>
              </w:rPr>
            </w:pPr>
          </w:p>
        </w:tc>
        <w:tc>
          <w:tcPr>
            <w:tcW w:w="1960" w:type="dxa"/>
            <w:vAlign w:val="bottom"/>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r>
      <w:tr>
        <w:trPr>
          <w:trHeight w:val="26"/>
        </w:trPr>
        <w:tc>
          <w:tcPr>
            <w:tcW w:w="67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6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18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(178)</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w:t>
            </w:r>
          </w:p>
        </w:tc>
      </w:tr>
      <w:tr>
        <w:trPr>
          <w:trHeight w:val="26"/>
        </w:trPr>
        <w:tc>
          <w:tcPr>
            <w:tcW w:w="67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1280"/>
          </w:cols>
          <w:pgMar w:left="300" w:top="1131" w:right="319" w:bottom="1440" w:gutter="0" w:footer="0" w:header="0"/>
        </w:sectPr>
      </w:pPr>
    </w:p>
    <w:bookmarkStart w:id="61" w:name="page62"/>
    <w:bookmarkEnd w:id="61"/>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intangible assets recorded in connection with purchase accounting adjustments.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216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2024</w:t>
            </w:r>
          </w:p>
        </w:tc>
        <w:tc>
          <w:tcPr>
            <w:tcW w:w="198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r>
      <w:tr>
        <w:trPr>
          <w:trHeight w:val="26"/>
        </w:trPr>
        <w:tc>
          <w:tcPr>
            <w:tcW w:w="7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72"/>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21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2,867</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11,467</w:t>
            </w: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1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775</w:t>
            </w: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w:t>
            </w:r>
          </w:p>
        </w:tc>
      </w:tr>
      <w:tr>
        <w:trPr>
          <w:trHeight w:val="26"/>
        </w:trPr>
        <w:tc>
          <w:tcPr>
            <w:tcW w:w="7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17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(benefit) for income taxes</w:t>
            </w:r>
          </w:p>
        </w:tc>
        <w:tc>
          <w:tcPr>
            <w:tcW w:w="2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(1,093)</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(4,370)</w:t>
            </w:r>
          </w:p>
        </w:tc>
      </w:tr>
      <w:tr>
        <w:trPr>
          <w:trHeight w:val="26"/>
        </w:trPr>
        <w:tc>
          <w:tcPr>
            <w:tcW w:w="71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Fair value of intangible assets acquired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20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Useful Life (in years)</w:t>
            </w:r>
          </w:p>
        </w:tc>
        <w:tc>
          <w:tcPr>
            <w:tcW w:w="480" w:type="dxa"/>
            <w:vAlign w:val="bottom"/>
          </w:tcPr>
          <w:p>
            <w:pPr>
              <w:spacing w:after="0"/>
              <w:rPr>
                <w:sz w:val="14"/>
                <w:szCs w:val="14"/>
                <w:color w:val="auto"/>
              </w:rPr>
            </w:pPr>
          </w:p>
        </w:tc>
        <w:tc>
          <w:tcPr>
            <w:tcW w:w="1700" w:type="dxa"/>
            <w:vAlign w:val="bottom"/>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6"/>
        </w:trPr>
        <w:tc>
          <w:tcPr>
            <w:tcW w:w="70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72"/>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Trademark</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8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31,000</w:t>
            </w:r>
          </w:p>
        </w:tc>
      </w:tr>
      <w:tr>
        <w:trPr>
          <w:trHeight w:val="176"/>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Software</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47,000</w:t>
            </w:r>
          </w:p>
        </w:tc>
      </w:tr>
      <w:tr>
        <w:trPr>
          <w:trHeight w:val="26"/>
        </w:trPr>
        <w:tc>
          <w:tcPr>
            <w:tcW w:w="7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2"/>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12,400</w:t>
            </w:r>
          </w:p>
        </w:tc>
      </w:tr>
      <w:tr>
        <w:trPr>
          <w:trHeight w:val="167"/>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90,400</w:t>
            </w:r>
          </w:p>
        </w:tc>
      </w:tr>
    </w:tbl>
    <w:p>
      <w:pPr>
        <w:spacing w:after="0" w:line="276" w:lineRule="exact"/>
        <w:rPr>
          <w:sz w:val="20"/>
          <w:szCs w:val="20"/>
          <w:color w:val="auto"/>
        </w:rPr>
      </w:pPr>
    </w:p>
    <w:p>
      <w:pPr>
        <w:ind w:left="500" w:hanging="24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include $6.6 million transaction costs related to the Envato Acquisition.</w:t>
      </w:r>
    </w:p>
    <w:p>
      <w:pPr>
        <w:spacing w:after="0" w:line="51" w:lineRule="exact"/>
        <w:rPr>
          <w:rFonts w:ascii="Times New Roman" w:cs="Times New Roman" w:eastAsia="Times New Roman" w:hAnsi="Times New Roman"/>
          <w:sz w:val="14"/>
          <w:szCs w:val="14"/>
          <w:color w:val="auto"/>
        </w:rPr>
      </w:pPr>
    </w:p>
    <w:p>
      <w:pPr>
        <w:ind w:left="520" w:right="100" w:hanging="260"/>
        <w:spacing w:after="0" w:line="270" w:lineRule="auto"/>
        <w:tabs>
          <w:tab w:leader="none" w:pos="51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 to record interest expense and issuance costs amortization assumes the loans were obtained on January 1, 2023. The interest rate for this pro forma adjustment is 7.07% for the Senior Term Loan and 7.07% for Revolving Credit Facility. An increase or decrease in the interest rate on loans of one-eighth of one percent would result in a change in interest expense of approximately $0.4 million and $0.1 million for the year ended December 31, 2023 and three months ended March 31, 2024.</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216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2024</w:t>
            </w:r>
          </w:p>
        </w:tc>
        <w:tc>
          <w:tcPr>
            <w:tcW w:w="198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r>
      <w:tr>
        <w:trPr>
          <w:trHeight w:val="26"/>
        </w:trPr>
        <w:tc>
          <w:tcPr>
            <w:tcW w:w="7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72"/>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1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(4,524)</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(18,096)</w:t>
            </w: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deferred issuance cost</w:t>
            </w:r>
          </w:p>
        </w:tc>
        <w:tc>
          <w:tcPr>
            <w:tcW w:w="2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(120)</w:t>
            </w: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r>
    </w:tbl>
    <w:p>
      <w:pPr>
        <w:spacing w:after="0" w:line="117" w:lineRule="exact"/>
        <w:rPr>
          <w:sz w:val="20"/>
          <w:szCs w:val="20"/>
          <w:color w:val="auto"/>
        </w:rPr>
      </w:pPr>
    </w:p>
    <w:p>
      <w:pPr>
        <w:ind w:left="500" w:hanging="240"/>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income tax impact of the Debt Financing Accounting Adjustments, using the statutory tax rate.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4"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15</w:t>
      </w:r>
    </w:p>
    <w:sectPr>
      <w:pgSz w:w="11900" w:h="16838" w:orient="portrait"/>
      <w:cols w:equalWidth="0" w:num="1">
        <w:col w:w="11280"/>
      </w:cols>
      <w:pgMar w:left="300" w:top="11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2"/>
    </w:lvl>
  </w:abstractNum>
  <w:abstractNum w:abstractNumId="4">
    <w:nsid w:val="66EF438D"/>
    <w:multiLevelType w:val="hybridMultilevel"/>
    <w:lvl w:ilvl="0">
      <w:lvlJc w:val="left"/>
      <w:lvlText w:val="(%1)"/>
      <w:numFmt w:val="lowerLetter"/>
      <w:start w:val="4"/>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upperLetter"/>
      <w:start w:val="1"/>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
      <w:numFmt w:val="bullet"/>
      <w:start w:val="1"/>
    </w:lvl>
    <w:lvl w:ilvl="1">
      <w:lvlJc w:val="left"/>
      <w:lvlText w:val="(%2)"/>
      <w:numFmt w:val="lowerRoman"/>
      <w:start w:val="1"/>
    </w:lvl>
  </w:abstractNum>
  <w:abstractNum w:abstractNumId="12">
    <w:nsid w:val="6B68079A"/>
    <w:multiLevelType w:val="hybridMultilevel"/>
    <w:lvl w:ilvl="0">
      <w:lvlJc w:val="left"/>
      <w:lvlText w:val="(*)"/>
      <w:numFmt w:val="bullet"/>
      <w:start w:val="1"/>
    </w:lvl>
    <w:lvl w:ilvl="1">
      <w:lvlJc w:val="left"/>
      <w:lvlText w:val="(%2)"/>
      <w:numFmt w:val="lowerRoman"/>
      <w:start w:val="1"/>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upperLetter"/>
      <w:start w:val="2"/>
    </w:lvl>
  </w:abstractNum>
  <w:abstractNum w:abstractNumId="15">
    <w:nsid w:val="519B500D"/>
    <w:multiLevelType w:val="hybridMultilevel"/>
    <w:lvl w:ilvl="0">
      <w:lvlJc w:val="left"/>
      <w:lvlText w:val="%1."/>
      <w:numFmt w:val="upperLetter"/>
      <w:start w:val="4"/>
    </w:lvl>
  </w:abstractNum>
  <w:abstractNum w:abstractNumId="16">
    <w:nsid w:val="431BD7B7"/>
    <w:multiLevelType w:val="hybridMultilevel"/>
    <w:lvl w:ilvl="0">
      <w:lvlJc w:val="left"/>
      <w:lvlText w:val="%1."/>
      <w:numFmt w:val="upperLetter"/>
      <w:start w:val="9"/>
    </w:lvl>
  </w:abstractNum>
  <w:abstractNum w:abstractNumId="17">
    <w:nsid w:val="3F2DBA31"/>
    <w:multiLevelType w:val="hybridMultilevel"/>
    <w:lvl w:ilvl="0">
      <w:lvlJc w:val="left"/>
      <w:lvlText w:val="%1."/>
      <w:numFmt w:val="upperLetter"/>
      <w:start w:val="10"/>
    </w:lvl>
  </w:abstractNum>
  <w:abstractNum w:abstractNumId="18">
    <w:nsid w:val="7C83E458"/>
    <w:multiLevelType w:val="hybridMultilevel"/>
    <w:lvl w:ilvl="0">
      <w:lvlJc w:val="left"/>
      <w:lvlText w:val="%1."/>
      <w:numFmt w:val="upp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2024-10-03T16:23:42Z</dcterms:created>
  <dcterms:modified xsi:type="dcterms:W3CDTF">2024-10-03T16:23:42Z</dcterms:modified>
</cp:coreProperties>
</file>