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8 )*</w:t>
      </w:r>
    </w:p>
    <w:p>
      <w:pPr>
        <w:spacing w:after="0" w:line="5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23495</wp:posOffset>
            </wp:positionV>
            <wp:extent cx="46894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89475" cy="8255"/>
                    </a:xfrm>
                    <a:prstGeom prst="rect">
                      <a:avLst/>
                    </a:prstGeom>
                    <a:noFill/>
                  </pic:spPr>
                </pic:pic>
              </a:graphicData>
            </a:graphic>
          </wp:anchor>
        </w:drawing>
      </w:r>
    </w:p>
    <w:p>
      <w:pPr>
        <w:spacing w:after="0" w:line="30"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14605</wp:posOffset>
            </wp:positionV>
            <wp:extent cx="46894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89475"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825690100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23495</wp:posOffset>
            </wp:positionV>
            <wp:extent cx="4689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89475"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3"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Jonathan Oringer</w:t>
      </w:r>
    </w:p>
    <w:p>
      <w:pPr>
        <w:ind w:left="5000"/>
        <w:spacing w:after="0" w:line="219" w:lineRule="auto"/>
        <w:rPr>
          <w:sz w:val="20"/>
          <w:szCs w:val="20"/>
          <w:color w:val="auto"/>
        </w:rPr>
      </w:pPr>
      <w:r>
        <w:rPr>
          <w:rFonts w:ascii="Arial" w:cs="Arial" w:eastAsia="Arial" w:hAnsi="Arial"/>
          <w:sz w:val="18"/>
          <w:szCs w:val="18"/>
          <w:color w:val="auto"/>
        </w:rPr>
        <w:t>Shutterstock, Inc.</w:t>
      </w:r>
    </w:p>
    <w:p>
      <w:pPr>
        <w:jc w:val="center"/>
        <w:ind w:right="-19"/>
        <w:spacing w:after="0" w:line="203" w:lineRule="auto"/>
        <w:rPr>
          <w:sz w:val="20"/>
          <w:szCs w:val="20"/>
          <w:color w:val="auto"/>
        </w:rPr>
      </w:pPr>
      <w:r>
        <w:rPr>
          <w:rFonts w:ascii="Arial" w:cs="Arial" w:eastAsia="Arial" w:hAnsi="Arial"/>
          <w:sz w:val="18"/>
          <w:szCs w:val="18"/>
          <w:color w:val="auto"/>
        </w:rPr>
        <w:t>350 Fifth Avenue, 20th Floor</w:t>
      </w:r>
    </w:p>
    <w:p>
      <w:pPr>
        <w:jc w:val="center"/>
        <w:ind w:right="-19"/>
        <w:spacing w:after="0" w:line="204" w:lineRule="auto"/>
        <w:rPr>
          <w:sz w:val="20"/>
          <w:szCs w:val="20"/>
          <w:color w:val="auto"/>
        </w:rPr>
      </w:pPr>
      <w:r>
        <w:rPr>
          <w:rFonts w:ascii="Arial" w:cs="Arial" w:eastAsia="Arial" w:hAnsi="Arial"/>
          <w:sz w:val="18"/>
          <w:szCs w:val="18"/>
          <w:color w:val="auto"/>
        </w:rPr>
        <w:t>New York, NY 10118</w:t>
      </w:r>
    </w:p>
    <w:p>
      <w:pPr>
        <w:jc w:val="center"/>
        <w:ind w:right="-19"/>
        <w:spacing w:after="0"/>
        <w:rPr>
          <w:sz w:val="20"/>
          <w:szCs w:val="20"/>
          <w:color w:val="auto"/>
        </w:rPr>
      </w:pPr>
      <w:r>
        <w:rPr>
          <w:rFonts w:ascii="Arial" w:cs="Arial" w:eastAsia="Arial" w:hAnsi="Arial"/>
          <w:sz w:val="18"/>
          <w:szCs w:val="18"/>
          <w:color w:val="auto"/>
        </w:rPr>
        <w:t>(646) 766-1855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13335</wp:posOffset>
            </wp:positionV>
            <wp:extent cx="4689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89475" cy="8255"/>
                    </a:xfrm>
                    <a:prstGeom prst="rect">
                      <a:avLst/>
                    </a:prstGeom>
                    <a:noFill/>
                  </pic:spPr>
                </pic:pic>
              </a:graphicData>
            </a:graphic>
          </wp:anchor>
        </w:drawing>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23495</wp:posOffset>
            </wp:positionV>
            <wp:extent cx="4689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894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4"/>
          <w:szCs w:val="24"/>
          <w:color w:val="auto"/>
        </w:rPr>
      </w:pPr>
    </w:p>
    <w:p>
      <w:pPr>
        <w:ind w:left="420" w:right="1080" w:hanging="394"/>
        <w:spacing w:after="0" w:line="289"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61"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1440" w:right="339" w:bottom="1440" w:gutter="0" w:footer="0" w:header="0"/>
        </w:sectPr>
      </w:pPr>
    </w:p>
    <w:bookmarkStart w:id="1" w:name="page2"/>
    <w:bookmarkEnd w:id="1"/>
    <w:p>
      <w:pPr>
        <w:ind w:left="60"/>
        <w:spacing w:after="0"/>
        <w:tabs>
          <w:tab w:leader="none" w:pos="103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825690100</w:t>
      </w:r>
      <w:r>
        <w:rPr>
          <w:sz w:val="20"/>
          <w:szCs w:val="20"/>
          <w:color w:val="auto"/>
        </w:rPr>
        <w:tab/>
      </w:r>
      <w:r>
        <w:rPr>
          <w:rFonts w:ascii="Arial" w:cs="Arial" w:eastAsia="Arial" w:hAnsi="Arial"/>
          <w:sz w:val="16"/>
          <w:szCs w:val="16"/>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3926205" cy="5194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26205"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hanging="40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Jonathan Oringer</w:t>
      </w:r>
    </w:p>
    <w:p>
      <w:pPr>
        <w:spacing w:after="0" w:line="49"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 (see instructions)</w:t>
      </w:r>
    </w:p>
    <w:p>
      <w:pPr>
        <w:ind w:left="6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5" w:lineRule="exact"/>
        <w:rPr>
          <w:sz w:val="20"/>
          <w:szCs w:val="20"/>
          <w:color w:val="auto"/>
        </w:rPr>
      </w:pPr>
    </w:p>
    <w:p>
      <w:pPr>
        <w:ind w:left="640" w:hanging="35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640" w:hanging="35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OO</w:t>
      </w:r>
    </w:p>
    <w:p>
      <w:pPr>
        <w:spacing w:after="0" w:line="51" w:lineRule="exact"/>
        <w:rPr>
          <w:sz w:val="20"/>
          <w:szCs w:val="20"/>
          <w:color w:val="auto"/>
        </w:rPr>
      </w:pPr>
    </w:p>
    <w:p>
      <w:pPr>
        <w:ind w:left="640" w:right="5220" w:hanging="355"/>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4" w:lineRule="exact"/>
        <w:rPr>
          <w:rFonts w:ascii="Arial" w:cs="Arial" w:eastAsia="Arial" w:hAnsi="Arial"/>
          <w:sz w:val="18"/>
          <w:szCs w:val="18"/>
          <w:color w:val="auto"/>
        </w:rPr>
      </w:pPr>
    </w:p>
    <w:p>
      <w:pPr>
        <w:ind w:left="640" w:hanging="35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United States of America</w:t>
      </w:r>
    </w:p>
    <w:p>
      <w:pPr>
        <w:spacing w:after="0" w:line="3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Number of</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76"/>
        </w:trPr>
        <w:tc>
          <w:tcPr>
            <w:tcW w:w="10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1"/>
              </w:rPr>
              <w:t>shares</w:t>
            </w:r>
          </w:p>
        </w:tc>
        <w:tc>
          <w:tcPr>
            <w:tcW w:w="420" w:type="dxa"/>
            <w:vAlign w:val="bottom"/>
          </w:tcPr>
          <w:p>
            <w:pPr>
              <w:spacing w:after="0"/>
              <w:rPr>
                <w:sz w:val="15"/>
                <w:szCs w:val="15"/>
                <w:color w:val="auto"/>
              </w:rPr>
            </w:pPr>
          </w:p>
        </w:tc>
        <w:tc>
          <w:tcPr>
            <w:tcW w:w="4540" w:type="dxa"/>
            <w:vAlign w:val="bottom"/>
            <w:gridSpan w:val="2"/>
            <w:vMerge w:val="restart"/>
          </w:tcPr>
          <w:p>
            <w:pPr>
              <w:ind w:left="120"/>
              <w:spacing w:after="0"/>
              <w:rPr>
                <w:sz w:val="20"/>
                <w:szCs w:val="20"/>
                <w:color w:val="auto"/>
              </w:rPr>
            </w:pPr>
            <w:r>
              <w:rPr>
                <w:rFonts w:ascii="Arial" w:cs="Arial" w:eastAsia="Arial" w:hAnsi="Arial"/>
                <w:sz w:val="22"/>
                <w:szCs w:val="22"/>
                <w:color w:val="auto"/>
              </w:rPr>
              <w:t>11,538,096 (1)</w:t>
            </w:r>
          </w:p>
        </w:tc>
        <w:tc>
          <w:tcPr>
            <w:tcW w:w="0" w:type="dxa"/>
            <w:vAlign w:val="bottom"/>
          </w:tcPr>
          <w:p>
            <w:pPr>
              <w:spacing w:after="0"/>
              <w:rPr>
                <w:sz w:val="1"/>
                <w:szCs w:val="1"/>
                <w:color w:val="auto"/>
              </w:rPr>
            </w:pPr>
          </w:p>
        </w:tc>
      </w:tr>
      <w:tr>
        <w:trPr>
          <w:trHeight w:val="176"/>
        </w:trPr>
        <w:tc>
          <w:tcPr>
            <w:tcW w:w="10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80" w:type="dxa"/>
            <w:vAlign w:val="bottom"/>
            <w:vMerge w:val="restart"/>
          </w:tcPr>
          <w:p>
            <w:pPr>
              <w:jc w:val="center"/>
              <w:ind w:right="150"/>
              <w:spacing w:after="0" w:line="189" w:lineRule="exact"/>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080" w:type="dxa"/>
            <w:vAlign w:val="bottom"/>
            <w:vMerge w:val="continue"/>
          </w:tcPr>
          <w:p>
            <w:pPr>
              <w:spacing w:after="0"/>
              <w:rPr>
                <w:sz w:val="9"/>
                <w:szCs w:val="9"/>
                <w:color w:val="auto"/>
              </w:rPr>
            </w:pPr>
          </w:p>
        </w:tc>
        <w:tc>
          <w:tcPr>
            <w:tcW w:w="42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9"/>
                <w:szCs w:val="9"/>
                <w:color w:val="auto"/>
              </w:rPr>
            </w:pPr>
          </w:p>
        </w:tc>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080" w:type="dxa"/>
            <w:vAlign w:val="bottom"/>
            <w:vMerge w:val="restart"/>
          </w:tcPr>
          <w:p>
            <w:pPr>
              <w:jc w:val="center"/>
              <w:ind w:right="150"/>
              <w:spacing w:after="0" w:line="176" w:lineRule="exact"/>
              <w:rPr>
                <w:sz w:val="20"/>
                <w:szCs w:val="20"/>
                <w:color w:val="auto"/>
              </w:rPr>
            </w:pPr>
            <w:r>
              <w:rPr>
                <w:rFonts w:ascii="Arial" w:cs="Arial" w:eastAsia="Arial" w:hAnsi="Arial"/>
                <w:sz w:val="18"/>
                <w:szCs w:val="18"/>
                <w:color w:val="auto"/>
                <w:w w:val="81"/>
              </w:rPr>
              <w:t>each</w:t>
            </w: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540" w:type="dxa"/>
            <w:vAlign w:val="bottom"/>
            <w:gridSpan w:val="2"/>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1"/>
        </w:trPr>
        <w:tc>
          <w:tcPr>
            <w:tcW w:w="1080" w:type="dxa"/>
            <w:vAlign w:val="bottom"/>
          </w:tcPr>
          <w:p>
            <w:pPr>
              <w:jc w:val="center"/>
              <w:ind w:right="130"/>
              <w:spacing w:after="0" w:line="191" w:lineRule="exact"/>
              <w:rPr>
                <w:sz w:val="20"/>
                <w:szCs w:val="20"/>
                <w:color w:val="auto"/>
              </w:rPr>
            </w:pPr>
            <w:r>
              <w:rPr>
                <w:rFonts w:ascii="Arial" w:cs="Arial" w:eastAsia="Arial" w:hAnsi="Arial"/>
                <w:sz w:val="18"/>
                <w:szCs w:val="18"/>
                <w:color w:val="auto"/>
                <w:w w:val="92"/>
              </w:rPr>
              <w:t>reporting</w:t>
            </w:r>
          </w:p>
        </w:tc>
        <w:tc>
          <w:tcPr>
            <w:tcW w:w="420" w:type="dxa"/>
            <w:vAlign w:val="bottom"/>
          </w:tcPr>
          <w:p>
            <w:pPr>
              <w:spacing w:after="0"/>
              <w:rPr>
                <w:sz w:val="16"/>
                <w:szCs w:val="16"/>
                <w:color w:val="auto"/>
              </w:rPr>
            </w:pPr>
          </w:p>
        </w:tc>
        <w:tc>
          <w:tcPr>
            <w:tcW w:w="4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080" w:type="dxa"/>
            <w:vAlign w:val="bottom"/>
            <w:vMerge w:val="restart"/>
          </w:tcPr>
          <w:p>
            <w:pPr>
              <w:jc w:val="center"/>
              <w:ind w:right="150"/>
              <w:spacing w:after="0" w:line="173" w:lineRule="exact"/>
              <w:rPr>
                <w:sz w:val="20"/>
                <w:szCs w:val="20"/>
                <w:color w:val="auto"/>
              </w:rPr>
            </w:pPr>
            <w:r>
              <w:rPr>
                <w:rFonts w:ascii="Arial" w:cs="Arial" w:eastAsia="Arial" w:hAnsi="Arial"/>
                <w:sz w:val="18"/>
                <w:szCs w:val="18"/>
                <w:color w:val="auto"/>
                <w:w w:val="87"/>
              </w:rPr>
              <w:t>person</w:t>
            </w: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080" w:type="dxa"/>
            <w:vAlign w:val="bottom"/>
            <w:vMerge w:val="continue"/>
          </w:tcPr>
          <w:p>
            <w:pPr>
              <w:spacing w:after="0"/>
              <w:rPr>
                <w:sz w:val="4"/>
                <w:szCs w:val="4"/>
                <w:color w:val="auto"/>
              </w:rPr>
            </w:pPr>
          </w:p>
        </w:tc>
        <w:tc>
          <w:tcPr>
            <w:tcW w:w="42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4"/>
                <w:szCs w:val="4"/>
                <w:color w:val="auto"/>
              </w:rPr>
            </w:pPr>
          </w:p>
        </w:tc>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80" w:type="dxa"/>
            <w:vAlign w:val="bottom"/>
          </w:tcPr>
          <w:p>
            <w:pPr>
              <w:jc w:val="center"/>
              <w:ind w:right="150"/>
              <w:spacing w:after="0"/>
              <w:rPr>
                <w:sz w:val="20"/>
                <w:szCs w:val="20"/>
                <w:color w:val="auto"/>
              </w:rPr>
            </w:pPr>
            <w:r>
              <w:rPr>
                <w:rFonts w:ascii="Arial" w:cs="Arial" w:eastAsia="Arial" w:hAnsi="Arial"/>
                <w:sz w:val="18"/>
                <w:szCs w:val="18"/>
                <w:color w:val="auto"/>
                <w:w w:val="97"/>
              </w:rPr>
              <w:t>with:</w:t>
            </w:r>
          </w:p>
        </w:tc>
        <w:tc>
          <w:tcPr>
            <w:tcW w:w="4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2"/>
          </w:tcPr>
          <w:p>
            <w:pPr>
              <w:ind w:left="120"/>
              <w:spacing w:after="0"/>
              <w:rPr>
                <w:sz w:val="20"/>
                <w:szCs w:val="20"/>
                <w:color w:val="auto"/>
              </w:rPr>
            </w:pPr>
            <w:r>
              <w:rPr>
                <w:rFonts w:ascii="Arial" w:cs="Arial" w:eastAsia="Arial" w:hAnsi="Arial"/>
                <w:sz w:val="22"/>
                <w:szCs w:val="22"/>
                <w:color w:val="auto"/>
              </w:rPr>
              <w:t>11,538,096 (1)</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780" w:hanging="517"/>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96"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0</w:t>
      </w:r>
    </w:p>
    <w:p>
      <w:pPr>
        <w:spacing w:after="0" w:line="5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11,538,096 (1)</w:t>
      </w:r>
    </w:p>
    <w:p>
      <w:pPr>
        <w:spacing w:after="0" w:line="51" w:lineRule="exact"/>
        <w:rPr>
          <w:sz w:val="20"/>
          <w:szCs w:val="20"/>
          <w:color w:val="auto"/>
        </w:rPr>
      </w:pPr>
    </w:p>
    <w:p>
      <w:pPr>
        <w:ind w:left="640" w:right="5400" w:hanging="445"/>
        <w:spacing w:after="0" w:line="217" w:lineRule="exact"/>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134" w:lineRule="exact"/>
        <w:rPr>
          <w:rFonts w:ascii="Arial" w:cs="Arial" w:eastAsia="Arial" w:hAnsi="Arial"/>
          <w:sz w:val="18"/>
          <w:szCs w:val="18"/>
          <w:color w:val="auto"/>
        </w:rPr>
      </w:pPr>
    </w:p>
    <w:p>
      <w:pPr>
        <w:ind w:left="640" w:hanging="44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31.7% (2)</w:t>
      </w:r>
    </w:p>
    <w:p>
      <w:pPr>
        <w:spacing w:after="0" w:line="5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w:t>
      </w:r>
    </w:p>
    <w:p>
      <w:pPr>
        <w:spacing w:after="0" w:line="366" w:lineRule="exact"/>
        <w:rPr>
          <w:sz w:val="20"/>
          <w:szCs w:val="20"/>
          <w:color w:val="auto"/>
        </w:rPr>
      </w:pPr>
    </w:p>
    <w:p>
      <w:pPr>
        <w:ind w:left="980" w:right="40" w:hanging="648"/>
        <w:spacing w:after="0" w:line="256"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total number of shares includes 105,497 restricted stock units granted to the Reporting Person, each of which represents a contingent right to receive one share of common stock (“Common Stock”), par value $0.01 per share, of Shutterstock, Inc. (the “Issuer”). The restricted stock units will vest only if (i) the Reporting Person remains continuously employed by the Issuer until the fifth anniversary of the date of grant and (ii) the average 90-day closing price of the Common Stock equals or exceeds $161.88 for any 90 consecutive calendar days during the period commencing on the fifth anniversary of the date of grant and ending on the tenth anniversary of the date of grant, inclusive; provided that the Reporting Person remains continuously employed by the Issuer until the date of satisfaction of such condition.</w:t>
      </w:r>
    </w:p>
    <w:p>
      <w:pPr>
        <w:spacing w:after="0" w:line="10" w:lineRule="exact"/>
        <w:rPr>
          <w:rFonts w:ascii="Arial" w:cs="Arial" w:eastAsia="Arial" w:hAnsi="Arial"/>
          <w:sz w:val="16"/>
          <w:szCs w:val="16"/>
          <w:color w:val="auto"/>
        </w:rPr>
      </w:pPr>
    </w:p>
    <w:p>
      <w:pPr>
        <w:ind w:left="980" w:right="20" w:hanging="648"/>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6"/>
          <w:szCs w:val="16"/>
          <w:color w:val="auto"/>
        </w:rPr>
        <w:t>Based on a total of 36,412,819 shares of Issuer's Common Stock outstanding on June 7, 2023, which includes the Performance Shares (as defined below) and the Vested Options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EXPLANATORY NOTE: This Amendment No 8 ("Amendment No. 8") is being filed by Jonathan Oringer pursuant to Rule 13d-1(a) under the Securities Exchange Act of 1934 to report certain material changes to Mr. Oringer’s beneficial ownership since the filing of the statement on Schedule 13D filed with the Securities and Exchange Commission (the “SEC”) on May 17, 2016 (the “Original Schedule 13D”), as amended by Amendment No. 1, dated August 5, 2020 (“Amendment No. 1”), as amended by Amendment No. 2, dated August 14, 2020 (“Amendment No. 2”), as amended by Amendment No. 3, dated January 4, 2021 (“Amendment No. 3”), as amended by Amendment No. 4, dated May 4, 2021 (“Amendment No. 4”), as amended by Amendment No. 5, dated August 11, 2021 (“Amendment No. 5”), as amended by Amendment No. 6, dated December 8, 2021 (“Amendment No. 6”), and as amended by Amendment No. 7, dated May 6, 2022 (“Amendment No. 7” and the Original Schedule 13D, together with Amendment No. 1, Amendment No. 2, Amendment No. 3, Amendment No. 4, Amendment No. 5, Amendment No. 6, and Amendment No. 7, the “Schedule 13D”). Information contained in the Schedule 13D remains effective except to the extent that it is amended, restated, or</w:t>
      </w:r>
    </w:p>
    <w:p>
      <w:pPr>
        <w:sectPr>
          <w:pgSz w:w="11900" w:h="16838" w:orient="portrait"/>
          <w:cols w:equalWidth="0" w:num="1">
            <w:col w:w="11200"/>
          </w:cols>
          <w:pgMar w:left="320" w:top="162" w:right="379" w:bottom="1440" w:gutter="0" w:footer="0" w:header="0"/>
        </w:sectPr>
      </w:pPr>
    </w:p>
    <w:bookmarkStart w:id="2" w:name="page3"/>
    <w:bookmarkEnd w:id="2"/>
    <w:p>
      <w:pPr>
        <w:ind w:left="60"/>
        <w:spacing w:after="0"/>
        <w:tabs>
          <w:tab w:leader="none" w:pos="103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825690100</w:t>
      </w:r>
      <w:r>
        <w:rPr>
          <w:sz w:val="20"/>
          <w:szCs w:val="20"/>
          <w:color w:val="auto"/>
        </w:rPr>
        <w:tab/>
      </w:r>
      <w:r>
        <w:rPr>
          <w:rFonts w:ascii="Arial" w:cs="Arial" w:eastAsia="Arial" w:hAnsi="Arial"/>
          <w:sz w:val="16"/>
          <w:szCs w:val="16"/>
          <w:color w:val="auto"/>
        </w:rPr>
        <w:t>Page 3 of 5</w:t>
      </w:r>
    </w:p>
    <w:p>
      <w:pPr>
        <w:spacing w:after="0" w:line="200" w:lineRule="exact"/>
        <w:rPr>
          <w:sz w:val="20"/>
          <w:szCs w:val="20"/>
          <w:color w:val="auto"/>
        </w:rPr>
      </w:pPr>
    </w:p>
    <w:p>
      <w:pPr>
        <w:spacing w:after="0" w:line="31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superseded by the information contained in this Amendment No. 8. All capitalized terms used herein and not otherwise defined in this Amendment No. 8 have the meaning set forth in the Schedule 13D.</w:t>
      </w:r>
    </w:p>
    <w:p>
      <w:pPr>
        <w:spacing w:after="0" w:line="200" w:lineRule="exact"/>
        <w:rPr>
          <w:sz w:val="20"/>
          <w:szCs w:val="20"/>
          <w:color w:val="auto"/>
        </w:rPr>
      </w:pPr>
    </w:p>
    <w:p>
      <w:pPr>
        <w:spacing w:after="0" w:line="25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SCHEDULE 13D</w:t>
      </w:r>
    </w:p>
    <w:p>
      <w:pPr>
        <w:spacing w:after="0" w:line="127"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and restated in its entirety as follows:</w:t>
      </w:r>
    </w:p>
    <w:p>
      <w:pPr>
        <w:spacing w:after="0" w:line="25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outstanding shares of Common Stock currently beneficially owned by Mr. Oringer were acquired by Mr. Oringer over several years through various means, including (i) 11,123,068 shares issued to Mr. Oringer in connection with the Issuer’s initial public offering (“IPO Shares”), (ii) options to purchase, in the aggregate, 263,742 shares of Common Stock under the Issuer’s Amended and Restated 2012 Omnibus Equity Incentive Plan (the “2012 Plan”) that vest and are exercisable within 60 days hereof, granted to Mr. Oringer by the Issuer in connection with his service as the Issuer’s then Chief Executive Officer (the “Vested Options”), (iii) 105,497 restricted stock units, each of which represents a contingent right to receive one share of Common Stock under the 2012 Plan, granted to Mr. Oringer by the Issuer in connection with his service as the Issuer’s then Chief Executive Officer (“Performance Shares”), and (iv) 45,789 shares issued to Mr. Oringer upon the 2023 vesting of performance-based restricted stock unit awards granted in 2020, 2021 and 2022.</w:t>
      </w:r>
    </w:p>
    <w:p>
      <w:pPr>
        <w:spacing w:after="0" w:line="221"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(a)-(b)</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Mr. Oringer beneficially owns an aggregate of 11,538,096 shares of Common Stock, representing approximately 31.7% of the outstanding Common Stock, as to which Mr. Oringer has sole dispositive and voting power. The ownership percentage set forth above is based upon 36,412,819 shares of Common Stock of the Issuer outstanding as of June 7, 2023. The total number of shares beneficially owned by Mr. Oringer includes 105,497 restricted stock units granted to Mr. Oringer, each of which represents a contingent right to receive one share of Common Stock. The restricted stock units will vest only if (i) Mr. Oringer remains continuously employed by the Issuer until the fifth anniversary of the date of grant and (ii) the average 90-day closing price of Common Stock equals or exceeds $161.88 for any 90 consecutive calendar days during the period commencing on the fifth anniversary of the date of grant and ending on the tenth anniversary of the date of grant, inclusive; provided that the Mr. Oringer remains continuously employed by the Issuer until the date of satisfaction of such condition.</w:t>
      </w:r>
    </w:p>
    <w:p>
      <w:pPr>
        <w:sectPr>
          <w:pgSz w:w="11900" w:h="16838" w:orient="portrait"/>
          <w:cols w:equalWidth="0" w:num="1">
            <w:col w:w="11220"/>
          </w:cols>
          <w:pgMar w:left="320" w:top="162" w:right="359" w:bottom="1440" w:gutter="0" w:footer="0" w:header="0"/>
        </w:sectPr>
      </w:pPr>
    </w:p>
    <w:bookmarkStart w:id="3" w:name="page4"/>
    <w:bookmarkEnd w:id="3"/>
    <w:p>
      <w:pPr>
        <w:ind w:left="60"/>
        <w:spacing w:after="0"/>
        <w:tabs>
          <w:tab w:leader="none" w:pos="103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825690100</w:t>
      </w:r>
      <w:r>
        <w:rPr>
          <w:sz w:val="20"/>
          <w:szCs w:val="20"/>
          <w:color w:val="auto"/>
        </w:rPr>
        <w:tab/>
      </w:r>
      <w:r>
        <w:rPr>
          <w:rFonts w:ascii="Arial" w:cs="Arial" w:eastAsia="Arial" w:hAnsi="Arial"/>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39"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During the past sixty days, the transactions set forth below were effected for Mr. Oringer’s account by Charles Schwab in the open market pursuant to the 2023 10b5-1 Plan. Each day's sales comprised open market transactions made on that day, and the price per share reported for each sale is the weighted average sales price. Mr. Oringer will provide upon request of the SEC staff the full information regarding the number of shares purchased or sold at each separate price.</w:t>
      </w:r>
    </w:p>
    <w:p>
      <w:pPr>
        <w:spacing w:after="0" w:line="242" w:lineRule="exact"/>
        <w:rPr>
          <w:sz w:val="20"/>
          <w:szCs w:val="20"/>
          <w:color w:val="auto"/>
        </w:rPr>
      </w:pPr>
    </w:p>
    <w:tbl>
      <w:tblPr>
        <w:tblLayout w:type="fixed"/>
        <w:tblInd w:w="2170" w:type="dxa"/>
        <w:tblCellMar>
          <w:top w:w="0" w:type="dxa"/>
          <w:left w:w="0" w:type="dxa"/>
          <w:bottom w:w="0" w:type="dxa"/>
          <w:right w:w="0" w:type="dxa"/>
        </w:tblCellMar>
      </w:tblPr>
      <w:tr>
        <w:trPr>
          <w:trHeight w:val="264"/>
        </w:trPr>
        <w:tc>
          <w:tcPr>
            <w:tcW w:w="2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of Transaction</w:t>
            </w:r>
          </w:p>
        </w:tc>
        <w:tc>
          <w:tcPr>
            <w:tcW w:w="258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Number of Shares Sold</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per Share</w:t>
            </w:r>
          </w:p>
        </w:tc>
      </w:tr>
      <w:tr>
        <w:trPr>
          <w:trHeight w:val="256"/>
        </w:trPr>
        <w:tc>
          <w:tcPr>
            <w:tcW w:w="2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06/01/2023</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1,994</w:t>
            </w:r>
          </w:p>
        </w:tc>
        <w:tc>
          <w:tcPr>
            <w:tcW w:w="2200" w:type="dxa"/>
            <w:vAlign w:val="bottom"/>
            <w:tcBorders>
              <w:bottom w:val="single" w:sz="8" w:color="auto"/>
              <w:right w:val="single" w:sz="8" w:color="auto"/>
            </w:tcBorders>
          </w:tcPr>
          <w:p>
            <w:pPr>
              <w:jc w:val="center"/>
              <w:spacing w:after="0" w:line="256" w:lineRule="exact"/>
              <w:rPr>
                <w:sz w:val="20"/>
                <w:szCs w:val="20"/>
                <w:color w:val="auto"/>
              </w:rPr>
            </w:pPr>
            <w:r>
              <w:rPr>
                <w:rFonts w:ascii="Arial" w:cs="Arial" w:eastAsia="Arial" w:hAnsi="Arial"/>
                <w:sz w:val="18"/>
                <w:szCs w:val="18"/>
                <w:color w:val="auto"/>
                <w:w w:val="84"/>
              </w:rPr>
              <w:t>50.04</w:t>
            </w:r>
            <w:r>
              <w:rPr>
                <w:rFonts w:ascii="Arial" w:cs="Arial" w:eastAsia="Arial" w:hAnsi="Arial"/>
                <w:sz w:val="23"/>
                <w:szCs w:val="23"/>
                <w:color w:val="auto"/>
                <w:w w:val="84"/>
                <w:vertAlign w:val="superscript"/>
              </w:rPr>
              <w:t>(1)</w:t>
            </w:r>
          </w:p>
        </w:tc>
      </w:tr>
      <w:tr>
        <w:trPr>
          <w:trHeight w:val="263"/>
        </w:trPr>
        <w:tc>
          <w:tcPr>
            <w:tcW w:w="2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06/02/2023</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76,744</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50.40</w:t>
            </w:r>
            <w:r>
              <w:rPr>
                <w:rFonts w:ascii="Arial" w:cs="Arial" w:eastAsia="Arial" w:hAnsi="Arial"/>
                <w:sz w:val="23"/>
                <w:szCs w:val="23"/>
                <w:color w:val="auto"/>
                <w:w w:val="84"/>
                <w:vertAlign w:val="superscript"/>
              </w:rPr>
              <w:t>(2)</w:t>
            </w:r>
          </w:p>
        </w:tc>
      </w:tr>
      <w:tr>
        <w:trPr>
          <w:trHeight w:val="250"/>
        </w:trPr>
        <w:tc>
          <w:tcPr>
            <w:tcW w:w="2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06/06/2023</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8,130</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8"/>
                <w:szCs w:val="18"/>
                <w:color w:val="auto"/>
                <w:w w:val="84"/>
              </w:rPr>
              <w:t>50.02</w:t>
            </w:r>
            <w:r>
              <w:rPr>
                <w:rFonts w:ascii="Arial" w:cs="Arial" w:eastAsia="Arial" w:hAnsi="Arial"/>
                <w:sz w:val="23"/>
                <w:szCs w:val="23"/>
                <w:color w:val="auto"/>
                <w:w w:val="84"/>
                <w:vertAlign w:val="superscript"/>
              </w:rPr>
              <w:t>(3)</w:t>
            </w:r>
          </w:p>
        </w:tc>
      </w:tr>
      <w:tr>
        <w:trPr>
          <w:trHeight w:val="250"/>
        </w:trPr>
        <w:tc>
          <w:tcPr>
            <w:tcW w:w="2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06/07/2023</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88,132</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8"/>
                <w:szCs w:val="18"/>
                <w:color w:val="auto"/>
                <w:w w:val="84"/>
              </w:rPr>
              <w:t>51.98</w:t>
            </w:r>
            <w:r>
              <w:rPr>
                <w:rFonts w:ascii="Arial" w:cs="Arial" w:eastAsia="Arial" w:hAnsi="Arial"/>
                <w:sz w:val="23"/>
                <w:szCs w:val="23"/>
                <w:color w:val="auto"/>
                <w:w w:val="84"/>
                <w:vertAlign w:val="superscript"/>
              </w:rPr>
              <w:t>(4)</w:t>
            </w:r>
          </w:p>
        </w:tc>
      </w:tr>
    </w:tbl>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transaction was executed in multiple trades at prices ranging from $50.00 to 50.25 per share.</w:t>
      </w:r>
    </w:p>
    <w:p>
      <w:pPr>
        <w:spacing w:after="0" w:line="11" w:lineRule="exact"/>
        <w:rPr>
          <w:rFonts w:ascii="Arial" w:cs="Arial" w:eastAsia="Arial" w:hAnsi="Arial"/>
          <w:sz w:val="13"/>
          <w:szCs w:val="13"/>
          <w:color w:val="auto"/>
        </w:rPr>
      </w:pP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transaction was executed in multiple trades at prices ranging from $50.00 to 50.90 per share.</w:t>
      </w:r>
    </w:p>
    <w:p>
      <w:pPr>
        <w:spacing w:after="0" w:line="10" w:lineRule="exact"/>
        <w:rPr>
          <w:rFonts w:ascii="Arial" w:cs="Arial" w:eastAsia="Arial" w:hAnsi="Arial"/>
          <w:sz w:val="13"/>
          <w:szCs w:val="13"/>
          <w:color w:val="auto"/>
        </w:rPr>
      </w:pP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transaction was executed in multiple trades at prices ranging from $50.00 to 50.07 per share.</w:t>
      </w: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transaction was executed in multiple trades at prices ranging from $51.33 to 53.39 per share.</w:t>
      </w:r>
    </w:p>
    <w:p>
      <w:pPr>
        <w:sectPr>
          <w:pgSz w:w="11900" w:h="16838" w:orient="portrait"/>
          <w:cols w:equalWidth="0" w:num="1">
            <w:col w:w="11200"/>
          </w:cols>
          <w:pgMar w:left="320" w:top="162" w:right="379" w:bottom="1440" w:gutter="0" w:footer="0" w:header="0"/>
        </w:sectPr>
      </w:pPr>
    </w:p>
    <w:bookmarkStart w:id="4" w:name="page5"/>
    <w:bookmarkEnd w:id="4"/>
    <w:p>
      <w:pPr>
        <w:ind w:left="60"/>
        <w:spacing w:after="0"/>
        <w:tabs>
          <w:tab w:leader="none" w:pos="103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825690100</w:t>
      </w:r>
      <w:r>
        <w:rPr>
          <w:sz w:val="20"/>
          <w:szCs w:val="20"/>
          <w:color w:val="auto"/>
        </w:rPr>
        <w:tab/>
      </w:r>
      <w:r>
        <w:rPr>
          <w:rFonts w:ascii="Arial" w:cs="Arial" w:eastAsia="Arial" w:hAnsi="Arial"/>
          <w:sz w:val="16"/>
          <w:szCs w:val="16"/>
          <w:color w:val="auto"/>
        </w:rPr>
        <w:t>Page 5 of 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June 8, 2023</w:t>
      </w:r>
    </w:p>
    <w:p>
      <w:pPr>
        <w:spacing w:after="0" w:line="347" w:lineRule="exact"/>
        <w:rPr>
          <w:sz w:val="20"/>
          <w:szCs w:val="20"/>
          <w:color w:val="auto"/>
        </w:rPr>
      </w:pPr>
    </w:p>
    <w:p>
      <w:pPr>
        <w:jc w:val="center"/>
        <w:ind w:left="4200"/>
        <w:spacing w:after="0"/>
        <w:rPr>
          <w:sz w:val="20"/>
          <w:szCs w:val="20"/>
          <w:color w:val="auto"/>
        </w:rPr>
      </w:pPr>
      <w:r>
        <w:rPr>
          <w:rFonts w:ascii="Arial" w:cs="Arial" w:eastAsia="Arial" w:hAnsi="Arial"/>
          <w:sz w:val="18"/>
          <w:szCs w:val="18"/>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2674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0" w:lineRule="exact"/>
        <w:rPr>
          <w:sz w:val="20"/>
          <w:szCs w:val="20"/>
          <w:color w:val="auto"/>
        </w:rPr>
      </w:pPr>
    </w:p>
    <w:p>
      <w:pPr>
        <w:jc w:val="center"/>
        <w:ind w:left="4200"/>
        <w:spacing w:after="0"/>
        <w:rPr>
          <w:sz w:val="20"/>
          <w:szCs w:val="20"/>
          <w:color w:val="auto"/>
        </w:rPr>
      </w:pPr>
      <w:r>
        <w:rPr>
          <w:rFonts w:ascii="Arial" w:cs="Arial" w:eastAsia="Arial" w:hAnsi="Arial"/>
          <w:sz w:val="18"/>
          <w:szCs w:val="18"/>
          <w:color w:val="auto"/>
        </w:rPr>
        <w:t>Name: Jonathan Oringer</w:t>
      </w:r>
    </w:p>
    <w:sectPr>
      <w:pgSz w:w="11900" w:h="16838" w:orient="portrait"/>
      <w:cols w:equalWidth="0" w:num="1">
        <w:col w:w="11240"/>
      </w:cols>
      <w:pgMar w:left="320" w:top="1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decimal"/>
      <w:start w:val="1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2023-06-08T16:00:49Z</dcterms:created>
  <dcterms:modified xsi:type="dcterms:W3CDTF">2023-06-08T16:00:49Z</dcterms:modified>
</cp:coreProperties>
</file>